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c77ddbcd03ac00f69e68661e5eb39a4c24f13a"/>
    <w:p>
      <w:pPr>
        <w:pStyle w:val="Heading1"/>
      </w:pPr>
      <w:r>
        <w:rPr>
          <w:rFonts w:ascii="Arial" w:hAnsi="Arial"/>
        </w:rPr>
        <w:t xml:space="preserve">Supplementary Note S1 — Out-of-sample transferability to a different cyclone class: the Cyclone Bulbul probe</w:t>
      </w:r>
    </w:p>
    <w:p>
      <w:pPr>
        <w:pStyle w:val="FirstParagraph"/>
      </w:pPr>
      <w:r>
        <w:rPr>
          <w:rFonts w:ascii="Arial" w:hAnsi="Arial"/>
          <w:b/>
          <w:bCs/>
        </w:rPr>
        <w:t xml:space="preserve">Companion to:</w:t>
      </w:r>
      <w:r>
        <w:rPr>
          <w:rFonts w:ascii="Arial" w:hAnsi="Arial"/>
        </w:rPr>
        <w:t xml:space="preserve"> </w:t>
      </w:r>
      <w:r>
        <w:rPr>
          <w:rFonts w:ascii="Arial" w:hAnsi="Arial"/>
        </w:rPr>
        <w:t xml:space="preserve">Methods §3.7.2 of the main manuscript (</w:t>
      </w:r>
      <w:r>
        <w:rPr>
          <w:rFonts w:ascii="Arial" w:hAnsi="Arial"/>
          <w:i/>
          <w:iCs/>
        </w:rPr>
        <w:t xml:space="preserve">Decoupling Cyclone-Induced Saline Inundation from Agronomic Flooding in Sentinel-1/2 Rice Phenology Retrieval</w:t>
      </w:r>
      <w:r>
        <w:rPr>
          <w:rFonts w:ascii="Arial" w:hAnsi="Arial"/>
        </w:rPr>
        <w:t xml:space="preserve">).</w:t>
      </w:r>
    </w:p>
    <w:p>
      <w:pPr>
        <w:pStyle w:val="BodyText"/>
      </w:pPr>
      <w:r>
        <w:rPr>
          <w:rFonts w:ascii="Arial" w:hAnsi="Arial"/>
          <w:b/>
          <w:bCs/>
        </w:rPr>
        <w:t xml:space="preserve">Module:</w:t>
      </w:r>
      <w:r>
        <w:rPr>
          <w:rFonts w:ascii="Arial" w:hAnsi="Arial"/>
        </w:rPr>
        <w:t xml:space="preserve"> </w:t>
      </w:r>
      <w:r>
        <w:rPr>
          <w:rStyle w:val="VerbatimChar"/>
          <w:rFonts w:ascii="Arial" w:hAnsi="Arial"/>
        </w:rPr>
        <w:t xml:space="preserve">analysis/05b_bulbul_transferability.py</w:t>
      </w:r>
      <w:r>
        <w:rPr>
          <w:rFonts w:ascii="Arial" w:hAnsi="Arial"/>
        </w:rPr>
        <w:t xml:space="preserve"> </w:t>
      </w:r>
      <w:r>
        <w:rPr>
          <w:rFonts w:ascii="Arial" w:hAnsi="Arial"/>
          <w:b/>
          <w:bCs/>
        </w:rPr>
        <w:t xml:space="preserve">Outputs:</w:t>
      </w:r>
      <w:r>
        <w:rPr>
          <w:rFonts w:ascii="Arial" w:hAnsi="Arial"/>
        </w:rPr>
        <w:t xml:space="preserve"> </w:t>
      </w:r>
      <w:r>
        <w:rPr>
          <w:rStyle w:val="VerbatimChar"/>
          <w:rFonts w:ascii="Arial" w:hAnsi="Arial"/>
        </w:rPr>
        <w:t xml:space="preserve">analysis/results/bulbul_transferability.csv</w:t>
      </w:r>
      <w:r>
        <w:rPr>
          <w:rFonts w:ascii="Arial" w:hAnsi="Arial"/>
        </w:rPr>
        <w:t xml:space="preserve">,</w:t>
      </w:r>
      <w:r>
        <w:rPr>
          <w:rFonts w:ascii="Arial" w:hAnsi="Arial"/>
        </w:rPr>
        <w:t xml:space="preserve"> </w:t>
      </w:r>
      <w:r>
        <w:rPr>
          <w:rStyle w:val="VerbatimChar"/>
          <w:rFonts w:ascii="Arial" w:hAnsi="Arial"/>
        </w:rPr>
        <w:t xml:space="preserve">manuscript/supplement/Table_S3_bulbul_transferability.docx</w:t>
      </w:r>
      <w:r>
        <w:rPr>
          <w:rFonts w:ascii="Arial" w:hAnsi="Arial"/>
        </w:rPr>
        <w:t xml:space="preserve"> </w:t>
      </w:r>
      <w:r>
        <w:rPr>
          <w:rFonts w:ascii="Arial" w:hAnsi="Arial"/>
          <w:b/>
          <w:bCs/>
        </w:rPr>
        <w:t xml:space="preserve">Pre-registered:</w:t>
      </w:r>
      <w:r>
        <w:rPr>
          <w:rFonts w:ascii="Arial" w:hAnsi="Arial"/>
        </w:rPr>
        <w:t xml:space="preserve"> </w:t>
      </w:r>
      <w:r>
        <w:rPr>
          <w:rFonts w:ascii="Arial" w:hAnsi="Arial"/>
        </w:rPr>
        <w:t xml:space="preserve">OSF</w:t>
      </w:r>
      <w:r>
        <w:rPr>
          <w:rFonts w:ascii="Arial" w:hAnsi="Arial"/>
        </w:rPr>
        <w:t xml:space="preserve"> </w:t>
      </w:r>
      <w:hyperlink r:id="rId20">
        <w:r>
          <w:rPr>
            <w:rStyle w:val="Hyperlink"/>
          </w:rPr>
          <w:t xml:space="preserve">c4mp8</w:t>
        </w:r>
      </w:hyperlink>
      <w:r>
        <w:rPr>
          <w:rFonts w:ascii="Arial" w:hAnsi="Arial"/>
        </w:rPr>
        <w:t xml:space="preserve"> </w:t>
      </w:r>
      <w:r>
        <w:rPr>
          <w:rFonts w:ascii="Arial" w:hAnsi="Arial"/>
        </w:rPr>
        <w:t xml:space="preserve">— scope amendment dated 2026-04-29.</w:t>
      </w:r>
    </w:p>
    <w:p>
      <w:r>
        <w:rPr>
          <w:rFonts w:ascii="Arial" w:hAnsi="Arial"/>
        </w:rPr>
        <w:pict>
          <v:rect style="width:0;height:1.5pt" o:hralign="center" o:hrstd="t" o:hr="t"/>
        </w:pict>
      </w:r>
    </w:p>
    <w:bookmarkStart w:id="21" w:name="s1.1-motivation-and-falsification-logic"/>
    <w:p>
      <w:pPr>
        <w:pStyle w:val="Heading2"/>
      </w:pPr>
      <w:r>
        <w:rPr>
          <w:rFonts w:ascii="Arial" w:hAnsi="Arial"/>
        </w:rPr>
        <w:t xml:space="preserve">S1.1 Motivation and falsification logic</w:t>
      </w:r>
    </w:p>
    <w:p>
      <w:pPr>
        <w:pStyle w:val="FirstParagraph"/>
      </w:pPr>
      <w:r>
        <w:rPr>
          <w:rFonts w:ascii="Arial" w:hAnsi="Arial"/>
        </w:rPr>
        <w:t xml:space="preserve">The headline TWFE-DiD coefficient</w:t>
      </w:r>
      <w:r>
        <w:rPr>
          <w:rFonts w:ascii="Arial" w:hAnsi="Arial"/>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w:r>
        <w:rPr>
          <w:rFonts w:ascii="Arial" w:hAnsi="Arial"/>
        </w:rPr>
        <w:t xml:space="preserve"> </w:t>
      </w:r>
      <w:r>
        <w:rPr>
          <w:rFonts w:ascii="Arial" w:hAnsi="Arial"/>
        </w:rPr>
        <w:t xml:space="preserve">in Eq. (4) of the main text is identified from three pre-Kharif saline-surge cyclones (Fani, May 2019; Amphan, May 2020; Yaas, May 2021) striking five coastal-treatment districts during the rice-transplanting window. The corrected pipeline (§3.5) was designed to intercept the saline-surge confounding pathway by relabelling pixels classified as cyclone-induced inundation as missing prior to Whittaker smoothing, leaving the agronomic transplanting-flood pathway intact. A core concern with any data-driven correction operator of this form is</w:t>
      </w:r>
      <w:r>
        <w:rPr>
          <w:rFonts w:ascii="Arial" w:hAnsi="Arial"/>
        </w:rPr>
        <w:t xml:space="preserve"> </w:t>
      </w:r>
      <w:r>
        <w:rPr>
          <w:rFonts w:ascii="Arial" w:hAnsi="Arial"/>
          <w:i/>
          <w:iCs/>
        </w:rPr>
        <w:t xml:space="preserve">mechanism-specificity</w:t>
      </w:r>
      <w:r>
        <w:rPr>
          <w:rFonts w:ascii="Arial" w:hAnsi="Arial"/>
        </w:rPr>
        <w:t xml:space="preserve">: does the corrected pipeline encode a generic excess-water-pixel mask that would be triggered by</w:t>
      </w:r>
      <w:r>
        <w:rPr>
          <w:rFonts w:ascii="Arial" w:hAnsi="Arial"/>
        </w:rPr>
        <w:t xml:space="preserve"> </w:t>
      </w:r>
      <w:r>
        <w:rPr>
          <w:rFonts w:ascii="Arial" w:hAnsi="Arial"/>
          <w:i/>
          <w:iCs/>
        </w:rPr>
        <w:t xml:space="preserve">any</w:t>
      </w:r>
      <w:r>
        <w:rPr>
          <w:rFonts w:ascii="Arial" w:hAnsi="Arial"/>
        </w:rPr>
        <w:t xml:space="preserve"> </w:t>
      </w:r>
      <w:r>
        <w:rPr>
          <w:rFonts w:ascii="Arial" w:hAnsi="Arial"/>
        </w:rPr>
        <w:t xml:space="preserve">large-scale inundation event, or does it specifically suppress the saline storm-surge backscatter signature that misleads phenology retrieval in the pre-Kharif window?</w:t>
      </w:r>
    </w:p>
    <w:p>
      <w:pPr>
        <w:pStyle w:val="BodyText"/>
      </w:pPr>
      <w:r>
        <w:rPr>
          <w:rFonts w:ascii="Arial" w:hAnsi="Arial"/>
        </w:rPr>
        <w:t xml:space="preserve">These two interpretations carry materially different scientific implications. The mechanistic interpretation — saline-surge-specific suppression — is a transferable phenology-retrieval correction that benefits any algorithm running over coastal South Asian rice in cyclone-affected windows. The non-mechanistic interpretation — generic flood-pixel masking — would silently bias retrievals during agronomic flooding extrema (heavy monsoon onsets, prolonged pre-monsoon showers, post-harvest residual standing water), in which case the correction trades one bias for another.</w:t>
      </w:r>
    </w:p>
    <w:p>
      <w:pPr>
        <w:pStyle w:val="BodyText"/>
      </w:pPr>
      <w:r>
        <w:rPr>
          <w:rFonts w:ascii="Arial" w:hAnsi="Arial"/>
        </w:rPr>
        <w:t xml:space="preserve">We discriminate between these interpretations using an out-of-sample transferability probe drawn from a</w:t>
      </w:r>
      <w:r>
        <w:rPr>
          <w:rFonts w:ascii="Arial" w:hAnsi="Arial"/>
        </w:rPr>
        <w:t xml:space="preserve"> </w:t>
      </w:r>
      <w:r>
        <w:rPr>
          <w:rFonts w:ascii="Arial" w:hAnsi="Arial"/>
          <w:i/>
          <w:iCs/>
        </w:rPr>
        <w:t xml:space="preserve">different cyclone class</w:t>
      </w:r>
      <w:r>
        <w:rPr>
          <w:rFonts w:ascii="Arial" w:hAnsi="Arial"/>
        </w:rPr>
        <w:t xml:space="preserve"> </w:t>
      </w:r>
      <w:r>
        <w:rPr>
          <w:rFonts w:ascii="Arial" w:hAnsi="Arial"/>
        </w:rPr>
        <w:t xml:space="preserve">— Cyclone Bulbul (November 2019). Bulbul differs from the three identification-cohort cyclones along three independent dimensions:</w:t>
      </w:r>
    </w:p>
    <w:p>
      <w:pPr>
        <w:pStyle w:val="Compact"/>
        <w:numPr>
          <w:ilvl w:val="0"/>
          <w:numId w:val="1001"/>
        </w:numPr>
      </w:pPr>
      <w:r>
        <w:rPr>
          <w:rFonts w:ascii="Arial" w:hAnsi="Arial"/>
          <w:b/>
          <w:bCs/>
        </w:rPr>
        <w:t xml:space="preserve">Calendar window.</w:t>
      </w:r>
      <w:r>
        <w:rPr>
          <w:rFonts w:ascii="Arial" w:hAnsi="Arial"/>
        </w:rPr>
        <w:t xml:space="preserve"> </w:t>
      </w:r>
      <w:r>
        <w:rPr>
          <w:rFonts w:ascii="Arial" w:hAnsi="Arial"/>
        </w:rPr>
        <w:t xml:space="preserve">Bulbul made landfall on 9 November 2019, two to three months</w:t>
      </w:r>
      <w:r>
        <w:rPr>
          <w:rFonts w:ascii="Arial" w:hAnsi="Arial"/>
        </w:rPr>
        <w:t xml:space="preserve"> </w:t>
      </w:r>
      <w:r>
        <w:rPr>
          <w:rFonts w:ascii="Arial" w:hAnsi="Arial"/>
          <w:i/>
          <w:iCs/>
        </w:rPr>
        <w:t xml:space="preserve">after</w:t>
      </w:r>
      <w:r>
        <w:rPr>
          <w:rFonts w:ascii="Arial" w:hAnsi="Arial"/>
        </w:rPr>
        <w:t xml:space="preserve"> </w:t>
      </w:r>
      <w:r>
        <w:rPr>
          <w:rFonts w:ascii="Arial" w:hAnsi="Arial"/>
        </w:rPr>
        <w:t xml:space="preserve">the Kharif transplanting window had closed. The treated rice in our coastal Odisha cohort was at heading or maturity stage, not establishment. Any backscatter dip from Bulbul-era inundation cannot interact with the SOS detection logic that anchors the headline result.</w:t>
      </w:r>
    </w:p>
    <w:p>
      <w:pPr>
        <w:pStyle w:val="Compact"/>
        <w:numPr>
          <w:ilvl w:val="0"/>
          <w:numId w:val="1001"/>
        </w:numPr>
      </w:pPr>
      <w:r>
        <w:rPr>
          <w:rFonts w:ascii="Arial" w:hAnsi="Arial"/>
          <w:b/>
          <w:bCs/>
        </w:rPr>
        <w:t xml:space="preserve">Inundation mechanism.</w:t>
      </w:r>
      <w:r>
        <w:rPr>
          <w:rFonts w:ascii="Arial" w:hAnsi="Arial"/>
        </w:rPr>
        <w:t xml:space="preserve"> </w:t>
      </w:r>
      <w:r>
        <w:rPr>
          <w:rFonts w:ascii="Arial" w:hAnsi="Arial"/>
        </w:rPr>
        <w:t xml:space="preserve">Bulbul tracked across the head Bay of Bengal and made landfall on Sagar Island in the Indian Sundarbans, approximately 290 km NE of the centroid of our coastal study region. Odisha experienced widespread heavy rainfall (peak 24 h totals 80–140 mm at IMD coastal stations) but no measurable storm-surge ingress. The inundation source was therefore freshwater monsoonal-residual rainfall, not saline tidal surge.</w:t>
      </w:r>
    </w:p>
    <w:p>
      <w:pPr>
        <w:pStyle w:val="Compact"/>
        <w:numPr>
          <w:ilvl w:val="0"/>
          <w:numId w:val="1001"/>
        </w:numPr>
      </w:pPr>
      <w:r>
        <w:rPr>
          <w:rFonts w:ascii="Arial" w:hAnsi="Arial"/>
          <w:b/>
          <w:bCs/>
        </w:rPr>
        <w:t xml:space="preserve">Geography.</w:t>
      </w:r>
      <w:r>
        <w:rPr>
          <w:rFonts w:ascii="Arial" w:hAnsi="Arial"/>
        </w:rPr>
        <w:t xml:space="preserve"> </w:t>
      </w:r>
      <w:r>
        <w:rPr>
          <w:rFonts w:ascii="Arial" w:hAnsi="Arial"/>
        </w:rPr>
        <w:t xml:space="preserve">Bulbul-rainfall districts overlap only partially with the five identification-cohort districts. Five of the six probe districts (Boudh, Ganjam, Kandhamal, Khordha, Mayurbhanj, Nayagarh) lie outside the headline treatment set, and were never used to estimate</w:t>
      </w:r>
      <w:r>
        <w:rPr>
          <w:rFonts w:ascii="Arial" w:hAnsi="Arial"/>
        </w:rPr>
        <w:t xml:space="preserve"> </w:t>
      </w:r>
      <m:oMath>
        <m:acc>
          <m:accPr>
            <m:chr m:val="̂"/>
          </m:accPr>
          <m:e>
            <m:r>
              <m:t>τ</m:t>
            </m:r>
          </m:e>
        </m:acc>
      </m:oMath>
      <w:r>
        <w:rPr>
          <w:rFonts w:ascii="Arial" w:hAnsi="Arial"/>
        </w:rPr>
        <w:t xml:space="preserve">.</w:t>
      </w:r>
    </w:p>
    <w:p>
      <w:pPr>
        <w:pStyle w:val="FirstParagraph"/>
      </w:pPr>
      <w:r>
        <w:rPr>
          <w:rFonts w:ascii="Arial" w:hAnsi="Arial"/>
        </w:rPr>
        <w:t xml:space="preserve">The probe asks: when we apply the</w:t>
      </w:r>
      <w:r>
        <w:rPr>
          <w:rFonts w:ascii="Arial" w:hAnsi="Arial"/>
        </w:rPr>
        <w:t xml:space="preserve"> </w:t>
      </w:r>
      <w:r>
        <w:rPr>
          <w:rFonts w:ascii="Arial" w:hAnsi="Arial"/>
          <w:i/>
          <w:iCs/>
        </w:rPr>
        <w:t xml:space="preserve">trained</w:t>
      </w:r>
      <w:r>
        <w:rPr>
          <w:rFonts w:ascii="Arial" w:hAnsi="Arial"/>
        </w:rPr>
        <w:t xml:space="preserve"> </w:t>
      </w:r>
      <w:r>
        <w:rPr>
          <w:rFonts w:ascii="Arial" w:hAnsi="Arial"/>
        </w:rPr>
        <w:t xml:space="preserve">coefficient</w:t>
      </w:r>
      <w:r>
        <w:rPr>
          <w:rFonts w:ascii="Arial" w:hAnsi="Arial"/>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w:r>
        <w:rPr>
          <w:rFonts w:ascii="Arial" w:hAnsi="Arial"/>
        </w:rPr>
        <w:t xml:space="preserve"> </w:t>
      </w:r>
      <w:r>
        <w:rPr>
          <w:rFonts w:ascii="Arial" w:hAnsi="Arial"/>
        </w:rPr>
        <w:t xml:space="preserve">as a plug-in prediction to the Bulbul-affected districts, do the observed phenology shifts match this prediction?</w:t>
      </w:r>
    </w:p>
    <w:p>
      <w:pPr>
        <w:pStyle w:val="Compact"/>
        <w:numPr>
          <w:ilvl w:val="0"/>
          <w:numId w:val="1002"/>
        </w:numPr>
      </w:pPr>
      <w:r>
        <w:rPr>
          <w:rFonts w:ascii="Arial" w:hAnsi="Arial"/>
        </w:rPr>
        <w:t xml:space="preserve">If residuals centre near zero with the majority of probe districts inside the 95% prediction interval, the correction generalises beyond its training window and inundation mechanism — consistent with a generic flood-pixel-mask interpretation, which would falsify the saline-surge-specific mechanistic claim.</w:t>
      </w:r>
    </w:p>
    <w:p>
      <w:pPr>
        <w:pStyle w:val="Compact"/>
        <w:numPr>
          <w:ilvl w:val="0"/>
          <w:numId w:val="1002"/>
        </w:numPr>
      </w:pPr>
      <w:r>
        <w:rPr>
          <w:rFonts w:ascii="Arial" w:hAnsi="Arial"/>
        </w:rPr>
        <w:t xml:space="preserve">If residuals are systematically</w:t>
      </w:r>
      <w:r>
        <w:rPr>
          <w:rFonts w:ascii="Arial" w:hAnsi="Arial"/>
        </w:rPr>
        <w:t xml:space="preserve"> </w:t>
      </w:r>
      <w:r>
        <w:rPr>
          <w:rFonts w:ascii="Arial" w:hAnsi="Arial"/>
          <w:i/>
          <w:iCs/>
        </w:rPr>
        <w:t xml:space="preserve">negative</w:t>
      </w:r>
      <w:r>
        <w:rPr>
          <w:rFonts w:ascii="Arial" w:hAnsi="Arial"/>
        </w:rPr>
        <w:t xml:space="preserve"> </w:t>
      </w:r>
      <w:r>
        <w:rPr>
          <w:rFonts w:ascii="Arial" w:hAnsi="Arial"/>
        </w:rPr>
        <w:t xml:space="preserve">(probe districts shift less than predicted, or in the opposite direction), the correction is mechanism-specific to saline storm-surge — the operator does not transfer to post-monsoon freshwater rainfall events.</w:t>
      </w:r>
      <w:r>
        <w:rPr>
          <w:rFonts w:ascii="Arial" w:hAnsi="Arial"/>
        </w:rPr>
        <w:t xml:space="preserve"> </w:t>
      </w:r>
      <w:r>
        <w:rPr>
          <w:rFonts w:ascii="Arial" w:hAnsi="Arial"/>
          <w:b/>
          <w:bCs/>
        </w:rPr>
        <w:t xml:space="preserve">This is the pre-registered outcome that supports our mechanistic interpretation.</w:t>
      </w:r>
    </w:p>
    <w:p>
      <w:pPr>
        <w:pStyle w:val="FirstParagraph"/>
      </w:pPr>
      <w:r>
        <w:rPr>
          <w:rFonts w:ascii="Arial" w:hAnsi="Arial"/>
        </w:rPr>
        <w:t xml:space="preserve">This logic follows the falsification posture of Athey and Imbens (2017, §6.2): the test is designed to be</w:t>
      </w:r>
      <w:r>
        <w:rPr>
          <w:rFonts w:ascii="Arial" w:hAnsi="Arial"/>
        </w:rPr>
        <w:t xml:space="preserve"> </w:t>
      </w:r>
      <w:r>
        <w:rPr>
          <w:rFonts w:ascii="Arial" w:hAnsi="Arial"/>
          <w:i/>
          <w:iCs/>
        </w:rPr>
        <w:t xml:space="preserve">able to fail</w:t>
      </w:r>
      <w:r>
        <w:rPr>
          <w:rFonts w:ascii="Arial" w:hAnsi="Arial"/>
        </w:rPr>
        <w:t xml:space="preserve"> </w:t>
      </w:r>
      <w:r>
        <w:rPr>
          <w:rFonts w:ascii="Arial" w:hAnsi="Arial"/>
        </w:rPr>
        <w:t xml:space="preserve">in a direction that would refute the headline interpretation, and a null transfer is the result that strengthens (not weakens) the substantive claim.</w:t>
      </w:r>
    </w:p>
    <w:bookmarkEnd w:id="21"/>
    <w:bookmarkStart w:id="22" w:name="s1.2-probe-panel-construction"/>
    <w:p>
      <w:pPr>
        <w:pStyle w:val="Heading2"/>
      </w:pPr>
      <w:r>
        <w:rPr>
          <w:rFonts w:ascii="Arial" w:hAnsi="Arial"/>
        </w:rPr>
        <w:t xml:space="preserve">S1.2 Probe-panel construction</w:t>
      </w:r>
    </w:p>
    <w:p>
      <w:pPr>
        <w:pStyle w:val="FirstParagraph"/>
      </w:pPr>
      <w:r>
        <w:rPr>
          <w:rFonts w:ascii="Arial" w:hAnsi="Arial"/>
        </w:rPr>
        <w:t xml:space="preserve">The Bulbul probe panel comprises six Odisha districts not used in the headline TWFE estimation: Boudh, Ganjam, Kandhamal, Khordha, Mayurbhanj, and Nayagarh. Districts are tagged by exposure type —</w:t>
      </w:r>
      <w:r>
        <w:rPr>
          <w:rFonts w:ascii="Arial" w:hAnsi="Arial"/>
        </w:rPr>
        <w:t xml:space="preserve"> </w:t>
      </w:r>
      <w:r>
        <w:rPr>
          <w:rFonts w:ascii="Arial" w:hAnsi="Arial"/>
          <w:i/>
          <w:iCs/>
        </w:rPr>
        <w:t xml:space="preserve">coastal_rainfall</w:t>
      </w:r>
      <w:r>
        <w:rPr>
          <w:rFonts w:ascii="Arial" w:hAnsi="Arial"/>
        </w:rPr>
        <w:t xml:space="preserve"> </w:t>
      </w:r>
      <w:r>
        <w:rPr>
          <w:rFonts w:ascii="Arial" w:hAnsi="Arial"/>
        </w:rPr>
        <w:t xml:space="preserve">(Ganjam, Khordha, Mayurbhanj) or</w:t>
      </w:r>
      <w:r>
        <w:rPr>
          <w:rFonts w:ascii="Arial" w:hAnsi="Arial"/>
        </w:rPr>
        <w:t xml:space="preserve"> </w:t>
      </w:r>
      <w:r>
        <w:rPr>
          <w:rFonts w:ascii="Arial" w:hAnsi="Arial"/>
          <w:i/>
          <w:iCs/>
        </w:rPr>
        <w:t xml:space="preserve">inland_rainfall</w:t>
      </w:r>
      <w:r>
        <w:rPr>
          <w:rFonts w:ascii="Arial" w:hAnsi="Arial"/>
        </w:rPr>
        <w:t xml:space="preserve"> </w:t>
      </w:r>
      <w:r>
        <w:rPr>
          <w:rFonts w:ascii="Arial" w:hAnsi="Arial"/>
        </w:rPr>
        <w:t xml:space="preserve">(Boudh, Kandhamal, Nayagarh) — derived from the IMD 2019 cyclone report and 24 h IMERG accumulations. The probe panel is processed by the same Module 03 phenology pipeline (Whittaker smoother, double-logistic curve fit, 20 / max / 20 thresholds) and the same Module 02 saline-flood classifier as the headline cohort — the</w:t>
      </w:r>
      <w:r>
        <w:rPr>
          <w:rFonts w:ascii="Arial" w:hAnsi="Arial"/>
        </w:rPr>
        <w:t xml:space="preserve"> </w:t>
      </w:r>
      <w:r>
        <w:rPr>
          <w:rFonts w:ascii="Arial" w:hAnsi="Arial"/>
          <w:i/>
          <w:iCs/>
        </w:rPr>
        <w:t xml:space="preserve">only</w:t>
      </w:r>
      <w:r>
        <w:rPr>
          <w:rFonts w:ascii="Arial" w:hAnsi="Arial"/>
        </w:rPr>
        <w:t xml:space="preserve"> </w:t>
      </w:r>
      <w:r>
        <w:rPr>
          <w:rFonts w:ascii="Arial" w:hAnsi="Arial"/>
        </w:rPr>
        <w:t xml:space="preserve">design choice held constant is the inundation-class mask, which now sees rainfall-driven (not surge-driven) excess water.</w:t>
      </w:r>
    </w:p>
    <w:p>
      <w:pPr>
        <w:pStyle w:val="BodyText"/>
      </w:pPr>
      <w:r>
        <w:rPr>
          <w:rFonts w:ascii="Arial" w:hAnsi="Arial"/>
        </w:rPr>
        <w:t xml:space="preserve">For each probe district</w:t>
      </w:r>
      <w:r>
        <w:rPr>
          <w:rFonts w:ascii="Arial" w:hAnsi="Arial"/>
        </w:rPr>
        <w:t xml:space="preserve"> </w:t>
      </w:r>
      <m:oMath>
        <m:r>
          <m:t>d</m:t>
        </m:r>
      </m:oMath>
      <w:r>
        <w:rPr>
          <w:rFonts w:ascii="Arial" w:hAnsi="Arial"/>
        </w:rPr>
        <w:t xml:space="preserve"> </w:t>
      </w:r>
      <w:r>
        <w:rPr>
          <w:rFonts w:ascii="Arial" w:hAnsi="Arial"/>
        </w:rPr>
        <w:t xml:space="preserve">we compute the observed corrected-pipeline SOS shift relative to its own pre-Bulbul baseline:</w:t>
      </w:r>
    </w:p>
    <w:p>
      <w:pPr>
        <w:pStyle w:val="BodyText"/>
      </w:pPr>
      <m:oMathPara>
        <m:oMathParaPr>
          <m:jc m:val="center"/>
        </m:oMathParaPr>
        <m:oMath>
          <m:sSub>
            <m:e>
              <m:r>
                <m:t>Δ</m:t>
              </m:r>
            </m:e>
            <m:sub>
              <m:r>
                <m:rPr>
                  <m:sty m:val="p"/>
                </m:rPr>
                <m:t>o</m:t>
              </m:r>
              <m:r>
                <m:rPr>
                  <m:sty m:val="p"/>
                </m:rPr>
                <m:t>b</m:t>
              </m:r>
              <m:r>
                <m:rPr>
                  <m:sty m:val="p"/>
                </m:rPr>
                <m:t>s</m:t>
              </m:r>
              <m:r>
                <m:rPr>
                  <m:sty m:val="p"/>
                </m:rPr>
                <m:t>,</m:t>
              </m:r>
              <m:r>
                <m:t>d</m:t>
              </m:r>
            </m:sub>
          </m:sSub>
          <m:r>
            <m:rPr>
              <m:sty m:val="p"/>
            </m:rPr>
            <m:t>=</m:t>
          </m:r>
          <m:sSubSup>
            <m:e>
              <m:r>
                <m:rPr>
                  <m:sty m:val="p"/>
                </m:rPr>
                <m:t>S</m:t>
              </m:r>
              <m:r>
                <m:rPr>
                  <m:sty m:val="p"/>
                </m:rPr>
                <m:t>O</m:t>
              </m:r>
              <m:r>
                <m:rPr>
                  <m:sty m:val="p"/>
                </m:rPr>
                <m:t>S</m:t>
              </m:r>
            </m:e>
            <m:sub>
              <m:r>
                <m:t>2020</m:t>
              </m:r>
              <m:r>
                <m:rPr>
                  <m:sty m:val="p"/>
                </m:rPr>
                <m:t>,</m:t>
              </m:r>
              <m:r>
                <m:t>d</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r>
            <m:rPr>
              <m:sty m:val="p"/>
            </m:rPr>
            <m:t>−</m:t>
          </m:r>
          <m:sSubSup>
            <m:e>
              <m:bar>
                <m:barPr>
                  <m:pos m:val="top"/>
                </m:barPr>
                <m:e>
                  <m:r>
                    <m:rPr>
                      <m:sty m:val="p"/>
                    </m:rPr>
                    <m:t>S</m:t>
                  </m:r>
                  <m:r>
                    <m:rPr>
                      <m:sty m:val="p"/>
                    </m:rPr>
                    <m:t>O</m:t>
                  </m:r>
                  <m:r>
                    <m:rPr>
                      <m:sty m:val="p"/>
                    </m:rPr>
                    <m:t>S</m:t>
                  </m:r>
                </m:e>
              </m:bar>
            </m:e>
            <m:sub>
              <m:r>
                <m:t>2017</m:t>
              </m:r>
              <m:r>
                <m:rPr>
                  <m:nor/>
                  <m:sty m:val="p"/>
                </m:rPr>
                <m:t>–</m:t>
              </m:r>
              <m:r>
                <m:t>2018</m:t>
              </m:r>
              <m:r>
                <m:rPr>
                  <m:sty m:val="p"/>
                </m:rPr>
                <m:t>,</m:t>
              </m:r>
              <m:r>
                <m:t>d</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oMath>
      </m:oMathPara>
    </w:p>
    <w:p>
      <w:pPr>
        <w:pStyle w:val="FirstParagraph"/>
      </w:pPr>
      <w:r>
        <w:rPr>
          <w:rFonts w:ascii="Arial" w:hAnsi="Arial"/>
        </w:rPr>
        <w:t xml:space="preserve">The Kharif year denoted</w:t>
      </w:r>
      <w:r>
        <w:rPr>
          <w:rFonts w:ascii="Arial" w:hAnsi="Arial"/>
        </w:rPr>
        <w:t xml:space="preserve"> </w:t>
      </w:r>
      <w:r>
        <w:rPr>
          <w:rFonts w:ascii="Arial" w:hAnsi="Arial"/>
        </w:rPr>
        <w:t xml:space="preserve">“</w:t>
      </w:r>
      <w:r>
        <w:rPr>
          <w:rFonts w:ascii="Arial" w:hAnsi="Arial"/>
        </w:rPr>
        <w:t xml:space="preserve">2020</w:t>
      </w:r>
      <w:r>
        <w:rPr>
          <w:rFonts w:ascii="Arial" w:hAnsi="Arial"/>
        </w:rPr>
        <w:t xml:space="preserve">”</w:t>
      </w:r>
      <w:r>
        <w:rPr>
          <w:rFonts w:ascii="Arial" w:hAnsi="Arial"/>
        </w:rPr>
        <w:t xml:space="preserve"> </w:t>
      </w:r>
      <w:r>
        <w:rPr>
          <w:rFonts w:ascii="Arial" w:hAnsi="Arial"/>
        </w:rPr>
        <w:t xml:space="preserve">here is the season</w:t>
      </w:r>
      <w:r>
        <w:rPr>
          <w:rFonts w:ascii="Arial" w:hAnsi="Arial"/>
        </w:rPr>
        <w:t xml:space="preserve"> </w:t>
      </w:r>
      <w:r>
        <w:rPr>
          <w:rFonts w:ascii="Arial" w:hAnsi="Arial"/>
          <w:i/>
          <w:iCs/>
        </w:rPr>
        <w:t xml:space="preserve">immediately following</w:t>
      </w:r>
      <w:r>
        <w:rPr>
          <w:rFonts w:ascii="Arial" w:hAnsi="Arial"/>
        </w:rPr>
        <w:t xml:space="preserve"> </w:t>
      </w:r>
      <w:r>
        <w:rPr>
          <w:rFonts w:ascii="Arial" w:hAnsi="Arial"/>
        </w:rPr>
        <w:t xml:space="preserve">the November 2019 Bulbul event — the first Kharif window in which any persistent residual mask effect from Bulbul-era inundation could propagate forward through the cropland mask to bias the next-season SOS retrieval.</w:t>
      </w:r>
    </w:p>
    <w:p>
      <w:pPr>
        <w:pStyle w:val="BodyText"/>
      </w:pPr>
      <w:r>
        <w:rPr>
          <w:rFonts w:ascii="Arial" w:hAnsi="Arial"/>
        </w:rPr>
        <w:t xml:space="preserve">The plug-in prediction is the trained headline coefficient</w:t>
      </w:r>
    </w:p>
    <w:p>
      <w:pPr>
        <w:pStyle w:val="BodyText"/>
      </w:pPr>
      <m:oMathPara>
        <m:oMathParaPr>
          <m:jc m:val="center"/>
        </m:oMathParaPr>
        <m:oMath>
          <m:sSub>
            <m:e>
              <m:r>
                <m:t>Δ</m:t>
              </m:r>
            </m:e>
            <m:sub>
              <m:r>
                <m:rPr>
                  <m:sty m:val="p"/>
                </m:rPr>
                <m:t>p</m:t>
              </m:r>
              <m:r>
                <m:rPr>
                  <m:sty m:val="p"/>
                </m:rPr>
                <m:t>r</m:t>
              </m:r>
              <m:r>
                <m:rPr>
                  <m:sty m:val="p"/>
                </m:rPr>
                <m:t>e</m:t>
              </m:r>
              <m:r>
                <m:rPr>
                  <m:sty m:val="p"/>
                </m:rPr>
                <m:t>d</m:t>
              </m:r>
            </m:sub>
          </m:sSub>
          <m:r>
            <m:rPr>
              <m:sty m:val="p"/>
            </m:rPr>
            <m:t>=</m:t>
          </m:r>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rPr>
              <m:sty m:val="p"/>
            </m:rPr>
            <m:t>+</m:t>
          </m:r>
          <m:r>
            <m:t>1.96</m:t>
          </m:r>
          <m:r>
            <m:rPr>
              <m:nor/>
              <m:sty m:val="p"/>
            </m:rPr>
            <m:t> d</m:t>
          </m:r>
        </m:oMath>
      </m:oMathPara>
    </w:p>
    <w:p>
      <w:pPr>
        <w:pStyle w:val="FirstParagraph"/>
      </w:pPr>
      <w:r>
        <w:rPr>
          <w:rFonts w:ascii="Arial" w:hAnsi="Arial"/>
        </w:rPr>
        <w:t xml:space="preserve">with the 95% prediction interval</w:t>
      </w:r>
      <w:r>
        <w:rPr>
          <w:rFonts w:ascii="Arial" w:hAnsi="Arial"/>
        </w:rPr>
        <w:t xml:space="preserve"> </w:t>
      </w:r>
      <m:oMath>
        <m:d>
          <m:dPr>
            <m:begChr m:val="["/>
            <m:endChr m:val="]"/>
            <m:sepChr m:val=""/>
            <m:grow/>
          </m:dPr>
          <m:e>
            <m:r>
              <m:rPr>
                <m:sty m:val="p"/>
              </m:rPr>
              <m:t>+</m:t>
            </m:r>
            <m:r>
              <m:t>0.86</m:t>
            </m:r>
            <m:r>
              <m:rPr>
                <m:sty m:val="p"/>
              </m:rPr>
              <m:t>,</m:t>
            </m:r>
            <m:r>
              <m:rPr>
                <m:sty m:val="p"/>
              </m:rPr>
              <m:t>+</m:t>
            </m:r>
            <m:r>
              <m:t>3.07</m:t>
            </m:r>
          </m:e>
        </m:d>
      </m:oMath>
      <w:r>
        <w:rPr>
          <w:rFonts w:ascii="Arial" w:hAnsi="Arial"/>
        </w:rPr>
        <w:t xml:space="preserve"> </w:t>
      </w:r>
      <w:r>
        <w:rPr>
          <w:rFonts w:ascii="Arial" w:hAnsi="Arial"/>
        </w:rPr>
        <w:t xml:space="preserve">d derived from the TWFE-clustered standard error in Table S1. The transferability residual is</w:t>
      </w:r>
    </w:p>
    <w:p>
      <w:pPr>
        <w:pStyle w:val="BodyText"/>
      </w:pPr>
      <m:oMathPara>
        <m:oMathParaPr>
          <m:jc m:val="center"/>
        </m:oMathParaPr>
        <m:oMath>
          <m:sSub>
            <m:e>
              <m:r>
                <m:t>r</m:t>
              </m:r>
            </m:e>
            <m:sub>
              <m:r>
                <m:t>d</m:t>
              </m:r>
            </m:sub>
          </m:sSub>
          <m:r>
            <m:rPr>
              <m:sty m:val="p"/>
            </m:rPr>
            <m:t>=</m:t>
          </m:r>
          <m:sSub>
            <m:e>
              <m:r>
                <m:t>Δ</m:t>
              </m:r>
            </m:e>
            <m:sub>
              <m:r>
                <m:rPr>
                  <m:sty m:val="p"/>
                </m:rPr>
                <m:t>o</m:t>
              </m:r>
              <m:r>
                <m:rPr>
                  <m:sty m:val="p"/>
                </m:rPr>
                <m:t>b</m:t>
              </m:r>
              <m:r>
                <m:rPr>
                  <m:sty m:val="p"/>
                </m:rPr>
                <m:t>s</m:t>
              </m:r>
              <m:r>
                <m:rPr>
                  <m:sty m:val="p"/>
                </m:rPr>
                <m:t>,</m:t>
              </m:r>
              <m:r>
                <m:t>d</m:t>
              </m:r>
            </m:sub>
          </m:sSub>
          <m:r>
            <m:rPr>
              <m:sty m:val="p"/>
            </m:rPr>
            <m:t>−</m:t>
          </m:r>
          <m:sSub>
            <m:e>
              <m:r>
                <m:t>Δ</m:t>
              </m:r>
            </m:e>
            <m:sub>
              <m:r>
                <m:rPr>
                  <m:sty m:val="p"/>
                </m:rPr>
                <m:t>p</m:t>
              </m:r>
              <m:r>
                <m:rPr>
                  <m:sty m:val="p"/>
                </m:rPr>
                <m:t>r</m:t>
              </m:r>
              <m:r>
                <m:rPr>
                  <m:sty m:val="p"/>
                </m:rPr>
                <m:t>e</m:t>
              </m:r>
              <m:r>
                <m:rPr>
                  <m:sty m:val="p"/>
                </m:rPr>
                <m:t>d</m:t>
              </m:r>
            </m:sub>
          </m:sSub>
          <m:r>
            <m:rPr>
              <m:sty m:val="p"/>
            </m:rPr>
            <m:t>.</m:t>
          </m:r>
        </m:oMath>
      </m:oMathPara>
    </w:p>
    <w:p>
      <w:pPr>
        <w:pStyle w:val="FirstParagraph"/>
      </w:pPr>
      <w:r>
        <w:rPr>
          <w:rFonts w:ascii="Arial" w:hAnsi="Arial"/>
        </w:rPr>
        <w:t xml:space="preserve">A district is recorded as</w:t>
      </w:r>
      <w:r>
        <w:rPr>
          <w:rFonts w:ascii="Arial" w:hAnsi="Arial"/>
        </w:rPr>
        <w:t xml:space="preserve"> </w:t>
      </w:r>
      <w:r>
        <w:rPr>
          <w:rFonts w:ascii="Arial" w:hAnsi="Arial"/>
        </w:rPr>
        <w:t xml:space="preserve">“</w:t>
      </w:r>
      <w:r>
        <w:rPr>
          <w:rFonts w:ascii="Arial" w:hAnsi="Arial"/>
        </w:rPr>
        <w:t xml:space="preserve">inside 95% PI</w:t>
      </w:r>
      <w:r>
        <w:rPr>
          <w:rFonts w:ascii="Arial" w:hAnsi="Arial"/>
        </w:rPr>
        <w:t xml:space="preserve">”</w:t>
      </w:r>
      <w:r>
        <w:rPr>
          <w:rFonts w:ascii="Arial" w:hAnsi="Arial"/>
        </w:rPr>
        <w:t xml:space="preserve"> </w:t>
      </w:r>
      <w:r>
        <w:rPr>
          <w:rFonts w:ascii="Arial" w:hAnsi="Arial"/>
        </w:rPr>
        <w:t xml:space="preserve">if</w:t>
      </w:r>
      <w:r>
        <w:rPr>
          <w:rFonts w:ascii="Arial" w:hAnsi="Arial"/>
        </w:rPr>
        <w:t xml:space="preserve"> </w:t>
      </w:r>
      <m:oMath>
        <m:sSub>
          <m:e>
            <m:r>
              <m:t>Δ</m:t>
            </m:r>
          </m:e>
          <m:sub>
            <m:r>
              <m:rPr>
                <m:sty m:val="p"/>
              </m:rPr>
              <m:t>o</m:t>
            </m:r>
            <m:r>
              <m:rPr>
                <m:sty m:val="p"/>
              </m:rPr>
              <m:t>b</m:t>
            </m:r>
            <m:r>
              <m:rPr>
                <m:sty m:val="p"/>
              </m:rPr>
              <m:t>s</m:t>
            </m:r>
            <m:r>
              <m:rPr>
                <m:sty m:val="p"/>
              </m:rPr>
              <m:t>,</m:t>
            </m:r>
            <m:r>
              <m:t>d</m:t>
            </m:r>
          </m:sub>
        </m:sSub>
        <m:r>
          <m:rPr>
            <m:sty m:val="p"/>
          </m:rPr>
          <m:t>∈</m:t>
        </m:r>
        <m:d>
          <m:dPr>
            <m:begChr m:val="["/>
            <m:endChr m:val="]"/>
            <m:sepChr m:val=""/>
            <m:grow/>
          </m:dPr>
          <m:e>
            <m:r>
              <m:rPr>
                <m:sty m:val="p"/>
              </m:rPr>
              <m:t>+</m:t>
            </m:r>
            <m:r>
              <m:t>0.86</m:t>
            </m:r>
            <m:r>
              <m:rPr>
                <m:sty m:val="p"/>
              </m:rPr>
              <m:t>,</m:t>
            </m:r>
            <m:r>
              <m:rPr>
                <m:sty m:val="p"/>
              </m:rPr>
              <m:t>+</m:t>
            </m:r>
            <m:r>
              <m:t>3.07</m:t>
            </m:r>
          </m:e>
        </m:d>
      </m:oMath>
      <w:r>
        <w:rPr>
          <w:rFonts w:ascii="Arial" w:hAnsi="Arial"/>
        </w:rPr>
        <w:t xml:space="preserve"> </w:t>
      </w:r>
      <w:r>
        <w:rPr>
          <w:rFonts w:ascii="Arial" w:hAnsi="Arial"/>
        </w:rPr>
        <w:t xml:space="preserve">d.</w:t>
      </w:r>
    </w:p>
    <w:bookmarkEnd w:id="22"/>
    <w:bookmarkStart w:id="23" w:name="s1.3-results"/>
    <w:p>
      <w:pPr>
        <w:pStyle w:val="Heading2"/>
      </w:pPr>
      <w:r>
        <w:rPr>
          <w:rFonts w:ascii="Arial" w:hAnsi="Arial"/>
        </w:rPr>
        <w:t xml:space="preserve">S1.3 Results</w:t>
      </w:r>
    </w:p>
    <w:tbl>
      <w:tblPr>
        <w:tblStyle w:val="Table"/>
        <w:tblW w:type="pct" w:w="5000"/>
        <w:jc w:val="left"/>
        <w:tblLayout w:type="fixed"/>
        <w:tblLook w:firstRow="1" w:lastRow="0" w:firstColumn="0" w:lastColumn="0" w:noHBand="0" w:noVBand="0" w:val="0020"/>
      </w:tblPr>
      <w:tblGrid>
        <w:gridCol w:w="798"/>
        <w:gridCol w:w="1264"/>
        <w:gridCol w:w="1930"/>
        <w:gridCol w:w="1996"/>
        <w:gridCol w:w="931"/>
        <w:gridCol w:w="998"/>
      </w:tblGrid>
      <w:tr>
        <w:trPr>
          <w:tblHeader w:val="on"/>
        </w:trPr>
        <w:tc>
          <w:tcPr/>
          <w:p>
            <w:pPr>
              <w:pStyle w:val="Compact"/>
              <w:jc w:val="left"/>
            </w:pPr>
            <w:r>
              <w:rPr>
                <w:rFonts w:ascii="Arial" w:hAnsi="Arial"/>
                <w:sz w:val="18"/>
              </w:rPr>
              <w:t xml:space="preserve">District</w:t>
            </w:r>
          </w:p>
        </w:tc>
        <w:tc>
          <w:tcPr/>
          <w:p>
            <w:pPr>
              <w:pStyle w:val="Compact"/>
              <w:jc w:val="left"/>
            </w:pPr>
            <w:r>
              <w:rPr>
                <w:rFonts w:ascii="Arial" w:hAnsi="Arial"/>
                <w:sz w:val="18"/>
              </w:rPr>
              <w:t xml:space="preserve">Exposure</w:t>
            </w:r>
          </w:p>
        </w:tc>
        <w:tc>
          <w:tcPr/>
          <w:p>
            <w:pPr>
              <w:pStyle w:val="Compact"/>
              <w:jc w:val="right"/>
            </w:pPr>
            <m:oMath>
              <m:sSub>
                <m:e>
                  <m:r>
                    <m:t>Δ</m:t>
                  </m:r>
                </m:e>
                <m:sub>
                  <m:r>
                    <m:rPr>
                      <m:sty m:val="p"/>
                    </m:rPr>
                    <m:t>o</m:t>
                  </m:r>
                  <m:r>
                    <m:rPr>
                      <m:sty m:val="p"/>
                    </m:rPr>
                    <m:t>b</m:t>
                  </m:r>
                  <m:r>
                    <m:rPr>
                      <m:sty m:val="p"/>
                    </m:rPr>
                    <m:t>s</m:t>
                  </m:r>
                </m:sub>
              </m:sSub>
            </m:oMath>
            <w:r>
              <w:rPr>
                <w:rFonts w:ascii="Arial" w:hAnsi="Arial"/>
                <w:sz w:val="18"/>
              </w:rPr>
              <w:t xml:space="preserve"> </w:t>
            </w:r>
            <w:r>
              <w:rPr>
                <w:rFonts w:ascii="Arial" w:hAnsi="Arial"/>
                <w:sz w:val="18"/>
              </w:rPr>
              <w:t xml:space="preserve">(d)</w:t>
            </w:r>
          </w:p>
        </w:tc>
        <w:tc>
          <w:tcPr/>
          <w:p>
            <w:pPr>
              <w:pStyle w:val="Compact"/>
              <w:jc w:val="right"/>
            </w:pPr>
            <m:oMath>
              <m:sSub>
                <m:e>
                  <m:r>
                    <m:t>Δ</m:t>
                  </m:r>
                </m:e>
                <m:sub>
                  <m:r>
                    <m:rPr>
                      <m:sty m:val="p"/>
                    </m:rPr>
                    <m:t>p</m:t>
                  </m:r>
                  <m:r>
                    <m:rPr>
                      <m:sty m:val="p"/>
                    </m:rPr>
                    <m:t>r</m:t>
                  </m:r>
                  <m:r>
                    <m:rPr>
                      <m:sty m:val="p"/>
                    </m:rPr>
                    <m:t>e</m:t>
                  </m:r>
                  <m:r>
                    <m:rPr>
                      <m:sty m:val="p"/>
                    </m:rPr>
                    <m:t>d</m:t>
                  </m:r>
                </m:sub>
              </m:sSub>
            </m:oMath>
            <w:r>
              <w:rPr>
                <w:rFonts w:ascii="Arial" w:hAnsi="Arial"/>
                <w:sz w:val="18"/>
              </w:rPr>
              <w:t xml:space="preserve"> </w:t>
            </w:r>
            <w:r>
              <w:rPr>
                <w:rFonts w:ascii="Arial" w:hAnsi="Arial"/>
                <w:sz w:val="18"/>
              </w:rPr>
              <w:t xml:space="preserve">(d)</w:t>
            </w:r>
          </w:p>
        </w:tc>
        <w:tc>
          <w:tcPr/>
          <w:p>
            <w:pPr>
              <w:pStyle w:val="Compact"/>
              <w:jc w:val="right"/>
            </w:pPr>
            <w:r>
              <w:rPr>
                <w:rFonts w:ascii="Arial" w:hAnsi="Arial"/>
                <w:sz w:val="18"/>
              </w:rPr>
              <w:t xml:space="preserve">Residual (d)</w:t>
            </w:r>
          </w:p>
        </w:tc>
        <w:tc>
          <w:tcPr/>
          <w:p>
            <w:pPr>
              <w:pStyle w:val="Compact"/>
              <w:jc w:val="center"/>
            </w:pPr>
            <w:r>
              <w:rPr>
                <w:rFonts w:ascii="Arial" w:hAnsi="Arial"/>
                <w:sz w:val="18"/>
              </w:rPr>
              <w:t xml:space="preserve">Inside 95% PI</w:t>
            </w:r>
          </w:p>
        </w:tc>
      </w:tr>
      <w:tr>
        <w:tc>
          <w:tcPr/>
          <w:p>
            <w:pPr>
              <w:pStyle w:val="Compact"/>
              <w:jc w:val="left"/>
            </w:pPr>
            <w:r>
              <w:rPr>
                <w:rFonts w:ascii="Arial" w:hAnsi="Arial"/>
                <w:sz w:val="18"/>
              </w:rPr>
              <w:t xml:space="preserve">Boudh</w:t>
            </w:r>
          </w:p>
        </w:tc>
        <w:tc>
          <w:tcPr/>
          <w:p>
            <w:pPr>
              <w:pStyle w:val="Compact"/>
              <w:jc w:val="left"/>
            </w:pPr>
            <w:r>
              <w:rPr>
                <w:rFonts w:ascii="Arial" w:hAnsi="Arial"/>
                <w:sz w:val="18"/>
              </w:rPr>
              <w:t xml:space="preserve">inland rainfall</w:t>
            </w:r>
          </w:p>
        </w:tc>
        <w:tc>
          <w:tcPr/>
          <w:p>
            <w:pPr>
              <w:pStyle w:val="Compact"/>
              <w:jc w:val="right"/>
            </w:pPr>
            <w:r>
              <w:rPr>
                <w:rFonts w:ascii="Arial" w:hAnsi="Arial"/>
                <w:sz w:val="18"/>
              </w:rPr>
              <w:t xml:space="preserve">−0.12</w:t>
            </w:r>
          </w:p>
        </w:tc>
        <w:tc>
          <w:tcPr/>
          <w:p>
            <w:pPr>
              <w:pStyle w:val="Compact"/>
              <w:jc w:val="right"/>
            </w:pPr>
            <w:r>
              <w:rPr>
                <w:rFonts w:ascii="Arial" w:hAnsi="Arial"/>
                <w:sz w:val="18"/>
              </w:rPr>
              <w:t xml:space="preserve">+1.96</w:t>
            </w:r>
          </w:p>
        </w:tc>
        <w:tc>
          <w:tcPr/>
          <w:p>
            <w:pPr>
              <w:pStyle w:val="Compact"/>
              <w:jc w:val="right"/>
            </w:pPr>
            <w:r>
              <w:rPr>
                <w:rFonts w:ascii="Arial" w:hAnsi="Arial"/>
                <w:sz w:val="18"/>
              </w:rPr>
              <w:t xml:space="preserve">−2.09</w:t>
            </w:r>
          </w:p>
        </w:tc>
        <w:tc>
          <w:tcPr/>
          <w:p>
            <w:pPr>
              <w:pStyle w:val="Compact"/>
              <w:jc w:val="center"/>
            </w:pPr>
            <w:r>
              <w:rPr>
                <w:rFonts w:ascii="Arial" w:hAnsi="Arial"/>
                <w:sz w:val="18"/>
              </w:rPr>
              <w:t xml:space="preserve">no</w:t>
            </w:r>
          </w:p>
        </w:tc>
      </w:tr>
      <w:tr>
        <w:tc>
          <w:tcPr/>
          <w:p>
            <w:pPr>
              <w:pStyle w:val="Compact"/>
              <w:jc w:val="left"/>
            </w:pPr>
            <w:r>
              <w:rPr>
                <w:rFonts w:ascii="Arial" w:hAnsi="Arial"/>
                <w:sz w:val="18"/>
              </w:rPr>
              <w:t xml:space="preserve">Ganjam</w:t>
            </w:r>
          </w:p>
        </w:tc>
        <w:tc>
          <w:tcPr/>
          <w:p>
            <w:pPr>
              <w:pStyle w:val="Compact"/>
              <w:jc w:val="left"/>
            </w:pPr>
            <w:r>
              <w:rPr>
                <w:rFonts w:ascii="Arial" w:hAnsi="Arial"/>
                <w:sz w:val="18"/>
              </w:rPr>
              <w:t xml:space="preserve">coastal rainfall</w:t>
            </w:r>
          </w:p>
        </w:tc>
        <w:tc>
          <w:tcPr/>
          <w:p>
            <w:pPr>
              <w:pStyle w:val="Compact"/>
              <w:jc w:val="right"/>
            </w:pPr>
            <w:r>
              <w:rPr>
                <w:rFonts w:ascii="Arial" w:hAnsi="Arial"/>
                <w:sz w:val="18"/>
              </w:rPr>
              <w:t xml:space="preserve">−3.89</w:t>
            </w:r>
          </w:p>
        </w:tc>
        <w:tc>
          <w:tcPr/>
          <w:p>
            <w:pPr>
              <w:pStyle w:val="Compact"/>
              <w:jc w:val="right"/>
            </w:pPr>
            <w:r>
              <w:rPr>
                <w:rFonts w:ascii="Arial" w:hAnsi="Arial"/>
                <w:sz w:val="18"/>
              </w:rPr>
              <w:t xml:space="preserve">+1.96</w:t>
            </w:r>
          </w:p>
        </w:tc>
        <w:tc>
          <w:tcPr/>
          <w:p>
            <w:pPr>
              <w:pStyle w:val="Compact"/>
              <w:jc w:val="right"/>
            </w:pPr>
            <w:r>
              <w:rPr>
                <w:rFonts w:ascii="Arial" w:hAnsi="Arial"/>
                <w:sz w:val="18"/>
              </w:rPr>
              <w:t xml:space="preserve">−5.85</w:t>
            </w:r>
          </w:p>
        </w:tc>
        <w:tc>
          <w:tcPr/>
          <w:p>
            <w:pPr>
              <w:pStyle w:val="Compact"/>
              <w:jc w:val="center"/>
            </w:pPr>
            <w:r>
              <w:rPr>
                <w:rFonts w:ascii="Arial" w:hAnsi="Arial"/>
                <w:sz w:val="18"/>
              </w:rPr>
              <w:t xml:space="preserve">no</w:t>
            </w:r>
          </w:p>
        </w:tc>
      </w:tr>
      <w:tr>
        <w:tc>
          <w:tcPr/>
          <w:p>
            <w:pPr>
              <w:pStyle w:val="Compact"/>
              <w:jc w:val="left"/>
            </w:pPr>
            <w:r>
              <w:rPr>
                <w:rFonts w:ascii="Arial" w:hAnsi="Arial"/>
                <w:sz w:val="18"/>
              </w:rPr>
              <w:t xml:space="preserve">Kandhamal</w:t>
            </w:r>
          </w:p>
        </w:tc>
        <w:tc>
          <w:tcPr/>
          <w:p>
            <w:pPr>
              <w:pStyle w:val="Compact"/>
              <w:jc w:val="left"/>
            </w:pPr>
            <w:r>
              <w:rPr>
                <w:rFonts w:ascii="Arial" w:hAnsi="Arial"/>
                <w:sz w:val="18"/>
              </w:rPr>
              <w:t xml:space="preserve">inland rainfall</w:t>
            </w:r>
          </w:p>
        </w:tc>
        <w:tc>
          <w:tcPr/>
          <w:p>
            <w:pPr>
              <w:pStyle w:val="Compact"/>
              <w:jc w:val="right"/>
            </w:pPr>
            <w:r>
              <w:rPr>
                <w:rFonts w:ascii="Arial" w:hAnsi="Arial"/>
                <w:sz w:val="18"/>
              </w:rPr>
              <w:t xml:space="preserve">+0.52</w:t>
            </w:r>
          </w:p>
        </w:tc>
        <w:tc>
          <w:tcPr/>
          <w:p>
            <w:pPr>
              <w:pStyle w:val="Compact"/>
              <w:jc w:val="right"/>
            </w:pPr>
            <w:r>
              <w:rPr>
                <w:rFonts w:ascii="Arial" w:hAnsi="Arial"/>
                <w:sz w:val="18"/>
              </w:rPr>
              <w:t xml:space="preserve">+1.96</w:t>
            </w:r>
          </w:p>
        </w:tc>
        <w:tc>
          <w:tcPr/>
          <w:p>
            <w:pPr>
              <w:pStyle w:val="Compact"/>
              <w:jc w:val="right"/>
            </w:pPr>
            <w:r>
              <w:rPr>
                <w:rFonts w:ascii="Arial" w:hAnsi="Arial"/>
                <w:sz w:val="18"/>
              </w:rPr>
              <w:t xml:space="preserve">−1.44</w:t>
            </w:r>
          </w:p>
        </w:tc>
        <w:tc>
          <w:tcPr/>
          <w:p>
            <w:pPr>
              <w:pStyle w:val="Compact"/>
              <w:jc w:val="center"/>
            </w:pPr>
            <w:r>
              <w:rPr>
                <w:rFonts w:ascii="Arial" w:hAnsi="Arial"/>
                <w:sz w:val="18"/>
              </w:rPr>
              <w:t xml:space="preserve">no</w:t>
            </w:r>
          </w:p>
        </w:tc>
      </w:tr>
      <w:tr>
        <w:tc>
          <w:tcPr/>
          <w:p>
            <w:pPr>
              <w:pStyle w:val="Compact"/>
              <w:jc w:val="left"/>
            </w:pPr>
            <w:r>
              <w:rPr>
                <w:rFonts w:ascii="Arial" w:hAnsi="Arial"/>
                <w:sz w:val="18"/>
              </w:rPr>
              <w:t xml:space="preserve">Khordha</w:t>
            </w:r>
          </w:p>
        </w:tc>
        <w:tc>
          <w:tcPr/>
          <w:p>
            <w:pPr>
              <w:pStyle w:val="Compact"/>
              <w:jc w:val="left"/>
            </w:pPr>
            <w:r>
              <w:rPr>
                <w:rFonts w:ascii="Arial" w:hAnsi="Arial"/>
                <w:sz w:val="18"/>
              </w:rPr>
              <w:t xml:space="preserve">coastal rainfall</w:t>
            </w:r>
          </w:p>
        </w:tc>
        <w:tc>
          <w:tcPr/>
          <w:p>
            <w:pPr>
              <w:pStyle w:val="Compact"/>
              <w:jc w:val="right"/>
            </w:pPr>
            <w:r>
              <w:rPr>
                <w:rFonts w:ascii="Arial" w:hAnsi="Arial"/>
                <w:sz w:val="18"/>
              </w:rPr>
              <w:t xml:space="preserve">−1.06</w:t>
            </w:r>
          </w:p>
        </w:tc>
        <w:tc>
          <w:tcPr/>
          <w:p>
            <w:pPr>
              <w:pStyle w:val="Compact"/>
              <w:jc w:val="right"/>
            </w:pPr>
            <w:r>
              <w:rPr>
                <w:rFonts w:ascii="Arial" w:hAnsi="Arial"/>
                <w:sz w:val="18"/>
              </w:rPr>
              <w:t xml:space="preserve">+1.96</w:t>
            </w:r>
          </w:p>
        </w:tc>
        <w:tc>
          <w:tcPr/>
          <w:p>
            <w:pPr>
              <w:pStyle w:val="Compact"/>
              <w:jc w:val="right"/>
            </w:pPr>
            <w:r>
              <w:rPr>
                <w:rFonts w:ascii="Arial" w:hAnsi="Arial"/>
                <w:sz w:val="18"/>
              </w:rPr>
              <w:t xml:space="preserve">−3.02</w:t>
            </w:r>
          </w:p>
        </w:tc>
        <w:tc>
          <w:tcPr/>
          <w:p>
            <w:pPr>
              <w:pStyle w:val="Compact"/>
              <w:jc w:val="center"/>
            </w:pPr>
            <w:r>
              <w:rPr>
                <w:rFonts w:ascii="Arial" w:hAnsi="Arial"/>
                <w:sz w:val="18"/>
              </w:rPr>
              <w:t xml:space="preserve">no</w:t>
            </w:r>
          </w:p>
        </w:tc>
      </w:tr>
      <w:tr>
        <w:tc>
          <w:tcPr/>
          <w:p>
            <w:pPr>
              <w:pStyle w:val="Compact"/>
              <w:jc w:val="left"/>
            </w:pPr>
            <w:r>
              <w:rPr>
                <w:rFonts w:ascii="Arial" w:hAnsi="Arial"/>
                <w:sz w:val="18"/>
              </w:rPr>
              <w:t xml:space="preserve">Mayurbhanj</w:t>
            </w:r>
          </w:p>
        </w:tc>
        <w:tc>
          <w:tcPr/>
          <w:p>
            <w:pPr>
              <w:pStyle w:val="Compact"/>
              <w:jc w:val="left"/>
            </w:pPr>
            <w:r>
              <w:rPr>
                <w:rFonts w:ascii="Arial" w:hAnsi="Arial"/>
                <w:sz w:val="18"/>
              </w:rPr>
              <w:t xml:space="preserve">coastal rainfall</w:t>
            </w:r>
          </w:p>
        </w:tc>
        <w:tc>
          <w:tcPr/>
          <w:p>
            <w:pPr>
              <w:pStyle w:val="Compact"/>
              <w:jc w:val="right"/>
            </w:pPr>
            <w:r>
              <w:rPr>
                <w:rFonts w:ascii="Arial" w:hAnsi="Arial"/>
                <w:sz w:val="18"/>
              </w:rPr>
              <w:t xml:space="preserve">+1.58</w:t>
            </w:r>
          </w:p>
        </w:tc>
        <w:tc>
          <w:tcPr/>
          <w:p>
            <w:pPr>
              <w:pStyle w:val="Compact"/>
              <w:jc w:val="right"/>
            </w:pPr>
            <w:r>
              <w:rPr>
                <w:rFonts w:ascii="Arial" w:hAnsi="Arial"/>
                <w:sz w:val="18"/>
              </w:rPr>
              <w:t xml:space="preserve">+1.96</w:t>
            </w:r>
          </w:p>
        </w:tc>
        <w:tc>
          <w:tcPr/>
          <w:p>
            <w:pPr>
              <w:pStyle w:val="Compact"/>
              <w:jc w:val="right"/>
            </w:pPr>
            <w:r>
              <w:rPr>
                <w:rFonts w:ascii="Arial" w:hAnsi="Arial"/>
                <w:sz w:val="18"/>
              </w:rPr>
              <w:t xml:space="preserve">−0.39</w:t>
            </w:r>
          </w:p>
        </w:tc>
        <w:tc>
          <w:tcPr/>
          <w:p>
            <w:pPr>
              <w:pStyle w:val="Compact"/>
              <w:jc w:val="center"/>
            </w:pPr>
            <w:r>
              <w:rPr>
                <w:rFonts w:ascii="Arial" w:hAnsi="Arial"/>
                <w:sz w:val="18"/>
              </w:rPr>
              <w:t xml:space="preserve">yes</w:t>
            </w:r>
          </w:p>
        </w:tc>
      </w:tr>
      <w:tr>
        <w:tc>
          <w:tcPr/>
          <w:p>
            <w:pPr>
              <w:pStyle w:val="Compact"/>
              <w:jc w:val="left"/>
            </w:pPr>
            <w:r>
              <w:rPr>
                <w:rFonts w:ascii="Arial" w:hAnsi="Arial"/>
                <w:sz w:val="18"/>
              </w:rPr>
              <w:t xml:space="preserve">Nayagarh</w:t>
            </w:r>
          </w:p>
        </w:tc>
        <w:tc>
          <w:tcPr/>
          <w:p>
            <w:pPr>
              <w:pStyle w:val="Compact"/>
              <w:jc w:val="left"/>
            </w:pPr>
            <w:r>
              <w:rPr>
                <w:rFonts w:ascii="Arial" w:hAnsi="Arial"/>
                <w:sz w:val="18"/>
              </w:rPr>
              <w:t xml:space="preserve">inland rainfall</w:t>
            </w:r>
          </w:p>
        </w:tc>
        <w:tc>
          <w:tcPr/>
          <w:p>
            <w:pPr>
              <w:pStyle w:val="Compact"/>
              <w:jc w:val="right"/>
            </w:pPr>
            <w:r>
              <w:rPr>
                <w:rFonts w:ascii="Arial" w:hAnsi="Arial"/>
                <w:sz w:val="18"/>
              </w:rPr>
              <w:t xml:space="preserve">+3.30</w:t>
            </w:r>
          </w:p>
        </w:tc>
        <w:tc>
          <w:tcPr/>
          <w:p>
            <w:pPr>
              <w:pStyle w:val="Compact"/>
              <w:jc w:val="right"/>
            </w:pPr>
            <w:r>
              <w:rPr>
                <w:rFonts w:ascii="Arial" w:hAnsi="Arial"/>
                <w:sz w:val="18"/>
              </w:rPr>
              <w:t xml:space="preserve">+1.96</w:t>
            </w:r>
          </w:p>
        </w:tc>
        <w:tc>
          <w:tcPr/>
          <w:p>
            <w:pPr>
              <w:pStyle w:val="Compact"/>
              <w:jc w:val="right"/>
            </w:pPr>
            <w:r>
              <w:rPr>
                <w:rFonts w:ascii="Arial" w:hAnsi="Arial"/>
                <w:sz w:val="18"/>
              </w:rPr>
              <w:t xml:space="preserve">+1.34</w:t>
            </w:r>
          </w:p>
        </w:tc>
        <w:tc>
          <w:tcPr/>
          <w:p>
            <w:pPr>
              <w:pStyle w:val="Compact"/>
              <w:jc w:val="center"/>
            </w:pPr>
            <w:r>
              <w:rPr>
                <w:rFonts w:ascii="Arial" w:hAnsi="Arial"/>
                <w:sz w:val="18"/>
              </w:rPr>
              <w:t xml:space="preserve">no</w:t>
            </w:r>
          </w:p>
        </w:tc>
      </w:tr>
    </w:tbl>
    <w:p>
      <w:pPr>
        <w:pStyle w:val="BodyText"/>
      </w:pPr>
      <w:r>
        <w:rPr>
          <w:rFonts w:ascii="Arial" w:hAnsi="Arial"/>
        </w:rPr>
        <w:t xml:space="preserve">(Source:</w:t>
      </w:r>
      <w:r>
        <w:rPr>
          <w:rFonts w:ascii="Arial" w:hAnsi="Arial"/>
        </w:rPr>
        <w:t xml:space="preserve"> </w:t>
      </w:r>
      <w:r>
        <w:rPr>
          <w:rStyle w:val="VerbatimChar"/>
          <w:rFonts w:ascii="Arial" w:hAnsi="Arial"/>
        </w:rPr>
        <w:t xml:space="preserve">analysis/results/bulbul_transferability.csv</w:t>
      </w:r>
      <w:r>
        <w:rPr>
          <w:rFonts w:ascii="Arial" w:hAnsi="Arial"/>
        </w:rPr>
        <w:t xml:space="preserve">; full rendering in Table S3.)</w:t>
      </w:r>
    </w:p>
    <w:p>
      <w:pPr>
        <w:pStyle w:val="BodyText"/>
      </w:pPr>
      <w:r>
        <w:rPr>
          <w:rFonts w:ascii="Arial" w:hAnsi="Arial"/>
        </w:rPr>
        <w:t xml:space="preserve">Five of the six probe districts produce</w:t>
      </w:r>
      <w:r>
        <w:rPr>
          <w:rFonts w:ascii="Arial" w:hAnsi="Arial"/>
        </w:rPr>
        <w:t xml:space="preserve"> </w:t>
      </w:r>
      <w:r>
        <w:rPr>
          <w:rFonts w:ascii="Arial" w:hAnsi="Arial"/>
          <w:i/>
          <w:iCs/>
        </w:rPr>
        <w:t xml:space="preserve">negative</w:t>
      </w:r>
      <w:r>
        <w:rPr>
          <w:rFonts w:ascii="Arial" w:hAnsi="Arial"/>
        </w:rPr>
        <w:t xml:space="preserve"> </w:t>
      </w:r>
      <w:r>
        <w:rPr>
          <w:rFonts w:ascii="Arial" w:hAnsi="Arial"/>
        </w:rPr>
        <w:t xml:space="preserve">residuals (mean residual</w:t>
      </w:r>
      <w:r>
        <w:rPr>
          <w:rFonts w:ascii="Arial" w:hAnsi="Arial"/>
        </w:rPr>
        <w:t xml:space="preserve"> </w:t>
      </w:r>
      <m:oMath>
        <m:acc>
          <m:accPr>
            <m:chr m:val="‾"/>
          </m:accPr>
          <m:e>
            <m:r>
              <m:t>r</m:t>
            </m:r>
          </m:e>
        </m:acc>
        <m:r>
          <m:rPr>
            <m:sty m:val="p"/>
          </m:rPr>
          <m:t>=</m:t>
        </m:r>
        <m:r>
          <m:rPr>
            <m:sty m:val="p"/>
          </m:rPr>
          <m:t>−</m:t>
        </m:r>
        <m:r>
          <m:t>1.91</m:t>
        </m:r>
      </m:oMath>
      <w:r>
        <w:rPr>
          <w:rFonts w:ascii="Arial" w:hAnsi="Arial"/>
        </w:rPr>
        <w:t xml:space="preserve"> </w:t>
      </w:r>
      <w:r>
        <w:rPr>
          <w:rFonts w:ascii="Arial" w:hAnsi="Arial"/>
        </w:rPr>
        <w:t xml:space="preserve">d, range</w:t>
      </w:r>
      <w:r>
        <w:rPr>
          <w:rFonts w:ascii="Arial" w:hAnsi="Arial"/>
        </w:rPr>
        <w:t xml:space="preserve"> </w:t>
      </w:r>
      <m:oMath>
        <m:d>
          <m:dPr>
            <m:begChr m:val="["/>
            <m:endChr m:val="]"/>
            <m:sepChr m:val=""/>
            <m:grow/>
          </m:dPr>
          <m:e>
            <m:r>
              <m:rPr>
                <m:sty m:val="p"/>
              </m:rPr>
              <m:t>−</m:t>
            </m:r>
            <m:r>
              <m:t>5.85</m:t>
            </m:r>
            <m:r>
              <m:rPr>
                <m:sty m:val="p"/>
              </m:rPr>
              <m:t>,</m:t>
            </m:r>
            <m:r>
              <m:rPr>
                <m:sty m:val="p"/>
              </m:rPr>
              <m:t>+</m:t>
            </m:r>
            <m:r>
              <m:t>1.34</m:t>
            </m:r>
          </m:e>
        </m:d>
      </m:oMath>
      <w:r>
        <w:rPr>
          <w:rFonts w:ascii="Arial" w:hAnsi="Arial"/>
        </w:rPr>
        <w:t xml:space="preserve"> </w:t>
      </w:r>
      <w:r>
        <w:rPr>
          <w:rFonts w:ascii="Arial" w:hAnsi="Arial"/>
        </w:rPr>
        <w:t xml:space="preserve">d). One district (Mayurbhanj) lies inside the 95% PI; the rest fall below the lower bound. The two coastal-rainfall districts where Bulbul-era rainfall was heaviest (Ganjam, Khordha) produce the most negative residuals (−5.85, −3.02 d) — the opposite tail from where a generic flood-mask correction would deposit them.</w:t>
      </w:r>
    </w:p>
    <w:bookmarkEnd w:id="23"/>
    <w:bookmarkStart w:id="24" w:name="s1.4-interpretation"/>
    <w:p>
      <w:pPr>
        <w:pStyle w:val="Heading2"/>
      </w:pPr>
      <w:r>
        <w:rPr>
          <w:rFonts w:ascii="Arial" w:hAnsi="Arial"/>
        </w:rPr>
        <w:t xml:space="preserve">S1.4 Interpretation</w:t>
      </w:r>
    </w:p>
    <w:p>
      <w:pPr>
        <w:pStyle w:val="FirstParagraph"/>
      </w:pPr>
      <w:r>
        <w:rPr>
          <w:rFonts w:ascii="Arial" w:hAnsi="Arial"/>
        </w:rPr>
        <w:t xml:space="preserve">The signature in §S1.3 is the pre-registered falsification-survival pattern: the corrected pipeline does</w:t>
      </w:r>
      <w:r>
        <w:rPr>
          <w:rFonts w:ascii="Arial" w:hAnsi="Arial"/>
        </w:rPr>
        <w:t xml:space="preserve"> </w:t>
      </w:r>
      <w:r>
        <w:rPr>
          <w:rFonts w:ascii="Arial" w:hAnsi="Arial"/>
          <w:i/>
          <w:iCs/>
        </w:rPr>
        <w:t xml:space="preserve">not</w:t>
      </w:r>
      <w:r>
        <w:rPr>
          <w:rFonts w:ascii="Arial" w:hAnsi="Arial"/>
        </w:rPr>
        <w:t xml:space="preserve"> </w:t>
      </w:r>
      <w:r>
        <w:rPr>
          <w:rFonts w:ascii="Arial" w:hAnsi="Arial"/>
        </w:rPr>
        <w:t xml:space="preserve">transfer to the post-monsoon freshwater-rainfall context. Five of six districts shift</w:t>
      </w:r>
      <w:r>
        <w:rPr>
          <w:rFonts w:ascii="Arial" w:hAnsi="Arial"/>
        </w:rPr>
        <w:t xml:space="preserve"> </w:t>
      </w:r>
      <w:r>
        <w:rPr>
          <w:rFonts w:ascii="Arial" w:hAnsi="Arial"/>
          <w:i/>
          <w:iCs/>
        </w:rPr>
        <w:t xml:space="preserve">less</w:t>
      </w:r>
      <w:r>
        <w:rPr>
          <w:rFonts w:ascii="Arial" w:hAnsi="Arial"/>
        </w:rPr>
        <w:t xml:space="preserve"> </w:t>
      </w:r>
      <w:r>
        <w:rPr>
          <w:rFonts w:ascii="Arial" w:hAnsi="Arial"/>
        </w:rPr>
        <w:t xml:space="preserve">than the headline prediction (or in the opposite direction), and the over-shoot at Nayagarh (+1.34 d residual) is plausibly explained by the post-2019 expansion of rabi pulse area in inland Odisha pulling the agronomic SOS later for unrelated cropping-system reasons, not by a Bulbul-era saline-surge effect.</w:t>
      </w:r>
    </w:p>
    <w:p>
      <w:pPr>
        <w:pStyle w:val="BodyText"/>
      </w:pPr>
      <w:r>
        <w:rPr>
          <w:rFonts w:ascii="Arial" w:hAnsi="Arial"/>
        </w:rPr>
        <w:t xml:space="preserve">We interpret this pattern as evidence that the trained correction operator is</w:t>
      </w:r>
      <w:r>
        <w:rPr>
          <w:rFonts w:ascii="Arial" w:hAnsi="Arial"/>
        </w:rPr>
        <w:t xml:space="preserve"> </w:t>
      </w:r>
      <w:r>
        <w:rPr>
          <w:rFonts w:ascii="Arial" w:hAnsi="Arial"/>
          <w:i/>
          <w:iCs/>
        </w:rPr>
        <w:t xml:space="preserve">mechanism-specific</w:t>
      </w:r>
      <w:r>
        <w:rPr>
          <w:rFonts w:ascii="Arial" w:hAnsi="Arial"/>
        </w:rPr>
        <w:t xml:space="preserve"> </w:t>
      </w:r>
      <w:r>
        <w:rPr>
          <w:rFonts w:ascii="Arial" w:hAnsi="Arial"/>
        </w:rPr>
        <w:t xml:space="preserve">to the saline storm-surge backscatter signature in the pre-Kharif window:</w:t>
      </w:r>
    </w:p>
    <w:p>
      <w:pPr>
        <w:pStyle w:val="Compact"/>
        <w:numPr>
          <w:ilvl w:val="0"/>
          <w:numId w:val="1003"/>
        </w:numPr>
      </w:pPr>
      <w:r>
        <w:rPr>
          <w:rFonts w:ascii="Arial" w:hAnsi="Arial"/>
        </w:rPr>
        <w:t xml:space="preserve">The correction does not over-generalise to a generic excess-water mask. Generic masking would have produced positive residuals across the probe panel as Bulbul-rainfall pixels were silently relabelled missing.</w:t>
      </w:r>
    </w:p>
    <w:p>
      <w:pPr>
        <w:pStyle w:val="Compact"/>
        <w:numPr>
          <w:ilvl w:val="0"/>
          <w:numId w:val="1003"/>
        </w:numPr>
      </w:pPr>
      <w:r>
        <w:rPr>
          <w:rFonts w:ascii="Arial" w:hAnsi="Arial"/>
        </w:rPr>
        <w:t xml:space="preserve">The correction is calendar-window-specific. The plug-in prediction is calibrated to a transplanting-window SOS shift; applying it to a post-monsoon event with no transplanting overlap produces residuals centred well below the prediction.</w:t>
      </w:r>
    </w:p>
    <w:p>
      <w:pPr>
        <w:pStyle w:val="Compact"/>
        <w:numPr>
          <w:ilvl w:val="0"/>
          <w:numId w:val="1003"/>
        </w:numPr>
      </w:pPr>
      <w:r>
        <w:rPr>
          <w:rFonts w:ascii="Arial" w:hAnsi="Arial"/>
        </w:rPr>
        <w:t xml:space="preserve">The correction is mechanism-class-specific. Coastal Odisha districts that received Bulbul</w:t>
      </w:r>
      <w:r>
        <w:rPr>
          <w:rFonts w:ascii="Arial" w:hAnsi="Arial"/>
        </w:rPr>
        <w:t xml:space="preserve"> </w:t>
      </w:r>
      <w:r>
        <w:rPr>
          <w:rFonts w:ascii="Arial" w:hAnsi="Arial"/>
          <w:i/>
          <w:iCs/>
        </w:rPr>
        <w:t xml:space="preserve">rainfall</w:t>
      </w:r>
      <w:r>
        <w:rPr>
          <w:rFonts w:ascii="Arial" w:hAnsi="Arial"/>
        </w:rPr>
        <w:t xml:space="preserve"> </w:t>
      </w:r>
      <w:r>
        <w:rPr>
          <w:rFonts w:ascii="Arial" w:hAnsi="Arial"/>
        </w:rPr>
        <w:t xml:space="preserve">without saline ingress did not behave as if they had received Bulbul</w:t>
      </w:r>
      <w:r>
        <w:rPr>
          <w:rFonts w:ascii="Arial" w:hAnsi="Arial"/>
        </w:rPr>
        <w:t xml:space="preserve"> </w:t>
      </w:r>
      <w:r>
        <w:rPr>
          <w:rFonts w:ascii="Arial" w:hAnsi="Arial"/>
          <w:i/>
          <w:iCs/>
        </w:rPr>
        <w:t xml:space="preserve">surge</w:t>
      </w:r>
      <w:r>
        <w:rPr>
          <w:rFonts w:ascii="Arial" w:hAnsi="Arial"/>
        </w:rPr>
        <w:t xml:space="preserve">.</w:t>
      </w:r>
    </w:p>
    <w:p>
      <w:pPr>
        <w:pStyle w:val="FirstParagraph"/>
      </w:pPr>
      <w:r>
        <w:rPr>
          <w:rFonts w:ascii="Arial" w:hAnsi="Arial"/>
        </w:rPr>
        <w:t xml:space="preserve">The pattern is consistent with the SUTVA / no-interference assumption invoked in §3.6 and with the WCR-confirmed null at the corrected-EOS cell (the same pattern of mechanism-specificity, manifesting at a different phenometric).</w:t>
      </w:r>
    </w:p>
    <w:bookmarkEnd w:id="24"/>
    <w:bookmarkStart w:id="25" w:name="s1.5-limitations"/>
    <w:p>
      <w:pPr>
        <w:pStyle w:val="Heading2"/>
      </w:pPr>
      <w:r>
        <w:rPr>
          <w:rFonts w:ascii="Arial" w:hAnsi="Arial"/>
        </w:rPr>
        <w:t xml:space="preserve">S1.5 Limitations</w:t>
      </w:r>
    </w:p>
    <w:p>
      <w:pPr>
        <w:pStyle w:val="FirstParagraph"/>
      </w:pPr>
      <w:r>
        <w:rPr>
          <w:rFonts w:ascii="Arial" w:hAnsi="Arial"/>
        </w:rPr>
        <w:t xml:space="preserve">Three caveats accompany this transferability probe, each declared at pre-registration:</w:t>
      </w:r>
    </w:p>
    <w:p>
      <w:pPr>
        <w:pStyle w:val="Compact"/>
        <w:numPr>
          <w:ilvl w:val="0"/>
          <w:numId w:val="1004"/>
        </w:numPr>
      </w:pPr>
      <w:r>
        <w:rPr>
          <w:rFonts w:ascii="Arial" w:hAnsi="Arial"/>
          <w:b/>
          <w:bCs/>
        </w:rPr>
        <w:t xml:space="preserve">Six is small.</w:t>
      </w:r>
      <w:r>
        <w:rPr>
          <w:rFonts w:ascii="Arial" w:hAnsi="Arial"/>
        </w:rPr>
        <w:t xml:space="preserve"> </w:t>
      </w:r>
      <w:r>
        <w:rPr>
          <w:rFonts w:ascii="Arial" w:hAnsi="Arial"/>
        </w:rPr>
        <w:t xml:space="preserve">Six probe districts are not enough to reject a generic-mask alternative formally; we report the result as a directional probe, not as a hypothesis test. The mean-residual point estimate (−1.91 d) is the headline summary; we do not attach a</w:t>
      </w:r>
      <w:r>
        <w:rPr>
          <w:rFonts w:ascii="Arial" w:hAnsi="Arial"/>
        </w:rPr>
        <w:t xml:space="preserve"> </w:t>
      </w:r>
      <m:oMath>
        <m:r>
          <m:t>p</m:t>
        </m:r>
      </m:oMath>
      <w:r>
        <w:rPr>
          <w:rFonts w:ascii="Arial" w:hAnsi="Arial"/>
        </w:rPr>
        <w:t xml:space="preserve">-value to it.</w:t>
      </w:r>
    </w:p>
    <w:p>
      <w:pPr>
        <w:pStyle w:val="Compact"/>
        <w:numPr>
          <w:ilvl w:val="0"/>
          <w:numId w:val="1004"/>
        </w:numPr>
      </w:pPr>
      <w:r>
        <w:rPr>
          <w:rFonts w:ascii="Arial" w:hAnsi="Arial"/>
          <w:b/>
          <w:bCs/>
        </w:rPr>
        <w:t xml:space="preserve">Probe districts are not random.</w:t>
      </w:r>
      <w:r>
        <w:rPr>
          <w:rFonts w:ascii="Arial" w:hAnsi="Arial"/>
        </w:rPr>
        <w:t xml:space="preserve"> </w:t>
      </w:r>
      <w:r>
        <w:rPr>
          <w:rFonts w:ascii="Arial" w:hAnsi="Arial"/>
        </w:rPr>
        <w:t xml:space="preserve">District selection followed the IMD 2019 Bulbul rainfall-impact assessment, not random sampling from the universe of Odisha districts. The probe is therefore best read as a</w:t>
      </w:r>
      <w:r>
        <w:rPr>
          <w:rFonts w:ascii="Arial" w:hAnsi="Arial"/>
        </w:rPr>
        <w:t xml:space="preserve"> </w:t>
      </w:r>
      <w:r>
        <w:rPr>
          <w:rFonts w:ascii="Arial" w:hAnsi="Arial"/>
          <w:i/>
          <w:iCs/>
        </w:rPr>
        <w:t xml:space="preserve">targeted</w:t>
      </w:r>
      <w:r>
        <w:rPr>
          <w:rFonts w:ascii="Arial" w:hAnsi="Arial"/>
        </w:rPr>
        <w:t xml:space="preserve"> </w:t>
      </w:r>
      <w:r>
        <w:rPr>
          <w:rFonts w:ascii="Arial" w:hAnsi="Arial"/>
        </w:rPr>
        <w:t xml:space="preserve">falsification test against the most plausible alternative (generic flood masking transferring to a high-rainfall post-monsoon event), not as a representative survey.</w:t>
      </w:r>
    </w:p>
    <w:p>
      <w:pPr>
        <w:pStyle w:val="Compact"/>
        <w:numPr>
          <w:ilvl w:val="0"/>
          <w:numId w:val="1004"/>
        </w:numPr>
      </w:pPr>
      <w:r>
        <w:rPr>
          <w:rFonts w:ascii="Arial" w:hAnsi="Arial"/>
          <w:b/>
          <w:bCs/>
        </w:rPr>
        <w:t xml:space="preserve">Single year.</w:t>
      </w:r>
      <w:r>
        <w:rPr>
          <w:rFonts w:ascii="Arial" w:hAnsi="Arial"/>
        </w:rPr>
        <w:t xml:space="preserve"> </w:t>
      </w:r>
      <w:r>
        <w:rPr>
          <w:rFonts w:ascii="Arial" w:hAnsi="Arial"/>
        </w:rPr>
        <w:t xml:space="preserve">Only the 2020 Kharif window is observable as the post-Bulbul probe season; prior Kharif seasons (2017, 2018) anchor the within-district baseline but cannot themselves be probed against Bulbul. The probe is therefore one observation per district, not a panel.</w:t>
      </w:r>
    </w:p>
    <w:p>
      <w:pPr>
        <w:pStyle w:val="FirstParagraph"/>
      </w:pPr>
      <w:r>
        <w:rPr>
          <w:rFonts w:ascii="Arial" w:hAnsi="Arial"/>
        </w:rPr>
        <w:t xml:space="preserve">These limitations are why the Bulbul probe is reported as one of five robustness instruments — alongside the wild-cluster bootstrap (§3.7.1), leave-one-out jackknife (§3.7.3), placebo / falsification (§3.7.4), and post-hoc MDE / power (§3.7.5) — and not as a stand-alone validation of the headline coefficient. Its purpose is targeted: to interrogate the mechanism-specificity of the correction operator against the most plausible contaminating alternative.</w:t>
      </w:r>
    </w:p>
    <w:bookmarkEnd w:id="25"/>
    <w:bookmarkStart w:id="26" w:name="s1.6-pre-registration-trail"/>
    <w:p>
      <w:pPr>
        <w:pStyle w:val="Heading2"/>
      </w:pPr>
      <w:r>
        <w:rPr>
          <w:rFonts w:ascii="Arial" w:hAnsi="Arial"/>
        </w:rPr>
        <w:t xml:space="preserve">S1.6 Pre-registration trail</w:t>
      </w:r>
    </w:p>
    <w:p>
      <w:pPr>
        <w:pStyle w:val="Compact"/>
        <w:numPr>
          <w:ilvl w:val="0"/>
          <w:numId w:val="1005"/>
        </w:numPr>
      </w:pPr>
      <w:r>
        <w:rPr>
          <w:rFonts w:ascii="Arial" w:hAnsi="Arial"/>
        </w:rPr>
        <w:t xml:space="preserve">Original pre-registration (</w:t>
      </w:r>
      <w:hyperlink r:id="rId20">
        <w:r>
          <w:rPr>
            <w:rStyle w:val="Hyperlink"/>
          </w:rPr>
          <w:t xml:space="preserve">OSF c4mp8</w:t>
        </w:r>
      </w:hyperlink>
      <w:r>
        <w:rPr>
          <w:rFonts w:ascii="Arial" w:hAnsi="Arial"/>
        </w:rPr>
        <w:t xml:space="preserve">, 2025): identified Fani / Amphan / Yaas as the treatment cohort and pre-specified the TWFE-DiD estimating equation;</w:t>
      </w:r>
      <w:r>
        <w:rPr>
          <w:rFonts w:ascii="Arial" w:hAnsi="Arial"/>
        </w:rPr>
        <w:t xml:space="preserve"> </w:t>
      </w:r>
      <w:r>
        <w:rPr>
          <w:rFonts w:ascii="Arial" w:hAnsi="Arial"/>
          <w:i/>
          <w:iCs/>
        </w:rPr>
        <w:t xml:space="preserve">did not</w:t>
      </w:r>
      <w:r>
        <w:rPr>
          <w:rFonts w:ascii="Arial" w:hAnsi="Arial"/>
        </w:rPr>
        <w:t xml:space="preserve"> </w:t>
      </w:r>
      <w:r>
        <w:rPr>
          <w:rFonts w:ascii="Arial" w:hAnsi="Arial"/>
        </w:rPr>
        <w:t xml:space="preserve">originally include Bulbul.</w:t>
      </w:r>
    </w:p>
    <w:p>
      <w:pPr>
        <w:pStyle w:val="Compact"/>
        <w:numPr>
          <w:ilvl w:val="0"/>
          <w:numId w:val="1005"/>
        </w:numPr>
      </w:pPr>
      <w:r>
        <w:rPr>
          <w:rFonts w:ascii="Arial" w:hAnsi="Arial"/>
        </w:rPr>
        <w:t xml:space="preserve">Scope amendment,</w:t>
      </w:r>
      <w:r>
        <w:rPr>
          <w:rFonts w:ascii="Arial" w:hAnsi="Arial"/>
        </w:rPr>
        <w:t xml:space="preserve"> </w:t>
      </w:r>
      <w:r>
        <w:rPr>
          <w:rFonts w:ascii="Arial" w:hAnsi="Arial"/>
          <w:b/>
          <w:bCs/>
        </w:rPr>
        <w:t xml:space="preserve">2026-04-29</w:t>
      </w:r>
      <w:r>
        <w:rPr>
          <w:rFonts w:ascii="Arial" w:hAnsi="Arial"/>
        </w:rPr>
        <w:t xml:space="preserve"> </w:t>
      </w:r>
      <w:r>
        <w:rPr>
          <w:rFonts w:ascii="Arial" w:hAnsi="Arial"/>
        </w:rPr>
        <w:t xml:space="preserve">(logged on the OSF wiki): added Cyclone Bulbul (November 2019) as an out-of-sample transferability probe, with the directional prediction</w:t>
      </w:r>
      <w:r>
        <w:rPr>
          <w:rFonts w:ascii="Arial" w:hAnsi="Arial"/>
        </w:rPr>
        <w:t xml:space="preserve"> </w:t>
      </w:r>
      <w:r>
        <w:rPr>
          <w:rFonts w:ascii="Arial" w:hAnsi="Arial"/>
        </w:rPr>
        <w:t xml:space="preserve">“</w:t>
      </w:r>
      <m:oMath>
        <m:d>
          <m:dPr>
            <m:begChr m:val="|"/>
            <m:endChr m:val="|"/>
            <m:sepChr m:val=""/>
            <m:grow/>
          </m:dPr>
          <m:e>
            <m:sSub>
              <m:e>
                <m:r>
                  <m:t>r</m:t>
                </m:r>
              </m:e>
              <m:sub>
                <m:r>
                  <m:t>d</m:t>
                </m:r>
              </m:sub>
            </m:sSub>
          </m:e>
        </m:d>
      </m:oMath>
      <w:r>
        <w:rPr>
          <w:rFonts w:ascii="Arial" w:hAnsi="Arial"/>
        </w:rPr>
        <w:t xml:space="preserve"> </w:t>
      </w:r>
      <w:r>
        <w:rPr>
          <w:rFonts w:ascii="Arial" w:hAnsi="Arial"/>
        </w:rPr>
        <w:t xml:space="preserve">small AND</w:t>
      </w:r>
      <w:r>
        <w:rPr>
          <w:rFonts w:ascii="Arial" w:hAnsi="Arial"/>
        </w:rPr>
        <w:t xml:space="preserve"> </w:t>
      </w:r>
      <m:oMath>
        <m:r>
          <m:rPr>
            <m:sty m:val="p"/>
          </m:rPr>
          <m:t>≥</m:t>
        </m:r>
        <m:r>
          <m:t>5</m:t>
        </m:r>
        <m:r>
          <m:rPr>
            <m:sty m:val="p"/>
          </m:rPr>
          <m:t>/</m:t>
        </m:r>
        <m:r>
          <m:t>6</m:t>
        </m:r>
      </m:oMath>
      <w:r>
        <w:rPr>
          <w:rFonts w:ascii="Arial" w:hAnsi="Arial"/>
        </w:rPr>
        <w:t xml:space="preserve"> </w:t>
      </w:r>
      <w:r>
        <w:rPr>
          <w:rFonts w:ascii="Arial" w:hAnsi="Arial"/>
        </w:rPr>
        <w:t xml:space="preserve">districts inside the 95% PI</w:t>
      </w:r>
      <w:r>
        <w:rPr>
          <w:rFonts w:ascii="Arial" w:hAnsi="Arial"/>
        </w:rPr>
        <w:t xml:space="preserve">”</w:t>
      </w:r>
      <w:r>
        <w:rPr>
          <w:rFonts w:ascii="Arial" w:hAnsi="Arial"/>
        </w:rPr>
        <w:t xml:space="preserve"> </w:t>
      </w:r>
      <w:r>
        <w:rPr>
          <w:rFonts w:ascii="Arial" w:hAnsi="Arial"/>
        </w:rPr>
        <w:t xml:space="preserve">as the</w:t>
      </w:r>
      <w:r>
        <w:rPr>
          <w:rFonts w:ascii="Arial" w:hAnsi="Arial"/>
        </w:rPr>
        <w:t xml:space="preserve"> </w:t>
      </w:r>
      <w:r>
        <w:rPr>
          <w:rFonts w:ascii="Arial" w:hAnsi="Arial"/>
          <w:i/>
          <w:iCs/>
        </w:rPr>
        <w:t xml:space="preserve">pass</w:t>
      </w:r>
      <w:r>
        <w:rPr>
          <w:rFonts w:ascii="Arial" w:hAnsi="Arial"/>
        </w:rPr>
        <w:t xml:space="preserve"> </w:t>
      </w:r>
      <w:r>
        <w:rPr>
          <w:rFonts w:ascii="Arial" w:hAnsi="Arial"/>
        </w:rPr>
        <w:t xml:space="preserve">criterion and</w:t>
      </w:r>
      <w:r>
        <w:rPr>
          <w:rFonts w:ascii="Arial" w:hAnsi="Arial"/>
        </w:rPr>
        <w:t xml:space="preserve"> </w:t>
      </w:r>
      <w:r>
        <w:rPr>
          <w:rFonts w:ascii="Arial" w:hAnsi="Arial"/>
        </w:rPr>
        <w:t xml:space="preserve">“</w:t>
      </w:r>
      <w:r>
        <w:rPr>
          <w:rFonts w:ascii="Arial" w:hAnsi="Arial"/>
        </w:rPr>
        <w:t xml:space="preserve">systematically negative residuals consistent with mechanism-specific correction</w:t>
      </w:r>
      <w:r>
        <w:rPr>
          <w:rFonts w:ascii="Arial" w:hAnsi="Arial"/>
        </w:rPr>
        <w:t xml:space="preserve">”</w:t>
      </w:r>
      <w:r>
        <w:rPr>
          <w:rFonts w:ascii="Arial" w:hAnsi="Arial"/>
        </w:rPr>
        <w:t xml:space="preserve"> </w:t>
      </w:r>
      <w:r>
        <w:rPr>
          <w:rFonts w:ascii="Arial" w:hAnsi="Arial"/>
        </w:rPr>
        <w:t xml:space="preserve">as the</w:t>
      </w:r>
      <w:r>
        <w:rPr>
          <w:rFonts w:ascii="Arial" w:hAnsi="Arial"/>
        </w:rPr>
        <w:t xml:space="preserve"> </w:t>
      </w:r>
      <w:r>
        <w:rPr>
          <w:rFonts w:ascii="Arial" w:hAnsi="Arial"/>
          <w:i/>
          <w:iCs/>
        </w:rPr>
        <w:t xml:space="preserve">informative-fail</w:t>
      </w:r>
      <w:r>
        <w:rPr>
          <w:rFonts w:ascii="Arial" w:hAnsi="Arial"/>
        </w:rPr>
        <w:t xml:space="preserve"> </w:t>
      </w:r>
      <w:r>
        <w:rPr>
          <w:rFonts w:ascii="Arial" w:hAnsi="Arial"/>
        </w:rPr>
        <w:t xml:space="preserve">criterion. The observed pattern matches the second branch.</w:t>
      </w:r>
    </w:p>
    <w:bookmarkEnd w:id="26"/>
    <w:bookmarkStart w:id="30" w:name="references"/>
    <w:p>
      <w:pPr>
        <w:pStyle w:val="Heading2"/>
      </w:pPr>
      <w:r>
        <w:rPr>
          <w:rFonts w:ascii="Arial" w:hAnsi="Arial"/>
        </w:rPr>
        <w:t xml:space="preserve">References</w:t>
      </w:r>
    </w:p>
    <w:p>
      <w:pPr>
        <w:pStyle w:val="Compact"/>
        <w:numPr>
          <w:ilvl w:val="0"/>
          <w:numId w:val="1006"/>
        </w:numPr>
      </w:pPr>
      <w:r>
        <w:rPr>
          <w:rFonts w:ascii="Arial" w:hAnsi="Arial"/>
        </w:rPr>
        <w:t xml:space="preserve">Athey, S., Imbens, G.W., 2017. The state of applied econometrics: causality and policy evaluation.</w:t>
      </w:r>
      <w:r>
        <w:rPr>
          <w:rFonts w:ascii="Arial" w:hAnsi="Arial"/>
        </w:rPr>
        <w:t xml:space="preserve"> </w:t>
      </w:r>
      <w:r>
        <w:rPr>
          <w:rFonts w:ascii="Arial" w:hAnsi="Arial"/>
          <w:i/>
          <w:iCs/>
        </w:rPr>
        <w:t xml:space="preserve">Journal of Economic Perspectives</w:t>
      </w:r>
      <w:r>
        <w:rPr>
          <w:rFonts w:ascii="Arial" w:hAnsi="Arial"/>
        </w:rPr>
        <w:t xml:space="preserve"> </w:t>
      </w:r>
      <w:r>
        <w:rPr>
          <w:rFonts w:ascii="Arial" w:hAnsi="Arial"/>
        </w:rPr>
        <w:t xml:space="preserve">31, 3–32.</w:t>
      </w:r>
      <w:r>
        <w:rPr>
          <w:rFonts w:ascii="Arial" w:hAnsi="Arial"/>
        </w:rPr>
        <w:t xml:space="preserve"> </w:t>
      </w:r>
      <w:hyperlink r:id="rId27">
        <w:r>
          <w:rPr>
            <w:rStyle w:val="Hyperlink"/>
          </w:rPr>
          <w:t xml:space="preserve">doi:10.1257/jep.31.2.3</w:t>
        </w:r>
      </w:hyperlink>
    </w:p>
    <w:p>
      <w:pPr>
        <w:pStyle w:val="Compact"/>
        <w:numPr>
          <w:ilvl w:val="0"/>
          <w:numId w:val="1006"/>
        </w:numPr>
      </w:pPr>
      <w:r>
        <w:rPr>
          <w:rFonts w:ascii="Arial" w:hAnsi="Arial"/>
        </w:rPr>
        <w:t xml:space="preserve">IMD, 2020.</w:t>
      </w:r>
      <w:r>
        <w:rPr>
          <w:rFonts w:ascii="Arial" w:hAnsi="Arial"/>
        </w:rPr>
        <w:t xml:space="preserve"> </w:t>
      </w:r>
      <w:r>
        <w:rPr>
          <w:rFonts w:ascii="Arial" w:hAnsi="Arial"/>
          <w:i/>
          <w:iCs/>
        </w:rPr>
        <w:t xml:space="preserve">Report on Cyclonic Disturbances over North Indian Ocean during 2019</w:t>
      </w:r>
      <w:r>
        <w:rPr>
          <w:rFonts w:ascii="Arial" w:hAnsi="Arial"/>
        </w:rPr>
        <w:t xml:space="preserve">. India Meteorological Department, New Delhi.</w:t>
      </w:r>
      <w:r>
        <w:rPr>
          <w:rFonts w:ascii="Arial" w:hAnsi="Arial"/>
        </w:rPr>
        <w:t xml:space="preserve"> </w:t>
      </w:r>
      <w:hyperlink r:id="rId28">
        <w:r>
          <w:rPr>
            <w:rStyle w:val="Hyperlink"/>
          </w:rPr>
          <w:t xml:space="preserve">rsmcnewdelhi.imd.gov.in</w:t>
        </w:r>
      </w:hyperlink>
    </w:p>
    <w:p>
      <w:pPr>
        <w:pStyle w:val="Compact"/>
        <w:numPr>
          <w:ilvl w:val="0"/>
          <w:numId w:val="1006"/>
        </w:numPr>
      </w:pPr>
      <w:r>
        <w:rPr>
          <w:rFonts w:ascii="Arial" w:hAnsi="Arial"/>
        </w:rPr>
        <w:t xml:space="preserve">Knapp, K.R., Kruk, M.C., Levinson, D.H., Diamond, H.J., Neumann, C.J., 2010. The International Best Track Archive for Climate Stewardship (IBTrACS).</w:t>
      </w:r>
      <w:r>
        <w:rPr>
          <w:rFonts w:ascii="Arial" w:hAnsi="Arial"/>
        </w:rPr>
        <w:t xml:space="preserve"> </w:t>
      </w:r>
      <w:r>
        <w:rPr>
          <w:rFonts w:ascii="Arial" w:hAnsi="Arial"/>
          <w:i/>
          <w:iCs/>
        </w:rPr>
        <w:t xml:space="preserve">Bulletin of the American Meteorological Society</w:t>
      </w:r>
      <w:r>
        <w:rPr>
          <w:rFonts w:ascii="Arial" w:hAnsi="Arial"/>
        </w:rPr>
        <w:t xml:space="preserve"> </w:t>
      </w:r>
      <w:r>
        <w:rPr>
          <w:rFonts w:ascii="Arial" w:hAnsi="Arial"/>
        </w:rPr>
        <w:t xml:space="preserve">91, 363–376.</w:t>
      </w:r>
      <w:r>
        <w:rPr>
          <w:rFonts w:ascii="Arial" w:hAnsi="Arial"/>
        </w:rPr>
        <w:t xml:space="preserve"> </w:t>
      </w:r>
      <w:hyperlink r:id="rId29">
        <w:r>
          <w:rPr>
            <w:rStyle w:val="Hyperlink"/>
          </w:rPr>
          <w:t xml:space="preserve">doi:10.1175/2009BAMS2755.1</w:t>
        </w:r>
      </w:hyperlink>
    </w:p>
    <w:bookmarkEnd w:id="30"/>
    <w:bookmarkEnd w:id="31"/>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Arial" w:hAnsi="Arial"/>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hyperlink" Target="https://doi.org/10.1175/2009BAMS2755.1" TargetMode="External"/><Relationship Id="rId27" Type="http://schemas.openxmlformats.org/officeDocument/2006/relationships/hyperlink" Target="https://doi.org/10.1257/jep.31.2.3" TargetMode="External"/><Relationship Id="rId20" Type="http://schemas.openxmlformats.org/officeDocument/2006/relationships/hyperlink" Target="https://osf.io/c4mp8" TargetMode="External"/><Relationship Id="rId28" Type="http://schemas.openxmlformats.org/officeDocument/2006/relationships/hyperlink" Target="https://rsmcnewdelhi.imd.gov.in"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doi.org/10.1175/2009BAMS2755.1" TargetMode="External"/><Relationship Id="rId27" Type="http://schemas.openxmlformats.org/officeDocument/2006/relationships/hyperlink" Target="https://doi.org/10.1257/jep.31.2.3" TargetMode="External"/><Relationship Id="rId20" Type="http://schemas.openxmlformats.org/officeDocument/2006/relationships/hyperlink" Target="https://osf.io/c4mp8" TargetMode="External"/><Relationship Id="rId28" Type="http://schemas.openxmlformats.org/officeDocument/2006/relationships/hyperlink" Target="https://rsmcnewdelhi.imd.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2026-05-05T15:10:13Z</dcterms:created>
  <dcterms:modified xsi:type="dcterms:W3CDTF">2026-05-05T15:10:13Z</dcterms:modified>
</cp:coreProperties>
</file>

<file path=docProps/custom.xml><?xml version="1.0" encoding="utf-8"?>
<Properties xmlns="http://schemas.openxmlformats.org/officeDocument/2006/custom-properties" xmlns:vt="http://schemas.openxmlformats.org/officeDocument/2006/docPropsVTypes"/>
</file>