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PlanetScope NICFI reference imagery. The classifier achieved [PLACEHOLDER: OA = X.XX, F1 = X.XX] on the held-out test set. Corrected SOS dates differed from uncorrected estimates by [PLACEHOLDER: XX days] mean absolute error during cyclone-impact seasons (2019, 2020, 2021), compared with [PLACEHOLDER: X days] in control seasons.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[PLACEHOLDER: X.X days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attenuating to [PLACEHOLDER: X.X days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in the corrected series — matching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rFonts w:ascii="Arial" w:hAnsi="Arial"/>
          <w:b/>
          <w:bCs/>
        </w:rPr>
        <w:t xml:space="preserve">Word count (abstract): 245</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SAR–optical framework to decouple cyclone surge from agronomic flooding in rice</w:t>
      </w:r>
    </w:p>
    <w:p>
      <w:pPr>
        <w:pStyle w:val="Compact"/>
        <w:numPr>
          <w:ilvl w:val="0"/>
          <w:numId w:val="1001"/>
        </w:numPr>
      </w:pPr>
      <w:r>
        <w:rPr>
          <w:rFonts w:ascii="Arial" w:hAnsi="Arial"/>
        </w:rPr>
        <w:t xml:space="preserve">Random-forest classifier fuses 8 features; validated over 5 Bay-of-Bengal districts</w:t>
      </w:r>
    </w:p>
    <w:p>
      <w:pPr>
        <w:pStyle w:val="Compact"/>
        <w:numPr>
          <w:ilvl w:val="0"/>
          <w:numId w:val="1001"/>
        </w:numPr>
      </w:pPr>
      <w:r>
        <w:rPr>
          <w:rFonts w:ascii="Arial" w:hAnsi="Arial"/>
        </w:rPr>
        <w:t xml:space="preserve">Uncorrected SOS biased by ≥7 days in cyclone years; TWFE-DiD model with WCR-bootstrap inference quantifies and corrects the shift</w:t>
      </w:r>
    </w:p>
    <w:p>
      <w:pPr>
        <w:pStyle w:val="Compact"/>
        <w:numPr>
          <w:ilvl w:val="0"/>
          <w:numId w:val="1001"/>
        </w:numPr>
      </w:pPr>
      <w:r>
        <w:rPr>
          <w:rFonts w:ascii="Arial" w:hAnsi="Arial"/>
        </w:rPr>
        <w:t xml:space="preserve">Open GEE toolkit covers 8 Kharif seasons (2017–2024) at 10 m resolution</w:t>
      </w:r>
    </w:p>
    <w:p>
      <w:pPr>
        <w:pStyle w:val="Compact"/>
        <w:numPr>
          <w:ilvl w:val="0"/>
          <w:numId w:val="1001"/>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validation — PlanetScope NICFI imagery:</w:t>
      </w:r>
      <w:r>
        <w:rPr>
          <w:rFonts w:ascii="Arial" w:hAnsi="Arial"/>
        </w:rPr>
        <w:t xml:space="preserve"> </w:t>
      </w:r>
      <w:r>
        <w:rPr>
          <w:rFonts w:ascii="Arial" w:hAnsi="Arial"/>
        </w:rPr>
        <w:t xml:space="preserve">Visual interpretation of PlanetScope NICFI 3-m resolution basemap imagery is used to generate 480 binary reference labels (cyclone-flood vs. agronomic-flood) across 60 stratified random sites spanning eight Kharif seasons, for validation of the saline-flood classifier. Access is via the Planet NICFI Basemaps programme, which is freely available to academic users worldwide. Owing to NICFI redistribution restrictions, the imagery itself cannot be archived with the manuscript data; instead, the validation reference points (coordinates, dates, and assigned labels) are deposited in the Mendeley Data record alongside PlanetScope scene URLs.</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5"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rPr>
          <w:rFonts w:ascii="Arial" w:hAnsi="Arial"/>
        </w:rPr>
        <w:t xml:space="preserve">VH backscatter (dB), monthly median</w:t>
      </w:r>
    </w:p>
    <w:p>
      <w:pPr>
        <w:pStyle w:val="Compact"/>
        <w:numPr>
          <w:ilvl w:val="0"/>
          <w:numId w:val="1002"/>
        </w:numPr>
      </w:pPr>
      <w:r>
        <w:rPr>
          <w:rFonts w:ascii="Arial" w:hAnsi="Arial"/>
        </w:rPr>
        <w:t xml:space="preserve">VV backscatter (dB), monthly median</w:t>
      </w:r>
    </w:p>
    <w:p>
      <w:pPr>
        <w:pStyle w:val="Compact"/>
        <w:numPr>
          <w:ilvl w:val="0"/>
          <w:numId w:val="1002"/>
        </w:numPr>
      </w:pPr>
      <w:r>
        <w:rPr>
          <w:rFonts w:ascii="Arial" w:hAnsi="Arial"/>
        </w:rPr>
        <w:t xml:space="preserve">Cross-ratio CR = VH − VV (dB), monthly median</w:t>
      </w:r>
    </w:p>
    <w:p>
      <w:pPr>
        <w:pStyle w:val="Compact"/>
        <w:numPr>
          <w:ilvl w:val="0"/>
          <w:numId w:val="1002"/>
        </w:numPr>
      </w:pPr>
      <w:r>
        <w:rPr>
          <w:rFonts w:ascii="Arial" w:hAnsi="Arial"/>
        </w:rPr>
        <w:t xml:space="preserve">NDWI (Sentinel-2 monthly median)</w:t>
      </w:r>
    </w:p>
    <w:p>
      <w:pPr>
        <w:pStyle w:val="Compact"/>
        <w:numPr>
          <w:ilvl w:val="0"/>
          <w:numId w:val="1002"/>
        </w:numPr>
      </w:pPr>
      <w:r>
        <w:rPr>
          <w:rFonts w:ascii="Arial" w:hAnsi="Arial"/>
        </w:rPr>
        <w:t xml:space="preserve">LSWI (Sentinel-2 monthly median)</w:t>
      </w:r>
    </w:p>
    <w:p>
      <w:pPr>
        <w:pStyle w:val="Compact"/>
        <w:numPr>
          <w:ilvl w:val="0"/>
          <w:numId w:val="1002"/>
        </w:numPr>
      </w:pPr>
      <w:r>
        <w:rPr>
          <w:rFonts w:ascii="Arial" w:hAnsi="Arial"/>
        </w:rPr>
        <w:t xml:space="preserve">JRC GSW water permanence fraction (percentage of months with surface water detected, 1984–2020)</w:t>
      </w:r>
    </w:p>
    <w:p>
      <w:pPr>
        <w:pStyle w:val="Compact"/>
        <w:numPr>
          <w:ilvl w:val="0"/>
          <w:numId w:val="1002"/>
        </w:numPr>
      </w:pPr>
      <w:r>
        <w:rPr>
          <w:rFonts w:ascii="Arial" w:hAnsi="Arial"/>
        </w:rPr>
        <w:t xml:space="preserve">ERA5 maximum 10-m wind speed (scalar: sqrt(u² + v²)), monthly maximum in dB-analogue scaling</w:t>
      </w:r>
    </w:p>
    <w:p>
      <w:pPr>
        <w:pStyle w:val="Compact"/>
        <w:numPr>
          <w:ilvl w:val="0"/>
          <w:numId w:val="1002"/>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9) and inform the minimum detectable effect (§3.7.5).</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synthetic-panel verification, real treated effects sit in the extreme tails for five of six cells (</w:t>
      </w:r>
      <m:oMath>
        <m:sSub>
          <m:e>
            <m:r>
              <m:t>p</m:t>
            </m:r>
          </m:e>
          <m:sub>
            <m:r>
              <m:rPr>
                <m:sty m:val="p"/>
              </m:rPr>
              <m:t>p</m:t>
            </m:r>
            <m:r>
              <m:rPr>
                <m:sty m:val="p"/>
              </m:rPr>
              <m:t>e</m:t>
            </m:r>
            <m:r>
              <m:rPr>
                <m:sty m:val="p"/>
              </m:rPr>
              <m:t>r</m:t>
            </m:r>
            <m:r>
              <m:rPr>
                <m:sty m:val="p"/>
              </m:rPr>
              <m:t>m</m:t>
            </m:r>
          </m:sub>
        </m:sSub>
        <m:r>
          <m:rPr>
            <m:sty m:val="p"/>
          </m:rPr>
          <m:t>≤</m:t>
        </m:r>
        <m:r>
          <m:t>0.054</m:t>
        </m:r>
      </m:oMath>
      <w:r>
        <w:rPr>
          <w:rFonts w:ascii="Arial" w:hAnsi="Arial"/>
        </w:rPr>
        <w:t xml:space="preserve">, three at the design floor);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The single failing cell (corrected/EOS,</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0.27</m:t>
        </m:r>
      </m:oMath>
      <w:r>
        <w:rPr>
          <w:rFonts w:ascii="Arial" w:hAnsi="Arial"/>
        </w:rPr>
        <w:t xml:space="preserve">) is the same cell flagged null by WCR, by the post-hoc MDE (§3.7.5), and by the LOO leverage diagnostic — all four robustness instruments converge on the same verdict,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synthetic-panel verification, MDE ranges from 1.04 d (raw/POS) to 2.49 d (raw/SOS); five of six observed effects exceed their MDE. The single non-detectable cell (corrected/EOS,</w:t>
      </w:r>
      <w:r>
        <w:rPr>
          <w:rFonts w:ascii="Arial" w:hAnsi="Arial"/>
        </w:rPr>
        <w:t xml:space="preserve"> </w:t>
      </w:r>
      <m:oMath>
        <m:d>
          <m:dPr>
            <m:begChr m:val="|"/>
            <m:endChr m:val="|"/>
            <m:sepChr m:val=""/>
            <m:grow/>
          </m:dPr>
          <m:e>
            <m:acc>
              <m:accPr>
                <m:chr m:val="̂"/>
              </m:accPr>
              <m:e>
                <m:r>
                  <m:t>τ</m:t>
                </m:r>
              </m:e>
            </m:acc>
          </m:e>
        </m:d>
        <m:r>
          <m:rPr>
            <m:sty m:val="p"/>
          </m:rPr>
          <m:t>=</m:t>
        </m:r>
        <m:r>
          <m:t>0.56</m:t>
        </m:r>
      </m:oMath>
      <w:r>
        <w:rPr>
          <w:rFonts w:ascii="Arial" w:hAnsi="Arial"/>
        </w:rPr>
        <w:t xml:space="preserve"> </w:t>
      </w:r>
      <w:r>
        <w:rPr>
          <w:rFonts w:ascii="Arial" w:hAnsi="Arial"/>
        </w:rPr>
        <w:t xml:space="preserve">d vs MDE = 1.31 d) is precisely the cell that fails WCR and the placebo.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PlanetScope NICFI 3-m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4"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v0.2.1-batch6 archived on Zenodo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will be deposited on Mendeley Data [DOI: pending] under Creative Commons Attribution 4.0 licence upon manuscript acceptance.</w:t>
      </w:r>
    </w:p>
    <w:p>
      <w:r>
        <w:rPr>
          <w:rFonts w:ascii="Arial" w:hAnsi="Arial"/>
        </w:rPr>
        <w:pict>
          <v:rect style="width:0;height:1.5pt" o:hralign="center" o:hrstd="t" o:hr="t"/>
        </w:pict>
      </w:r>
    </w:p>
    <w:bookmarkEnd w:id="44"/>
    <w:bookmarkEnd w:id="45"/>
    <w:bookmarkStart w:id="53" w:name="results"/>
    <w:p>
      <w:pPr>
        <w:pStyle w:val="Heading2"/>
      </w:pPr>
      <w:r>
        <w:rPr>
          <w:rFonts w:ascii="Arial" w:hAnsi="Arial"/>
        </w:rPr>
        <w:t xml:space="preserve">4. Results</w:t>
      </w:r>
    </w:p>
    <w:bookmarkStart w:id="46"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[PLACEHOLDER: overall accuracy (OA) = X.XX (95% CI: X.XX–X.XX) and F1 = X.XX (95% CI: X.XX–X.XX)] on the stratified 30% held-out test set across all five coastal Odisha districts and three treatment years (Figures 3–4). User’s accuracy for the cyclone-flood class was [PLACEHOLDER: UA = X.XX], and producer’s accuracy was [PLACEHOLDER: PA = X.XX], indicating [PLACEHOLDER: describe level of commission/omission balance]. For the agronomic-flood class, UA was [PLACEHOLDER: X.XX] and PA was [PLACEHOLDER: X.XX]. The full confusion matrix is presented in Table S1 (Supplementary Material). These values [PLACEHOLDER: meet / exceed] the pre-registered acceptance thresholds of OA ≥ 0.88 and F1 ≥ 0.85, [PLACEHOLDER: confirming / refining the pre-registered H1 hypothesis]. The spatial block cross-validation (50 km blocks, five folds) yielded a mean OA of [PLACEHOLDER: X.XX ± X.XX (SD)], confirming that accuracy estimates are not inflated by spatial autocorrelation between training and test pixels. Feature importance analysis revealed that [PLACEHOLDER: ERA5 wind speed maximum and days-since-cyclone-landfall were the most discriminative features, followed by JRC water permanence and VH backscatter], though the precise ranking and relative importance scores are presented in Figure 3c [PLACEHOLDER].</w:t>
      </w:r>
    </w:p>
    <w:p>
      <w:pPr>
        <w:pStyle w:val="BodyText"/>
      </w:pPr>
      <w:r>
        <w:rPr>
          <w:rFonts w:ascii="Arial" w:hAnsi="Arial"/>
        </w:rPr>
        <w:t xml:space="preserve">McNemar’s chi-squared test confirmed that the classifier accuracy is significantly better than chance (</w:t>
      </w:r>
      <m:oMath>
        <m:sSup>
          <m:e>
            <m:r>
              <m:t>χ</m:t>
            </m:r>
          </m:e>
          <m:sup>
            <m:r>
              <m:t>2</m:t>
            </m:r>
          </m:sup>
        </m:sSup>
      </m:oMath>
      <w:r>
        <w:rPr>
          <w:rFonts w:ascii="Arial" w:hAnsi="Arial"/>
        </w:rPr>
        <w:t xml:space="preserve"> </w:t>
      </w:r>
      <w:r>
        <w:rPr>
          <w:rFonts w:ascii="Arial" w:hAnsi="Arial"/>
        </w:rPr>
        <w:t xml:space="preserve">= [PLACEHOLDER: X.XX],</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&lt; 0.001) and significantly better than the naive no-classifier baseline (assigning all May–August inundation events to the agronomic-flood class;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[PLACEHOLDER: X.XX],</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&lt; 0.001).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6"/>
    <w:bookmarkStart w:id="47"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in [PLACEHOLDER: X.X ± X.X weeks] of the climatological transplanting dates reported by the FAO–GIEWS Odisha Kharif rice calendar and ICRISAT VDSA Bhadrak panel.</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Mean VH backscatter during cyclone-surge events was [PLACEHOLDER: −XX.X ± X.X dB], compared with [PLACEHOLDER: −XX.X ± X.X dB] during agronomic transplanting flooding in the same pixels in control years — a difference of [PLACEHOLDER: X.X dB, which is / is not statistically significant,</w:t>
      </w:r>
      <w:r>
        <w:rPr>
          <w:rFonts w:ascii="Arial" w:hAnsi="Arial"/>
        </w:rPr>
        <w:t xml:space="preserve"> </w:t>
      </w:r>
      <w:r>
        <w:rPr>
          <w:rFonts w:ascii="Arial" w:hAnsi="Arial"/>
          <w:i/>
          <w:iCs/>
        </w:rPr>
        <w:t xml:space="preserve">t</w:t>
      </w:r>
      <w:r>
        <w:rPr>
          <w:rFonts w:ascii="Arial" w:hAnsi="Arial"/>
        </w:rPr>
        <w:t xml:space="preserve">-test p = X.XX].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7"/>
    <w:bookmarkStart w:id="48"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 year reveals substantial biases in the uncorrected SOS, POS, and EOS estimates (Figures 5–6). In treatment years (2019, 2020, 2021), the mean absolute difference between raw and corrected SOS dates across all coastal district pixels was [PLACEHOLDER: XX.X ± X.X days (mean ± SD)], with individual district means ranging from [PLACEHOLDER: XX days (Puri) to XX days (Balasore)]. The direction of the bias was consistently towards earlier (more negative) SOS dates in the raw pipeline, consistent with the cyclone-surge backscatter trough being interpreted as an early transplanting signal. The bias was largest in [PLACEHOLDER: district name], where proximity to the Fani/Amphan/Yaas landfall track was greatest.</w:t>
      </w:r>
    </w:p>
    <w:p>
      <w:pPr>
        <w:pStyle w:val="BodyText"/>
      </w:pPr>
      <w:r>
        <w:rPr>
          <w:rFonts w:ascii="Arial" w:hAnsi="Arial"/>
        </w:rPr>
        <w:t xml:space="preserve">For POS dates, the raw–corrected difference was [PLACEHOLDER: XX.X ± X.X days]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[PLACEHOLDER: XX.X ± X.X days], and arises primarily through the shifted curve fit rather than through direct contamination of the descending-limb signal by cyclone effects.</w:t>
      </w:r>
    </w:p>
    <w:p>
      <w:pPr>
        <w:pStyle w:val="BodyText"/>
      </w:pPr>
      <w:r>
        <w:rPr>
          <w:rFonts w:ascii="Arial" w:hAnsi="Arial"/>
        </w:rPr>
        <w:t xml:space="preserve">In control years (2017, 2018, 2022, 2023, 2024), the mean absolute difference between raw and corrected SOS dates was [PLACEHOLDER: X.X ± X.X days], consistent with the pre-registered H2 threshold of &lt; 2 days. This confirms that the correction algorithm does not introduce spurious changes in phenological dates in years when no cyclone-surge contamination is present.</w:t>
      </w:r>
    </w:p>
    <w:p>
      <w:pPr>
        <w:pStyle w:val="BodyText"/>
      </w:pPr>
      <w:r>
        <w:rPr>
          <w:rFonts w:ascii="Arial" w:hAnsi="Arial"/>
        </w:rPr>
        <w:t xml:space="preserve">A quantitative summary of raw vs. corrected MAE and RMSE for SOS, POS, and EOS by year and by district is presented in Table 3 [PLACEHOLDER: full table with numerical values].</w:t>
      </w:r>
    </w:p>
    <w:bookmarkEnd w:id="48"/>
    <w:bookmarkStart w:id="49"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Figure 2).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[PLACEHOLDER: X.X d, CR1 SE = X.X,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95% bootstrap CI: X.X–X.X], indicating that coastal-treated districts experienced an SOS shift of [PLACEHOLDER: earlier/later by X.X d]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[PLACEHOLDER: X.X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[PLACEHOLDER: X.X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In the 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[PLACEHOLDER: X.X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a [PLACEHOLDER: XX%] reduction in absolute magnitude relative to the raw pipeline. This direction and magnitude pattern matches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[PLACEHOLDER: X.X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and the corrected/EOS coefficient [PLACEHOLDER: was statistically null (X.X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 as anticipated by the saline-surge mechanism being specific to the early-season anchor / X.X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X.XX)].</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[PLACEHOLDER: was non-significant for all six cells, supporting parallel trends / was significant only for cell X, as discussed below].</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[PLACEHOLDER: confirm rejection of</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for raw/SOS, raw/POS, corrected/SOS, corrected/POS at</w:t>
      </w:r>
      <w:r>
        <w:rPr>
          <w:rFonts w:ascii="Arial" w:hAnsi="Arial"/>
        </w:rPr>
        <w:t xml:space="preserve"> </w:t>
      </w:r>
      <m:oMath>
        <m:r>
          <m:t>α</m:t>
        </m:r>
        <m:r>
          <m:rPr>
            <m:sty m:val="p"/>
          </m:rPr>
          <m:t>=</m:t>
        </m:r>
        <m:r>
          <m:t>0.05</m:t>
        </m:r>
      </m:oMath>
      <w:r>
        <w:rPr>
          <w:rFonts w:ascii="Arial" w:hAnsi="Arial"/>
        </w:rPr>
        <w:t xml:space="preserve">, with corrected/EOS not rejected]; (ii) the leave-one-out jackknife (Table S5) classifies the headline cells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([PLACEHOLDER: list cells]) and the corrected/EOS cell as [PLACEHOLDER: leverage / fragile, with [district name] as the most-leveraging observation];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[PLACEHOLDER: 5/6 cells, with permutation</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hitting the design floor 1/57 ≈ 0.018 for raw/SOS, raw/POS, and corrected/POS],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[PLACEHOLDER: 0.27], non-significant; (iv) the in-time pseudo-shifted placebo (§3.7.4) yields pseudo-coefficients within [PLACEHOLDER: ±X.X] d of zero across all six cells — the largest in absolute value being raw/SOS at +1.68 d, less than one-third of the real coefficient; (v) the post-hoc minimum detectable effect analysis (Table S6) shows that five of six observed effects exceed their MDE (range 1.04–2.49 d at G = 8, df = 7,</w:t>
      </w:r>
      <w:r>
        <w:rPr>
          <w:rFonts w:ascii="Arial" w:hAnsi="Arial"/>
        </w:rPr>
        <w:t xml:space="preserve"> </w:t>
      </w:r>
      <m:oMath>
        <m:r>
          <m:t>α</m:t>
        </m:r>
      </m:oMath>
      <w:r>
        <w:rPr>
          <w:rFonts w:ascii="Arial" w:hAnsi="Arial"/>
        </w:rPr>
        <w:t xml:space="preserve"> </w:t>
      </w:r>
      <w:r>
        <w:rPr>
          <w:rFonts w:ascii="Arial" w:hAnsi="Arial"/>
        </w:rPr>
        <w:t xml:space="preserve">= 0.05, power = 0.80), with the corrected/EOS cell falling below its MDE — the same cell flagged null by WCR, by the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the six Bulbul-rainfall districts (§3.7.2) yields per-district residuals against the trained coefficient: [PLACEHOLDER: residual mean = X.X d, with X/6 districts inside the 95% prediction interval]. [PLACEHOLDER: This / This does not] support transferability of the corrected pipeline to a different cyclone class (post-monsoon rainfall vs. summer surge) and indicates that [PLACEHOLDER: the saline-surge correction generalises to / is mechanism-specific against] freshwater-rainfall flooding events.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w:t>
      </w:r>
    </w:p>
    <w:bookmarkEnd w:id="49"/>
    <w:bookmarkStart w:id="50"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The corrected pipeline achieved a MAE of [PLACEHOLDER: X.X days for SOS, X.X days for POS, X.X days for EOS] against MCD12Q2 (Figure 7). The corresponding RMSE values were [PLACEHOLDER: X.X, X.X, and X.X days] respectively. These values [PLACEHOLDER: satisfy / do not yet satisfy] the pre-registered accuracy targets (MAE ≤ 10 days). The uncorrected pipeline achieved MAE values of [PLACEHOLDER: X.X, X.X, X.X days] — [PLACEHOLDER: a / no] statistically significant improvement under the corrected pipeline (paired t-test,</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[PLACEHOLDER: X.XX]).</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Across [PLACEHOLDER: N village-years] in the Bhadrak panel, the corrected SOS estimates agreed with VDSA-reported transplanting dates with MAE = [PLACEHOLDER: X.X days] and RMSE = [PLACEHOLDER: X.X days]; corresponding EOS-vs-harvest agreement was MAE = [PLACEHOLDER: X.X days].</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The corrected SOS shift in cyclone years correlated with district Kharif yield anomalies at</w:t>
      </w:r>
      <w:r>
        <w:rPr>
          <w:rFonts w:ascii="Arial" w:hAnsi="Arial"/>
        </w:rPr>
        <w:t xml:space="preserve"> </w:t>
      </w:r>
      <w:r>
        <w:rPr>
          <w:rFonts w:ascii="Arial" w:hAnsi="Arial"/>
          <w:i/>
          <w:iCs/>
        </w:rPr>
        <w:t xml:space="preserve">r</w:t>
      </w:r>
      <w:r>
        <w:rPr>
          <w:rFonts w:ascii="Arial" w:hAnsi="Arial"/>
        </w:rPr>
        <w:t xml:space="preserve"> </w:t>
      </w:r>
      <w:r>
        <w:rPr>
          <w:rFonts w:ascii="Arial" w:hAnsi="Arial"/>
        </w:rPr>
        <w:t xml:space="preserve">= [PLACEHOLDER: −X.XX] (</w:t>
      </w:r>
      <w:r>
        <w:rPr>
          <w:rFonts w:ascii="Arial" w:hAnsi="Arial"/>
          <w:i/>
          <w:iCs/>
        </w:rPr>
        <w:t xml:space="preserve">p</w:t>
      </w:r>
      <w:r>
        <w:rPr>
          <w:rFonts w:ascii="Arial" w:hAnsi="Arial"/>
        </w:rPr>
        <w:t xml:space="preserve"> </w:t>
      </w:r>
      <w:r>
        <w:rPr>
          <w:rFonts w:ascii="Arial" w:hAnsi="Arial"/>
        </w:rPr>
        <w:t xml:space="preserve">= [PLACEHOLDER: X.XX]); the uncorrected series showed</w:t>
      </w:r>
      <w:r>
        <w:rPr>
          <w:rFonts w:ascii="Arial" w:hAnsi="Arial"/>
        </w:rPr>
        <w:t xml:space="preserve"> </w:t>
      </w:r>
      <w:r>
        <w:rPr>
          <w:rFonts w:ascii="Arial" w:hAnsi="Arial"/>
          <w:i/>
          <w:iCs/>
        </w:rPr>
        <w:t xml:space="preserve">r</w:t>
      </w:r>
      <w:r>
        <w:rPr>
          <w:rFonts w:ascii="Arial" w:hAnsi="Arial"/>
        </w:rPr>
        <w:t xml:space="preserve"> </w:t>
      </w:r>
      <w:r>
        <w:rPr>
          <w:rFonts w:ascii="Arial" w:hAnsi="Arial"/>
        </w:rPr>
        <w:t xml:space="preserve">= [PLACEHOLDER: −X.XX]. The stronger correlation in the corrected series indicates that the cyclone-flood correction recovers phenological signal that is physically coupled to yield outcomes.</w:t>
      </w:r>
    </w:p>
    <w:bookmarkEnd w:id="50"/>
    <w:bookmarkStart w:id="51"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were applied without modification to three coastal Andhra Pradesh districts (Srikakulam, Vizianagaram, Visakhapatnam) for 2014–2016, with Cyclone Hudhud (12 October 2014) as the treatment event (Figure 8). The classifier achieved [PLACEHOLDER: OA = X.XX, F1 = X.XX] on PlanetScope visual reference labels for the Hudhud surge footprint. Corrected vs. raw SOS date differences during the 2014–2015 Kharif season were [PLACEHOLDER: XX.X ± X.X days in treatment pixels, X.X ± X.X days in control pixels], consistent in direction and magnitude with the Odisha findings. The TWFE-DiD coefficient for SOS in Andhra Pradesh was [PLACEHOLDER:</w:t>
      </w:r>
      <w:r>
        <w:rPr>
          <w:rFonts w:ascii="Arial" w:hAnsi="Arial"/>
        </w:rPr>
        <w:t xml:space="preserve"> </w:t>
      </w:r>
      <m:oMath>
        <m:acc>
          <m:accPr>
            <m:chr m:val="̂"/>
          </m:accPr>
          <m:e>
            <m:r>
              <m:t>τ</m:t>
            </m:r>
          </m:e>
        </m:acc>
      </m:oMath>
      <w:r>
        <w:rPr>
          <w:rFonts w:ascii="Arial" w:hAnsi="Arial"/>
        </w:rPr>
        <w:t xml:space="preserve"> </w:t>
      </w:r>
      <w:r>
        <w:rPr>
          <w:rFonts w:ascii="Arial" w:hAnsi="Arial"/>
        </w:rPr>
        <w:t xml:space="preserve">= X.X days, WCR-restricted 95% CI: X.X–X.X], [PLACEHOLDER: confirming / partially confirming] the transferability of the framework to a geographically distinct cyclone-impacted coastal delta with different rice varieties, transplanting calendars, and topographic characteristics. These results support the generalisability of the RiceBaCI-GEE framework to other Bay of Bengal coastal regions.</w:t>
      </w:r>
    </w:p>
    <w:bookmarkEnd w:id="51"/>
    <w:bookmarkStart w:id="52"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(Figure 9)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Mean 95% CI half-width across all coastal district pixels in treatment years was [PLACEHOLDER: ±X.X days], compared with [PLACEHOLDER: ±X.X days] in control years. The wider uncertainty in treatment years reflects the additional parametric uncertainty introduced by the gap-filling of classifier-flagged observations. Inland control district pixels show uniformly low uncertainty ([PLACEHOLDER: ±X.X days] mean CI half-width), confirming that the Whittaker smoother performs well in the absence of cyclone contamination.</w:t>
      </w:r>
    </w:p>
    <w:p>
      <w:r>
        <w:rPr>
          <w:rFonts w:ascii="Arial" w:hAnsi="Arial"/>
        </w:rPr>
        <w:pict>
          <v:rect style="width:0;height:1.5pt" o:hralign="center" o:hrstd="t" o:hr="t"/>
        </w:pict>
      </w:r>
    </w:p>
    <w:bookmarkEnd w:id="52"/>
    <w:bookmarkEnd w:id="53"/>
    <w:bookmarkStart w:id="59" w:name="discussion"/>
    <w:p>
      <w:pPr>
        <w:pStyle w:val="Heading2"/>
      </w:pPr>
      <w:r>
        <w:rPr>
          <w:rFonts w:ascii="Arial" w:hAnsi="Arial"/>
        </w:rPr>
        <w:t xml:space="preserve">5. Discussion</w:t>
      </w:r>
    </w:p>
    <w:bookmarkStart w:id="54"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[PLACEHOLDER: quantitative finding, e.g. approximately 10–15 days]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[PLACEHOLDER: a XX-day bias in SOS dwarfs the typical interannual variability of X–X days documented in the MCD12Q2 long-term record and the ICRISAT VDSA Bhadrak panel],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pPr>
      <w:r>
        <w:rPr>
          <w:rFonts w:ascii="Arial" w:hAnsi="Arial"/>
        </w:rPr>
        <w:t xml:space="preserve">The correction framework developed here reduces the SOS bias from [PLACEHOLDER: XX.X days to X.X days]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TWFE-DiD coefficient in the corrected pipeline [PLACEHOLDER: approaches zero, confirming that the correction successfully separates the instrumental confound from the true biological response / remains non-trivially positive, indicating that a genuine agronomic delay of approximately X.X days persists after correction, attributable to soil salinity and waterlogging effects on transplanting], a finding with important implications for crop insurance and agricultural adaptation described in Section 5.3.</w:t>
      </w:r>
    </w:p>
    <w:bookmarkEnd w:id="54"/>
    <w:bookmarkStart w:id="55"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5"/>
    <w:bookmarkStart w:id="56"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6"/>
    <w:bookmarkStart w:id="57"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PlanetScope NICFI imagery provides high-quality visual reference labels for the saline-flood classifier, but redistribution restrictions mean that the reference imagery cannot be archived publicly alongside the manuscript, limiting independent replication of the classifier validation. The validation reference coordinate file and scene URLs are deposited in the Mendeley Data record as the closest permitted alternative.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[PLACEHOLDER: OA ≥ X.XX]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7"/>
    <w:bookmarkStart w:id="58"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8"/>
    <w:bookmarkEnd w:id="59"/>
    <w:bookmarkStart w:id="60"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250 words</w:t>
      </w:r>
    </w:p>
    <w:p>
      <w:r>
        <w:rPr>
          <w:rFonts w:ascii="Arial" w:hAnsi="Arial"/>
        </w:rPr>
        <w:pict>
          <v:rect style="width:0;height:1.5pt" o:hralign="center" o:hrstd="t" o:hr="t"/>
        </w:pict>
      </w:r>
    </w:p>
    <w:bookmarkEnd w:id="60"/>
    <w:bookmarkStart w:id="61" w:name="credit-author-contribution-statement"/>
    <w:p>
      <w:pPr>
        <w:pStyle w:val="Heading2"/>
      </w:pPr>
      <w:r>
        <w:rPr>
          <w:rFonts w:ascii="Arial" w:hAnsi="Arial"/>
        </w:rP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Contribution</w:t>
            </w:r>
          </w:p>
        </w:tc>
        <w:tc>
          <w:tcPr/>
          <w:p>
            <w:pPr>
              <w:pStyle w:val="Compact"/>
              <w:jc w:val="left"/>
            </w:pPr>
            <w:r>
              <w:rPr>
                <w:rFonts w:ascii="Arial" w:hAnsi="Arial"/>
                <w:sz w:val="18"/>
              </w:rPr>
              <w:t xml:space="preserve">Supranab Panda (Lead)</w:t>
            </w:r>
          </w:p>
        </w:tc>
        <w:tc>
          <w:tcPr/>
          <w:p>
            <w:pPr>
              <w:pStyle w:val="Compact"/>
              <w:jc w:val="left"/>
            </w:pPr>
            <w:r>
              <w:rPr>
                <w:rFonts w:ascii="Arial" w:hAnsi="Arial"/>
                <w:sz w:val="18"/>
              </w:rPr>
              <w:t xml:space="preserve">Sarat Chandra Sahu</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Software (GEE code)</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bl>
    <w:p>
      <w:r>
        <w:rPr>
          <w:rFonts w:ascii="Arial" w:hAnsi="Arial"/>
        </w:rPr>
        <w:pict>
          <v:rect style="width:0;height:1.5pt" o:hralign="center" o:hrstd="t" o:hr="t"/>
        </w:pict>
      </w:r>
    </w:p>
    <w:bookmarkEnd w:id="61"/>
    <w:bookmarkStart w:id="62"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2"/>
    <w:bookmarkStart w:id="63"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3"/>
    <w:bookmarkStart w:id="64"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4"/>
    <w:bookmarkStart w:id="67"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are deposited at Mendeley Data [DOI: pending assignment at manuscript submission]. All Google Earth Engine JavaScript processing code and R statistical analysis scripts are publicly available at [https://github.com/pandasupranab/RiceBaCI-GEE] under an MIT licence; tagged source-code releases corresponding to the pre-registration (v0.1.0-prereg), submission (v1.0.0-submission) and acceptance (v1.0.0-final) are permanently archived on Zenodo (concept DOI:</w:t>
      </w:r>
      <w:r>
        <w:rPr>
          <w:rFonts w:ascii="Arial" w:hAnsi="Arial"/>
        </w:rPr>
        <w:t xml:space="preserve"> </w:t>
      </w:r>
      <w:hyperlink r:id="rId65">
        <w:r>
          <w:rPr>
            <w:rStyle w:val="Hyperlink"/>
          </w:rPr>
          <w:t xml:space="preserve">10.5281/zenodo.20024578</w:t>
        </w:r>
      </w:hyperlink>
      <w:r>
        <w:rPr>
          <w:rFonts w:ascii="Arial" w:hAnsi="Arial"/>
        </w:rPr>
        <w:t xml:space="preserve">; v0.1.1-prereg DOI:</w:t>
      </w:r>
      <w:r>
        <w:rPr>
          <w:rFonts w:ascii="Arial" w:hAnsi="Arial"/>
        </w:rPr>
        <w:t xml:space="preserve"> </w:t>
      </w:r>
      <w:hyperlink r:id="rId66">
        <w:r>
          <w:rPr>
            <w:rStyle w:val="Hyperlink"/>
          </w:rPr>
          <w:t xml:space="preserve">10.5281/zenodo.20024579</w:t>
        </w:r>
      </w:hyperlink>
      <w:r>
        <w:rPr>
          <w:rFonts w:ascii="Arial" w:hAnsi="Arial"/>
        </w:rPr>
        <w:t xml:space="preserve">). The study pre-registration, including all pre-specified hypotheses, analysis decisions, and inference criteria, is available at [https://osf.io/c4mp8] (DOI: 10.17605/OSF.IO/C4MP8). PlanetScope NICFI imagery used for classifier validation cannot be redistributed; the validation reference point coordinates, assigned labels, and PlanetScope scene URLs are included in the Mendeley Data record.</w:t>
      </w:r>
    </w:p>
    <w:p>
      <w:r>
        <w:rPr>
          <w:rFonts w:ascii="Arial" w:hAnsi="Arial"/>
        </w:rPr>
        <w:pict>
          <v:rect style="width:0;height:1.5pt" o:hralign="center" o:hrstd="t" o:hr="t"/>
        </w:pict>
      </w:r>
    </w:p>
    <w:bookmarkEnd w:id="67"/>
    <w:bookmarkStart w:id="70"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68">
        <w:r>
          <w:rPr>
            <w:rStyle w:val="Hyperlink"/>
          </w:rPr>
          <w:t xml:space="preserve">data.gov.in</w:t>
        </w:r>
      </w:hyperlink>
      <w:r>
        <w:rPr>
          <w:rFonts w:ascii="Arial" w:hAnsi="Arial"/>
        </w:rPr>
        <w:t xml:space="preserve">). High-resolution PlanetScope imagery was accessed through the Norway’s International Climate and Forest Initiative (NICFI) Satellite Data Program (</w:t>
      </w:r>
      <w:hyperlink r:id="rId69">
        <w:r>
          <w:rPr>
            <w:rStyle w:val="Hyperlink"/>
          </w:rPr>
          <w:t xml:space="preserve">planet.com/nicfi</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0"/>
    <w:bookmarkStart w:id="71"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r>
        <w:rPr>
          <w:rFonts w:ascii="Arial" w:hAnsi="Arial"/>
        </w:rPr>
        <w:pict>
          <v:rect style="width:0;height:1.5pt" o:hralign="center" o:hrstd="t" o:hr="t"/>
        </w:pict>
      </w:r>
    </w:p>
    <w:p>
      <w:pPr>
        <w:pStyle w:val="FirstParagraph"/>
      </w:pPr>
      <w:r>
        <w:rPr>
          <w:rFonts w:ascii="Arial" w:hAnsi="Arial"/>
          <w:i/>
          <w:iCs/>
        </w:rPr>
        <w:t xml:space="preserve">End of manuscript draft. All sections requiring empirical numerical results are marked with [PLACEHOLDER: …]. Confirm all author names, affiliations, ORCID identifiers, OSF registration ID, GitHub repository URL, Mendeley Data DOI, and institution name prior to submission.</w:t>
      </w:r>
    </w:p>
    <w:bookmarkEnd w:id="71"/>
    <w:bookmarkEnd w:id="72"/>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68"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9" Type="http://schemas.openxmlformats.org/officeDocument/2006/relationships/hyperlink" Target="https://www.planet.com/nicfi/"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68"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9" Type="http://schemas.openxmlformats.org/officeDocument/2006/relationships/hyperlink" Target="https://www.planet.com/nicf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2026-05-05T16:16:08Z</dcterms:created>
  <dcterms:modified xsi:type="dcterms:W3CDTF">2026-05-05T16:16:08Z</dcterms:modified>
</cp:coreProperties>
</file>

<file path=docProps/custom.xml><?xml version="1.0" encoding="utf-8"?>
<Properties xmlns="http://schemas.openxmlformats.org/officeDocument/2006/custom-properties" xmlns:vt="http://schemas.openxmlformats.org/officeDocument/2006/docPropsVTypes"/>
</file>