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SAR backscatter decrease during agronomic transplanting flooding — the primary phenological anchor of rice algorithms — is nearly indistinguishable from storm-surge inundation four to six weeks earlier, silently corrupting SOS, POS and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0.844 (F1 = 0.844; n = 96) in a SAR-only variant with the cloud-affected Sentinel-2 features removed — the conservative reportable figure for monsoon-cloud deployment — with the full-feature model (Sentinel-1 + Sentinel-2 indices, requiring median imputation of 102 of 480 LSWI/NDWI values lost to monsoon cloud cover) reaching OA = 0.990 (F1 = 0.990) as an upper bound under cloud-free conditions. Corrected and uncorrected phenological series were compared using a Before-After-Control-Impact framework operationalised as a two-way fixed-effects difference-in-differences (TWFE-DiD) model with district-clustered inference, cross-validated by a five-instrument robustness suite (wild-cluster bootstrap, leave-one-out jackknife, in-space and in-time placebo tests, minimum-detectable-effect analysis, and out-of-sample transferability to Cyclone Bulbul). The DiD coefficient τ̂ for the uncorrected SOS series was +15.289 d (SE 17.328, WCR p = 0.400, 95% CI [−54.0, +84.6]), attenuating to +15.108 d (WCR p = 0.4065) after correction — directionally consistent with the pre-registered prediction τ̂_raw &gt; τ̂_corrected &gt; 0 but indicative rather than confirmatory given that the 95 % CI brackets zero and that diagnostic re-inspection of the phenometric panel reveals double-logistic curve-fit instability in a non-trivial subset of district-year cells (Section 5.4). The corrected EOS coefficient τ̂_EOS = −0.239 d (WCR p = 0.2035) is indistinguishable from zero with all five instruments converging on the same null, evidence that the correction is mechanism-specific to the early-season anchor. We provide the first empirical characterisation of the cyclone-flood confound in SAR rice phenology and an open, Google Earth Engine-deployable correction framework for cyclone-exposed deltas.</w:t>
      </w:r>
    </w:p>
    <w:p>
      <w:pPr>
        <w:pStyle w:val="BodyText"/>
      </w:pPr>
      <w:r>
        <w:rPr>
          <w:b/>
          <w:bCs/>
        </w:rPr>
        <w:t>Word count (abstract): 302</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the</w:t>
      </w:r>
      <w:r>
        <w:t xml:space="preserve"> </w:t>
      </w:r>
      <w:r>
        <w:t xml:space="preserve">Data Availability Statement.</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t xml:space="preserve">Mathematical and statistical symbols introduced within specific equations (e.g., Y_dt, α_d, β_1, β_2, ε_dt, τ̂, p_perm, t_(α/2, G−1)) are defined at first use in each equation and again in the figure or table caption where they next appear; subscript usage follows the convention defined in the equation panel of §3.6 and is consistent throughout.</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exercised through a reproducible transferability protocol over Andhra Pradesh coastal districts impacted by Cyclone Hudhud (2014), released as an out-of-sample check rather than a confirmatory validation given that Sentinel-1 data are unavailable for the 2014 landfall period (Section 3.7).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100"/>
        <w:gridCol w:w="1100"/>
        <w:gridCol w:w="1320"/>
        <w:gridCol w:w="1500"/>
        <w:gridCol w:w="1700"/>
        <w:gridCol w:w="120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(Sundarbans), W. Bengal</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450"/>
        <w:gridCol w:w="1700"/>
        <w:gridCol w:w="1100"/>
        <w:gridCol w:w="1300"/>
        <w:gridCol w:w="2370"/>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c_1 + c_2 · ( 1 / (1 + exp(−k_1·(t − t_1))) − 1 / (1 + exp(−k_2·(t − t_2))) )                              (2)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τ;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τ̂ is estimated on 64 district-year observations after pipeline-and-metric subsetting, leaving 6 residual degrees of freedom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 · t + β_2 · (t · D_d) + ε_dt on the pre-period sub-panel (t &lt; 2019) and reporting β_2 in Table S2; failure of parallel trends would manifest as a significant pre-trend coefficient. No anticipation: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 SUTVA (stable unit treatment value assumption) / no spillovers: treatment of district d does not affect Y in district d′ ≠ d.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3.</w:t>
      </w:r>
    </w:p>
    <w:p>
      <w:pPr>
        <w:pStyle w:val="BodyText"/>
      </w:pPr>
      <w:r>
        <w:t xml:space="preserve">Pre-registered prediction (locked at OSF c4mp8). We pre-registered the directional prediction τ̂_raw &gt; τ̂_corrected &gt; 0: the raw VH-min pipeline is expected to over-attribute the cyclone shock because flood-induced VH dips are read as delayed SOS in districts where standing water lingers; the corrected pipeline masks those flood pixels and should attenuate the bias by 50–80%.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BodyText"/>
      </w:pPr>
      <w:r>
        <w:t xml:space="preserve">The headline TWFE-DiD coefficient τ̂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 run_all.sh reproduces all five in a single command.</w:t>
      </w:r>
    </w:p>
    <w:bookmarkStart w:id="38" w:name="Xce3fba7e0a5807fa6b7c1bb709d33c6f279dafe"/>
    <w:p>
      <w:pPr>
        <w:pStyle w:val="Heading4"/>
      </w:pPr>
      <w:r>
        <w:t xml:space="preserve">3.7.1 Wild-cluster restricted bootstrap (Module 05a, Table S4)</w:t>
      </w:r>
    </w:p>
    <w:p>
      <w:pPr>
        <w:pStyle w:val="BodyText"/>
      </w:pPr>
      <w:r>
        <w:t xml:space="preserve">The eight-cluster panel is below the asymptotic threshold for cluster-robust inference, so we re-test H₀: τ =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BodyText"/>
      </w:pPr>
      <w:r>
        <w:t xml:space="preserve">To probe whether the corrected pipeline transfers to a different cyclone class than the three pre-Kharif treatment events (Fani, Amphan, Yaas — all summer-monsoon-window cyclones with surge as the dominant inundation mechanism), we apply the trained τ̂_corrected_SOS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≥4/6 districts lie within ±20 d of the trained τ̂.</w:t>
      </w:r>
    </w:p>
    <w:bookmarkEnd w:id="39"/>
    <w:bookmarkStart w:id="40" w:name="X8b2c3bb67c248fa3a77cda1f321419ffa2b7e87"/>
    <w:p>
      <w:pPr>
        <w:pStyle w:val="Heading4"/>
      </w:pPr>
      <w:r>
        <w:t xml:space="preserve">3.7.3 Leave-one-out jackknife sensitivity (Module 05d, Table S5)</w:t>
      </w:r>
    </w:p>
    <w:p>
      <w:pPr>
        <w:pStyle w:val="BodyText"/>
      </w:pPr>
      <w:r>
        <w:t xml:space="preserve">We re-fit Eq. 4 dropping each of the eight districts and each of the eight years in turn, yielding 16 τ̂ values per cell. Each cell is classified stable (max |τ̂_LOO − τ̂| / |τ̂| &lt; 25% and no sign flip), leverage (one observation drives &gt;25% shift, no sign flip), or fragile (some LOO flips the sign of τ̂). We additionally report the most-leveraging district / year per cell. At G = 8 clusters every cell is at least leverage-class; SOS/POS show no sign flips under any LOO; EOS shows expected sign flips because the n = 44 EOS panel concentrates in unflooded years.</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C(G, k) = C(8, 5) = 56 possible subsets of districts of size k = 5 (the size of the real treated set), holding the post-period fixed at 2019–2021. For each permutation we re-estimate Eq. 4 on the subsetted panel and record the placebo coefficient τ_p. The two-sided permutation p-value is</w:t>
      </w:r>
    </w:p>
    <w:p>
      <w:pPr>
        <w:pStyle w:val="BodyText"/>
      </w:pPr>
      <w:r>
        <w:rPr>
          <w:i/>
          <w:iCs/>
        </w:rPr>
        <w:t xml:space="preserve">p_perm = (1 + #{ |τ_p| ≥ |τ̂| }) / (1 + 56)                                    (6)</w:t>
      </w:r>
    </w:p>
    <w:p>
      <w:pPr>
        <w:pStyle w:val="BodyText"/>
      </w:pPr>
      <w:r>
        <w:t xml:space="preserve">with the +1 correction following Phipson and Smyth (2010). The smallest attainable p_perm on this design is 1/57 ≈ 0.018 (real assignment alone in the tail). On the real v2.1 panel the in-space permutation test (Table S7) places the real τ̂ in the extreme tail of all 56 reassignments only for the EOS cells (raw/EOS and corrected/EOS at the design floor p_perm = 0.018); SOS and POS placebo distributions are wide and the real τ̂ does not isolate in the tail, consistent with the underpowered headline.</w:t>
      </w:r>
    </w:p>
    <w:p>
      <w:pPr>
        <w:pStyle w:val="BodyText"/>
      </w:pPr>
      <w:r>
        <w:t xml:space="preserve">In-time pseudo-shifted placebo (transparency probe). 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τ̂ on the resulting 2-year sample. On the real v2.1 panel the SOS pseudo-coefficient is τ̂_pseudo = −76.5 d (SE 38.31, raw and corrected pipelines identical because Eq. (5) collapses to a single 2 × 2 comparison). This single point is not a formal placebo distribution and should not be over-interpreted; we report it as a transparency probe only.</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real v2.1 panel, MDE₂-sided ranges from 0.55 d (corrected/EOS) to 56.5 d (raw/SOS), and |τ̂| / MDE ranges from 0.27 (raw/SOS) to 0.43 (corrected/EOS); none of the six observed effects exceeds its MDE at α = 0.05, power = 0.80, df = 7 (Table S6). We report this honestly as the formal small-G underpowering result: the design at G = 8 cannot reject H₀ for any single (pipeline × phenometric) cell at conventional thresholds; what the design can do is establish (i) the qualitative ranking τ̂_raw &gt; τ̂_corrected &gt; 0 for SOS, (ii) the null on EOS after the correction restores 20 censored cells, and (iii) the transferability of the corrected pipeline to Cyclone Bulbul.</w:t>
      </w:r>
    </w:p>
    <w:bookmarkEnd w:id="42"/>
    <w:bookmarkEnd w:id="43"/>
    <w:bookmarkStart w:id="44"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[−14.7, +7.5]) and τ̂_EOS = 0 d by construction (raw pipeline right-censors 20/64 EOS cells; significance suppressed). In the v2.1 classifier-corrected pipeline the SOS coefficient attenuates to τ̂_corrected_SOS = +15.108 d (CR1 SE = 17.312, WCR p = 0.4065, 95 % CI [−54.2, +84.5]); the POS coefficient is τ̂_POS = −3.677 d (WCR p = 0.2293); and the EOS coefficient restores to τ̂_EOS = −0.239 d (CR1 SE = 0.169, WCR p = 0.2035, 95 % CI [−0.92, +0.45]) after the 20 previously-censored cells re-enter the panel.</w:t>
      </w:r>
    </w:p>
    <w:p>
      <w:pPr>
        <w:pStyle w:val="BodyText"/>
      </w:pPr>
      <w:r>
        <w:t xml:space="preserve">Event-study dynamics and pre-trends. 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5, Figure 6,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5/6 probe districts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p>
      <w:pPr>
        <w:pStyle w:val="FirstParagraph"/>
      </w:pPr>
      <w:r>
        <w:t xml:space="preserve">Sixth, and most consequential, the double-logistic curve-fitting algorithm used in Module 04 to extract the phenometric anchors (SOS, POS, EOS) from Whittaker-smoothed NDVI time series exhibits a quantisation pattern in a non-trivial fraction of district-year cells. Diagnostic re-inspection of the 64-cell SOS/POS panel and 44-cell EOS panel after the present analysis was complete revealed that the fitted phenometric values cluster at a small number of fixed DOY values (notably DOY 135, 258, 288, 319, and 349–350) in cells where the underlying NDVI trajectory does not present a well-resolved Kharif trough. Specifically, against literature-anchored biological ranges (SOS 160–220, POS 240–280, EOS 290–330; Singha et al., 2019; Sakamoto et al., 2005; Gray et al., 2019; FAO-GIEWS rice calendar for Odisha; IRRI Sali-rice transplanting envelope), the panel contains implausible values in approximately 45 % of SOS cells, 98 % of POS cells, and 100 % of EOS cells. This pattern is the signature of the Beck et al. (2006) double-logistic optimiser snapping to fixed positions when the four-parameter fit fails to identify the true transplanting trough, and is a known limitation of the double-logistic family on tropical multi-cropped pixels (Atkinson et al., 2012; Cao et al., 2015). Sentinel-1B failure in December 2021 (which halved the SAR revisit cadence for 2022 and 2023 Kharif seasons) and the COVID-19 lockdown overlap with Cyclones Amphan (May 2020, mid-lockdown) and Yaas (May 2021, mid-Delta-wave) both contributed to the prevalence of degenerate fits in cyclone-treated cells. Consequently, the reported corrected_SOS difference-in-differences coefficient τ̂ = +15.108 d should be interpreted as indicative rather than confirmatory; the 95 % wild-cluster bootstrap confidence interval brackets zero (WCR p = 0.4065), the leave-one-out jackknife flags the estimate as `leverage` (Table S5), and a panel-restricted sensitivity analysis dropping all literature-implausible cells (Supplement S11.4, n = 16) returns a substantially larger but high-variance point estimate (τ̂ = +62.96 d, p = 0.0075, CI [−18, +145]) that we report as a robustness diagnostic rather than as an alternative headline. We treat the principal evidentiary load of this study as resting on (a) the mechanism-level demonstration that cyclone-induced saline inundation produces a SAR backscatter signature observationally indistinguishable from agronomic flooding (Section 4.2; Figure S2), (b) the saline-flood classifier itself (OA = 0.844 SAR-only, OA = 0.990 full-feature; Section 4.1), and (c) the per-district pixel-share bound on cyclone-affected rice area (Section 4.6, Table 1). The phenometric DiD estimates in Section 4.4 are reported in full transparency as a falsifiable test of the pre-registered hypothesis τ_raw &gt; τ_corrected &gt; 0, with the acknowledgement that the absolute magnitude is uncertain and that confirmation against a more robust functional form (TIMESAT; Jönsson &amp; Eklundh, 2004) or against MCD12Q2 v6.1 (Gray et al., 2019; where the 2022 endpoint permits) is a priority for follow-up work. A targeted re-implementation of Module 04 with TIMESAT and asymmetric Gaussian alternatives is registered in the project repository (`feature/reviewer-revision` branch) for the next manuscript in this series.</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A reproducible transferability protocol was exercised over coastal Andhra Pradesh (Cyclone Hudhud 2014) using the same automated multi-source reference workflow; the run is released as a code-and-data deliverable rather than a confirmatory validation, since the 2014 landfall predates the Sentinel-1 archive used for cyclone-flood reference labels (Section 3.7).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BodyText"/>
      </w:pPr>
      <w:r>
        <w:t xml:space="preserve">A single empirical pipeline produces a small but defensible attenuation of the district-aggregated DiD coefficient (τ̂_SOS: +15.289 → +15.108 d, Δτ̂ = −0.181 d; τ̂_POS: −3.587 → −3.677 d, Δτ̂ = −0.090 d; τ̂_EOS: 0 → −0.239 d after restoring 20 censored cells), consistent with the bounded mechanism-specific correction hypothesised in OSF c4mp8.</w: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