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66708" w:name="provenance"/>
      <w:r>
        <w:rPr>
          <w:rFonts w:ascii="Arial" w:hAnsi="Arial"/>
          <w:b/>
          <w:color w:val="A12C7B"/>
          <w:sz w:val="32"/>
        </w:rPr>
        <w:t>Data provenance declaration</w:t>
      </w:r>
      <w:bookmarkEnd w:id="66708"/>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keepNext/>
        <w:keepLines/>
        <w:jc w:val="center"/>
      </w:pPr>
      <w:r>
        <w:rPr>
          <w:rFonts w:ascii="Arial" w:hAnsi="Arial"/>
          <w:i/>
          <w:sz w:val="18"/>
        </w:rPr>
        <w:t>Figure S1. Pre-Kharif cyclone climatology. (A) Track-genesis schematic; (B) intensity-vs-day-of-year (DOY) scatter on Saffir-Simpson bands. Fani (2019), Amphan (2020), Yaas (2021) shown against the n = 19 IBTrACS 1981–2018 reference distribution.</w:t>
      </w:r>
    </w:p>
    <w:p>
      <w:pPr>
        <w:keepNext w:val="0"/>
        <w:keepLines/>
        <w:jc w:val="center"/>
      </w:pPr>
      <w:r>
        <w:drawing>
          <wp:inline xmlns:a="http://schemas.openxmlformats.org/drawingml/2006/main" xmlns:pic="http://schemas.openxmlformats.org/drawingml/2006/picture">
            <wp:extent cx="5760000" cy="231141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2311416"/>
                    </a:xfrm>
                    <a:prstGeom prst="rect"/>
                  </pic:spPr>
                </pic:pic>
              </a:graphicData>
            </a:graphic>
          </wp:inline>
        </w:drawing>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keepNext/>
        <w:keepLines/>
        <w:jc w:val="center"/>
      </w:pPr>
      <w:r>
        <w:rPr>
          <w:rFonts w:ascii="Arial" w:hAnsi="Arial"/>
          <w:i/>
          <w:sz w:val="18"/>
        </w:rPr>
        <w:t>Figure S2. Canonical Sentinel-1 backscatter signatures (VH, VV, CR vs. DOY) for the three mechanisms: transplanting flood, saline storm-surge, freshwater rainfall ponding. Onset markers and ΔVH calibrations from Hoshikawa et al. (2023), Wali et al. (2020), Filipponi (2019), Konkathi et al. (2024).</w:t>
      </w:r>
    </w:p>
    <w:p>
      <w:pPr>
        <w:keepNext w:val="0"/>
        <w:keepLines/>
        <w:jc w:val="center"/>
      </w:pPr>
      <w:r>
        <w:drawing>
          <wp:inline xmlns:a="http://schemas.openxmlformats.org/drawingml/2006/main" xmlns:pic="http://schemas.openxmlformats.org/drawingml/2006/picture">
            <wp:extent cx="5040000" cy="4770481"/>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40000" cy="4770481"/>
                    </a:xfrm>
                    <a:prstGeom prst="rect"/>
                  </pic:spPr>
                </pic:pic>
              </a:graphicData>
            </a:graphic>
          </wp:inline>
        </w:drawing>
      </w:r>
    </w:p>
    <w:p>
      <w:pPr>
        <w:pStyle w:val="ListBullet"/>
      </w:pPr>
      <w:r>
        <w:rPr>
          <w:rFonts w:ascii="Arial" w:hAnsi="Arial"/>
          <w:sz w:val="20"/>
        </w:rPr>
        <w:t>Indicative Module 02 random-forest baseline numbers (Tables S10/S11 to be added) — pending direct retraining on Sentinel-1 labelled pixels.</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35279" w:name="toc"/>
      <w:r>
        <w:rPr>
          <w:rFonts w:ascii="Arial" w:hAnsi="Arial"/>
          <w:b/>
          <w:color w:val="141414"/>
          <w:sz w:val="32"/>
        </w:rPr>
        <w:t>Contents</w:t>
      </w:r>
      <w:bookmarkEnd w:id="35279"/>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75962" w:name="note_s1"/>
      <w:r>
        <w:rPr>
          <w:rFonts w:ascii="Arial" w:hAnsi="Arial"/>
          <w:b/>
          <w:color w:val="1F3A5F"/>
          <w:sz w:val="32"/>
        </w:rPr>
        <w:t>Note S1 — Bulbul (2019) transferability probe</w:t>
      </w:r>
      <w:bookmarkEnd w:id="75962"/>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jc w:val="righ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jc w:val="right"/>
            </w:pPr>
            <w:r>
              <w:rPr>
                <w:rFonts w:ascii="Arial" w:hAnsi="Arial"/>
                <w:sz w:val="18"/>
              </w:rPr>
              <w:t xml:space="preserve">Residual (d)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−0.12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−2.09</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−3.89</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−5.85</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Kandhamal</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+0.52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−1.44</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−1.06</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−3.02</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Mayurbhanj</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+1.58</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−0.39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+3.30</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+1.34</w:t>
            </w:r>
          </w:p>
        </w:tc>
        <w:tc>
          <w:tcPr/>
          <w:p>
            <w:pPr>
              <w:pStyle w:val="Compact"/>
              <w:jc w:val="center"/>
            </w:pPr>
            <w:r>
              <w:rPr>
                <w:rFonts w:ascii="Arial" w:hAnsi="Arial"/>
                <w:sz w:val="18"/>
              </w:rPr>
              <w:t xml:space="preserve">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69293" w:name="note_s2"/>
      <w:r>
        <w:rPr>
          <w:rFonts w:ascii="Arial" w:hAnsi="Arial"/>
          <w:b/>
          <w:color w:val="1F3A5F"/>
          <w:sz w:val="32"/>
        </w:rPr>
        <w:t>Note S2 — Pre-Kharif Bay-of-Bengal cyclone climatology</w:t>
      </w:r>
      <w:bookmarkEnd w:id="69293"/>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21191" w:name="note_s3"/>
      <w:r>
        <w:rPr>
          <w:rFonts w:ascii="Arial" w:hAnsi="Arial"/>
          <w:b/>
          <w:color w:val="1F3A5F"/>
          <w:sz w:val="32"/>
        </w:rPr>
        <w:t>Note S3 — Sentinel-1 dual-polarisation backscatter signatures</w:t>
      </w:r>
      <w:bookmarkEnd w:id="21191"/>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32751" w:name="table_s1"/>
      <w:r>
        <w:rPr>
          <w:rFonts w:ascii="Arial" w:hAnsi="Arial"/>
          <w:b/>
          <w:color w:val="1F3A5F"/>
          <w:sz w:val="32"/>
        </w:rPr>
        <w:t>Table S1 — Static TWFE-DiD point estimates</w:t>
      </w:r>
      <w:bookmarkEnd w:id="32751"/>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97066" w:name="table_s2"/>
      <w:r>
        <w:rPr>
          <w:rFonts w:ascii="Arial" w:hAnsi="Arial"/>
          <w:b/>
          <w:color w:val="1F3A5F"/>
          <w:sz w:val="32"/>
        </w:rPr>
        <w:t>Table S2 — Pre-trend tests</w:t>
      </w:r>
      <w:bookmarkEnd w:id="97066"/>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92973" w:name="table_s3"/>
      <w:r>
        <w:rPr>
          <w:rFonts w:ascii="Arial" w:hAnsi="Arial"/>
          <w:b/>
          <w:color w:val="1F3A5F"/>
          <w:sz w:val="32"/>
        </w:rPr>
        <w:t>Table S3 — Bulbul transferability residuals</w:t>
      </w:r>
      <w:bookmarkEnd w:id="92973"/>
    </w:p>
    <w:p>
      <w:pPr>
        <w:jc w:val="left"/>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20"/>
              </w:rPr>
              <w:t>District</w:t>
            </w:r>
          </w:p>
        </w:tc>
        <w:tc>
          <w:tcPr>
            <w:tcW w:type="dxa" w:w="1728"/>
          </w:tcPr>
          <w:p>
            <w:r>
              <w:rPr>
                <w:rFonts w:ascii="Arial" w:hAnsi="Arial"/>
                <w:b/>
                <w:sz w:val="20"/>
              </w:rPr>
              <w:t>Predicted ΔSOS (d)</w:t>
            </w:r>
          </w:p>
        </w:tc>
        <w:tc>
          <w:tcPr>
            <w:tcW w:type="dxa" w:w="1728"/>
          </w:tcPr>
          <w:p>
            <w:r>
              <w:rPr>
                <w:rFonts w:ascii="Arial" w:hAnsi="Arial"/>
                <w:b/>
                <w:sz w:val="20"/>
              </w:rPr>
              <w:t>Observed ΔSOS (d)</w:t>
            </w:r>
          </w:p>
        </w:tc>
        <w:tc>
          <w:tcPr>
            <w:tcW w:type="dxa" w:w="1728"/>
          </w:tcPr>
          <w:p>
            <w:r>
              <w:rPr>
                <w:rFonts w:ascii="Arial" w:hAnsi="Arial"/>
                <w:b/>
                <w:sz w:val="20"/>
              </w:rPr>
              <w:t>Residual (d)</w:t>
            </w:r>
          </w:p>
        </w:tc>
        <w:tc>
          <w:tcPr>
            <w:tcW w:type="dxa" w:w="1728"/>
          </w:tcPr>
          <w:p>
            <w:r>
              <w:rPr>
                <w:rFonts w:ascii="Arial" w:hAnsi="Arial"/>
                <w:b/>
                <w:sz w:val="20"/>
              </w:rPr>
              <w:t>Inside 95% PI?</w:t>
            </w:r>
          </w:p>
        </w:tc>
      </w:tr>
      <w:tr>
        <w:tc>
          <w:tcPr>
            <w:tcW w:type="dxa" w:w="1728"/>
          </w:tcPr>
          <w:p>
            <w:r>
              <w:rPr>
                <w:rFonts w:ascii="Arial" w:hAnsi="Arial"/>
                <w:sz w:val="20"/>
              </w:rPr>
              <w:t>Baleshwar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Bhadrak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Kendrapara</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Jagatsinghpur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Puri</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Dhenkanal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Anugul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Cuttack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bl>
    <w:p/>
    <w:p>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r>
        <w:rPr>
          <w:rFonts w:ascii="Arial" w:hAnsi="Arial"/>
          <w:sz w:val="20"/>
        </w:rPr>
        <w:br w:type="page"/>
      </w:r>
    </w:p>
    <w:p>
      <w:pPr>
        <w:keepNext/>
        <w:spacing w:before="240" w:after="120"/>
      </w:pPr>
      <w:bookmarkStart w:id="92675" w:name="table_s4"/>
      <w:r>
        <w:rPr>
          <w:rFonts w:ascii="Arial" w:hAnsi="Arial"/>
          <w:b/>
          <w:color w:val="1F3A5F"/>
          <w:sz w:val="32"/>
        </w:rPr>
        <w:t>Table S4 — Wild-cluster bootstrap (G = 8)</w:t>
      </w:r>
      <w:bookmarkEnd w:id="92675"/>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47402" w:name="table_s5"/>
      <w:r>
        <w:rPr>
          <w:rFonts w:ascii="Arial" w:hAnsi="Arial"/>
          <w:b/>
          <w:color w:val="1F3A5F"/>
          <w:sz w:val="32"/>
        </w:rPr>
        <w:t>Table S5 — Jackknife leave-one-out</w:t>
      </w:r>
      <w:bookmarkEnd w:id="47402"/>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29919" w:name="table_s6"/>
      <w:r>
        <w:rPr>
          <w:rFonts w:ascii="Arial" w:hAnsi="Arial"/>
          <w:b/>
          <w:color w:val="1F3A5F"/>
          <w:sz w:val="32"/>
        </w:rPr>
        <w:t>Table S6 — MDE / power</w:t>
      </w:r>
      <w:bookmarkEnd w:id="29919"/>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92083" w:name="table_s7"/>
      <w:r>
        <w:rPr>
          <w:rFonts w:ascii="Arial" w:hAnsi="Arial"/>
          <w:b/>
          <w:color w:val="1F3A5F"/>
          <w:sz w:val="32"/>
        </w:rPr>
        <w:t>Table S7 — Placebo / falsification</w:t>
      </w:r>
      <w:bookmarkEnd w:id="92083"/>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65939" w:name="table_s8"/>
      <w:r>
        <w:rPr>
          <w:rFonts w:ascii="Arial" w:hAnsi="Arial"/>
          <w:b/>
          <w:color w:val="1F3A5F"/>
          <w:sz w:val="32"/>
        </w:rPr>
        <w:t>Table S8 — Pre-Kharif cyclone climatology</w:t>
      </w:r>
      <w:bookmarkEnd w:id="65939"/>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74103" w:name="table_s9"/>
      <w:r>
        <w:rPr>
          <w:rFonts w:ascii="Arial" w:hAnsi="Arial"/>
          <w:b/>
          <w:color w:val="1F3A5F"/>
          <w:sz w:val="32"/>
        </w:rPr>
        <w:t>Table S9 — Canonical S1 dual-pol features</w:t>
      </w:r>
      <w:bookmarkEnd w:id="74103"/>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34648" w:name="figure_s1"/>
      <w:r>
        <w:rPr>
          <w:rFonts w:ascii="Arial" w:hAnsi="Arial"/>
          <w:b/>
          <w:color w:val="1F3A5F"/>
          <w:sz w:val="32"/>
        </w:rPr>
        <w:t>Figure S1 — Pre-Kharif cyclone climatology</w:t>
      </w:r>
      <w:bookmarkEnd w:id="34648"/>
    </w:p>
    <w:p>
      <w:pPr>
        <w:jc w:val="center"/>
      </w:pPr>
      <w:r>
        <w:rPr>
          <w:rFonts w:ascii="Arial" w:hAnsi="Arial"/>
          <w:sz w:val="20"/>
        </w:rPr>
        <w:drawing>
          <wp:inline xmlns:a="http://schemas.openxmlformats.org/drawingml/2006/main" xmlns:pic="http://schemas.openxmlformats.org/drawingml/2006/picture">
            <wp:extent cx="5943600" cy="238509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8509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76419" w:name="figure_s2"/>
      <w:r>
        <w:rPr>
          <w:rFonts w:ascii="Arial" w:hAnsi="Arial"/>
          <w:b/>
          <w:color w:val="1F3A5F"/>
          <w:sz w:val="32"/>
        </w:rPr>
        <w:t>Figure S2 — Canonical Sentinel-1 backscatter signatures</w:t>
      </w:r>
      <w:bookmarkEnd w:id="76419"/>
    </w:p>
    <w:p>
      <w:pPr>
        <w:jc w:val="center"/>
      </w:pPr>
      <w:r>
        <w:rPr>
          <w:rFonts w:ascii="Arial" w:hAnsi="Arial"/>
          <w:sz w:val="20"/>
        </w:rPr>
        <w:drawing>
          <wp:inline xmlns:a="http://schemas.openxmlformats.org/drawingml/2006/main" xmlns:pic="http://schemas.openxmlformats.org/drawingml/2006/picture">
            <wp:extent cx="5943600" cy="5625760"/>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625760"/>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