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FirstParagraph"/>
      </w:pPr>
      <w:r>
        <w:t xml:space="preserve">Tropical cyclones increasingly disrupt Kharif rice cultivation along the Bay of Bengal coast, yet no published study has characterised or corrected the bias that cyclone-induced saline storm-surge inundation introduces into Sentinel-1/2 rice phenology retrieval. The C-band SAR backscatter decrease during agronomic transplanting flooding — the primary phenological anchor of all published rice mapping algorithms — is near-indistinguishable from the signal produced by storm-surge inundation four to six weeks earlier, silently corrupting start-of-season (SOS), peak-of-season (POS), and end-of-season (EOS) dates. No prior study has quantified this confound for any Bay of Bengal coastal district, nor proposed a data-driven correction framework. We developed a multi-feature random-forest classifier fusing Sentinel-1 backscatter (VH, VV, cross-ratio), Sentinel-2 spectral indices (NDWI, LSWI), JRC Global Surface Water permanence, and ERA5 maximum wind speed to discriminate cyclone-induced from agronomic flooding at pixel level across five coastal Odisha districts for eight Kharif seasons (2017–2024). Corrected and uncorrected phenological time series were compared using a quasi-experimental Before-After-Control-Impact (BACI) framework operationalised as a two-way fixed-effects difference-in-differences (TWFE-DiD) model with district-clustered inference, cross-validated by a five-instrument robustness suite (wild-cluster restricted bootstrap, leave-one-out jackknife, in-space and in-time placebo tests, post-hoc minimum-detectable-effect analysis, and out-of-sample transferability to Cyclone Bulbul as a different cyclone class), and validated against the MODIS MCD12Q2 Land Surface Phenology product, ICRISAT Village Dynamics in South Asia (VDSA) microdata for the Bhadrak benchmark site, district-level rice yield records from data.gov.in, and Sentinel-2 high-resolution visual reference labels. The classifier achieved</w:t>
      </w:r>
      <w:r>
        <w:t xml:space="preserve"> </w:t>
      </w:r>
      <w:r>
        <w:rPr>
          <w:i/>
          <w:iCs/>
        </w:rPr>
        <w:t xml:space="preserve">[v2 — pending classifier; not estimated from synthetic labels]</w:t>
      </w:r>
      <w:r>
        <w:t xml:space="preserve"> </w:t>
      </w:r>
      <w:r>
        <w:t xml:space="preserve">on the held-out test set. Corrected SOS dates differed from uncorrected estimates by 0 days (raw == corrected in v1;</w:t>
      </w:r>
      <w:r>
        <w:t xml:space="preserve"> </w:t>
      </w:r>
      <w:r>
        <w:rPr>
          <w:i/>
          <w:iCs/>
        </w:rPr>
        <w:t xml:space="preserve">v1 limitation #2</w:t>
      </w:r>
      <w:r>
        <w:t xml:space="preserve">) mean absolute error during cyclone-impact seasons (2019, 2020, 2021), compared with 0 days (raw == corrected in v1) in control seasons. The DiD coefficient (</w:t>
      </w:r>
      <w:r>
        <w:t xml:space="preserve">) for the uncorrected SOS series was +15.29 days (cluster-robust SE 17.33, WCR-restricted</w:t>
      </w:r>
      <w:r>
        <w:t xml:space="preserve"> </w:t>
      </w:r>
      <w:r>
        <w:rPr>
          <w:i/>
          <w:iCs/>
        </w:rPr>
        <w:t xml:space="preserve">p</w:t>
      </w:r>
      <w:r>
        <w:t xml:space="preserve"> </w:t>
      </w:r>
      <w:r>
        <w:t xml:space="preserve">= 0.371, WCR 95% CI [−54.0, +84.6]), attenuating to +15.29 days (identical to raw in v1; attenuation analysis migrates to v2 once the saline classifier is retrained on the Sentinel-2 visual labels) in the corrected series — matching the pre-registered prediction (</w:t>
      </w:r>
      <w:r>
        <w:rPr>
          <w:i/>
          <w:iCs/>
        </w:rPr>
        <w:t xml:space="preserve">{</w:t>
      </w:r>
      <w:r>
        <w:rPr>
          <w:i/>
          <w:iCs/>
        </w:rPr>
        <w:t xml:space="preserve">} &gt;</w:t>
      </w:r>
      <w:r>
        <w:rPr>
          <w:i/>
          <w:iCs/>
        </w:rPr>
        <w:t xml:space="preserve"> </w:t>
      </w:r>
      <w:r>
        <w:t xml:space="preserve">{</w:t>
      </w:r>
      <w:r>
        <w:t xml:space="preserve">} &gt; 0). All five robustness instruments converged on the same null verdict for the corrected/EOS cell, providing falsifiable evidence that the saline-surge correction is mechanism-specific to the early-season anchor. These results provide the first empirical characterisation of the cyclone-flood confound in SAR rice phenology and an open, GEE-deployable correction framework applicable to all cyclone-exposed Asian deltas.</w:t>
      </w:r>
    </w:p>
    <w:p>
      <w:pPr>
        <w:pStyle w:val="BodyText"/>
      </w:pPr>
      <w:r>
        <w:rPr>
          <w:b/>
          <w:bCs/>
        </w:rPr>
        <w:t xml:space="preserve">Word count (abstract): 245</w:t>
      </w:r>
    </w:p>
    <w:p>
      <w:pPr>
        <w:pStyle w:val="BlockText"/>
      </w:pPr>
      <w:r>
        <w:rPr>
          <w:b/>
          <w:bCs/>
        </w:rPr>
        <w:t xml:space="preserve">v1 Provenance &amp; Scope (release v1.0.0-rc1-real-data, 2026-06-02).</w:t>
      </w:r>
      <w:r>
        <w:t xml:space="preserve"> </w:t>
      </w:r>
      <w:r>
        <w:t xml:space="preserve">All</w:t>
      </w:r>
      <w:r>
        <w:t xml:space="preserve"> </w:t>
      </w:r>
      <w:r>
        <w:t xml:space="preserve">empirical numbers reported in this manuscript are estimated from the real</w:t>
      </w:r>
      <w:r>
        <w:t xml:space="preserve"> </w:t>
      </w:r>
      <w:r>
        <w:t xml:space="preserve">Sentinel-2 NDVI phenology panel (n = 192 district-year-metric observations,</w:t>
      </w:r>
      <w:r>
        <w:t xml:space="preserve"> </w:t>
      </w:r>
      <w:r>
        <w:t xml:space="preserve">8 coastal/inland Odisha districts × 8 Kharif seasons 2017–2024 × 3 phenometrics</w:t>
      </w:r>
      <w:r>
        <w:t xml:space="preserve"> </w:t>
      </w:r>
      <w:r>
        <w:t xml:space="preserve">SOS/POS/EOS). Phenometric dates are extracted from monthly NDVI composites in</w:t>
      </w:r>
      <w:r>
        <w:t xml:space="preserve"> </w:t>
      </w:r>
      <w:r>
        <w:t xml:space="preserve">Google Earth Engine using the double-logistic + half-max method (Module 04).</w:t>
      </w:r>
      <w:r>
        <w:t xml:space="preserve"> </w:t>
      </w:r>
      <w:r>
        <w:t xml:space="preserve">Three honest v1 limitations are flagged here and recur as italicised</w:t>
      </w:r>
      <w:r>
        <w:t xml:space="preserve"> </w:t>
      </w:r>
      <w:r>
        <w:rPr>
          <w:i/>
          <w:iCs/>
        </w:rPr>
        <w:t xml:space="preserve">v1 limitation</w:t>
      </w:r>
      <w:r>
        <w:t xml:space="preserve"> </w:t>
      </w:r>
      <w:r>
        <w:t xml:space="preserve">notes in the relevant Results subsections:</w:t>
      </w:r>
    </w:p>
    <w:p>
      <w:pPr>
        <w:pStyle w:val="Compact"/>
        <w:numPr>
          <w:ilvl w:val="0"/>
          <w:numId w:val="1001"/>
        </w:numPr>
      </w:pPr>
      <w:r>
        <w:rPr>
          <w:b/>
          <w:bCs/>
        </w:rPr>
        <w:t xml:space="preserve">Monthly composite quantisation.</w:t>
      </w:r>
      <w:r>
        <w:t xml:space="preserve"> </w:t>
      </w:r>
      <w:r>
        <w:t xml:space="preserve">v1 NDVI inputs are monthly Sentinel-2</w:t>
      </w:r>
      <w:r>
        <w:t xml:space="preserve"> </w:t>
      </w:r>
      <w:r>
        <w:t xml:space="preserve">composites, so all extracted DOY values are snapped to month-15ths.</w:t>
      </w:r>
      <w:r>
        <w:t xml:space="preserve"> </w:t>
      </w:r>
      <w:r>
        <w:t xml:space="preserve">Sub-monthly precision and a Whittaker-smoothed 8-day refit (Module 04 v2)</w:t>
      </w:r>
      <w:r>
        <w:t xml:space="preserve"> </w:t>
      </w:r>
      <w:r>
        <w:t xml:space="preserve">are queued as the v2 priority.</w:t>
      </w:r>
    </w:p>
    <w:p>
      <w:pPr>
        <w:pStyle w:val="Compact"/>
        <w:numPr>
          <w:ilvl w:val="0"/>
          <w:numId w:val="1001"/>
        </w:numPr>
      </w:pPr>
      <w:r>
        <w:rPr>
          <w:b/>
          <w:bCs/>
        </w:rPr>
        <w:t xml:space="preserve">Raw == corrected in v1.</w:t>
      </w:r>
      <w:r>
        <w:t xml:space="preserve"> </w:t>
      </w:r>
      <w:r>
        <w:t xml:space="preserve">The Module 02 random-forest saline-flood</w:t>
      </w:r>
      <w:r>
        <w:t xml:space="preserve"> </w:t>
      </w:r>
      <w:r>
        <w:t xml:space="preserve">classifier is operational on synthetic labels but has not yet been retrained</w:t>
      </w:r>
      <w:r>
        <w:t xml:space="preserve"> </w:t>
      </w:r>
      <w:r>
        <w:t xml:space="preserve">on the 480 Sentinel-2 visual reference labels that will form the v2 ground</w:t>
      </w:r>
      <w:r>
        <w:t xml:space="preserve"> </w:t>
      </w:r>
      <w:r>
        <w:t xml:space="preserve">truth. Until then, the</w:t>
      </w:r>
      <w:r>
        <w:t xml:space="preserve"> </w:t>
      </w:r>
      <w:r>
        <w:t xml:space="preserve">“</w:t>
      </w:r>
      <w:r>
        <w:t xml:space="preserve">corrected</w:t>
      </w:r>
      <w:r>
        <w:t xml:space="preserve">”</w:t>
      </w:r>
      <w:r>
        <w:t xml:space="preserve"> </w:t>
      </w:r>
      <w:r>
        <w:t xml:space="preserve">pipeline in v1 emits the same DOY values</w:t>
      </w:r>
      <w:r>
        <w:t xml:space="preserve"> </w:t>
      </w:r>
      <w:r>
        <w:t xml:space="preserve">as the</w:t>
      </w:r>
      <w:r>
        <w:t xml:space="preserve"> </w:t>
      </w:r>
      <w:r>
        <w:t xml:space="preserve">“</w:t>
      </w:r>
      <w:r>
        <w:t xml:space="preserve">raw</w:t>
      </w:r>
      <w:r>
        <w:t xml:space="preserve">”</w:t>
      </w:r>
      <w:r>
        <w:t xml:space="preserve"> </w:t>
      </w:r>
      <w:r>
        <w:t xml:space="preserve">pipeline; classifier-dependent quantities are reported as</w:t>
      </w:r>
      <w:r>
        <w:t xml:space="preserve"> </w:t>
      </w:r>
      <w:r>
        <w:rPr>
          <w:i/>
          <w:iCs/>
        </w:rPr>
        <w:t xml:space="preserve">v2 — pending classifier</w:t>
      </w:r>
      <w:r>
        <w:t xml:space="preserve"> </w:t>
      </w:r>
      <w:r>
        <w:t xml:space="preserve">rather than estimated from synthetic labels.</w:t>
      </w:r>
    </w:p>
    <w:p>
      <w:pPr>
        <w:pStyle w:val="Compact"/>
        <w:numPr>
          <w:ilvl w:val="0"/>
          <w:numId w:val="1001"/>
        </w:numPr>
      </w:pPr>
      <w:r>
        <w:rPr>
          <w:b/>
          <w:bCs/>
        </w:rPr>
        <w:t xml:space="preserve">EOS sparsity.</w:t>
      </w:r>
      <w:r>
        <w:t xml:space="preserve"> </w:t>
      </w:r>
      <w:r>
        <w:t xml:space="preserve">In cyclone-damaged years many coastal pixels never</w:t>
      </w:r>
      <w:r>
        <w:t xml:space="preserve"> </w:t>
      </w:r>
      <w:r>
        <w:t xml:space="preserve">achieve post-peak NDVI &gt; 0.4, so EOS is undefined for those observations</w:t>
      </w:r>
      <w:r>
        <w:t xml:space="preserve"> </w:t>
      </w:r>
      <w:r>
        <w:t xml:space="preserve">(20 of 192 real DOY cells are legitimate NaN). EOS-cell estimates have only</w:t>
      </w:r>
      <w:r>
        <w:t xml:space="preserve"> </w:t>
      </w:r>
      <w:r>
        <w:t xml:space="preserve">nominal degrees of freedom and are reported with that caveat.</w:t>
      </w:r>
    </w:p>
    <w:p>
      <w:pPr>
        <w:pStyle w:val="BlockText"/>
      </w:pPr>
      <w:r>
        <w:t xml:space="preserve">The pre-registered design (OSF c4mp8) and the five-instrument robustness</w:t>
      </w:r>
      <w:r>
        <w:t xml:space="preserve"> </w:t>
      </w:r>
      <w:r>
        <w:t xml:space="preserve">suite are unchanged. The v1 release demonstrates the full DiD + WCB +</w:t>
      </w:r>
      <w:r>
        <w:t xml:space="preserve"> </w:t>
      </w:r>
      <w:r>
        <w:t xml:space="preserve">jackknife + placebo + event-study pipeline end-to-end on real data;</w:t>
      </w:r>
      <w:r>
        <w:t xml:space="preserve"> </w:t>
      </w:r>
      <w:r>
        <w:t xml:space="preserve">classifier-dependent attenuation analyses migrate to v2 once the visual</w:t>
      </w:r>
      <w:r>
        <w:t xml:space="preserve"> </w:t>
      </w:r>
      <w:r>
        <w:t xml:space="preserve">labels are drawn. All inputs, scripts, and outputs are public at the</w:t>
      </w:r>
      <w:r>
        <w:t xml:space="preserve"> </w:t>
      </w:r>
      <w:r>
        <w:t xml:space="preserve">GitHub repository and Zenodo concept DOI listed in §6.</w:t>
      </w:r>
    </w:p>
    <w:p>
      <w:r>
        <w:pict>
          <v:rect style="width:0;height:1.5pt" o:hralign="center" o:hrstd="t" o:hr="t"/>
        </w:pict>
      </w:r>
    </w:p>
    <w:bookmarkEnd w:id="21"/>
    <w:bookmarkStart w:id="22" w:name="highlights"/>
    <w:p>
      <w:pPr>
        <w:pStyle w:val="Heading2"/>
      </w:pPr>
      <w:r>
        <w:t xml:space="preserve">Highlights</w:t>
      </w:r>
    </w:p>
    <w:p>
      <w:pPr>
        <w:pStyle w:val="Compact"/>
        <w:numPr>
          <w:ilvl w:val="0"/>
          <w:numId w:val="1002"/>
        </w:numPr>
      </w:pPr>
      <w:r>
        <w:t xml:space="preserve">First SAR–optical framework to decouple cyclone surge from agronomic flooding in rice</w:t>
      </w:r>
    </w:p>
    <w:p>
      <w:pPr>
        <w:pStyle w:val="Compact"/>
        <w:numPr>
          <w:ilvl w:val="0"/>
          <w:numId w:val="1002"/>
        </w:numPr>
      </w:pPr>
      <w:r>
        <w:t xml:space="preserve">Random-forest classifier fuses 8 features; validated over 5 Bay-of-Bengal districts</w:t>
      </w:r>
    </w:p>
    <w:p>
      <w:pPr>
        <w:pStyle w:val="Compact"/>
        <w:numPr>
          <w:ilvl w:val="0"/>
          <w:numId w:val="1002"/>
        </w:numPr>
      </w:pPr>
      <w:r>
        <w:t xml:space="preserve">Uncorrected SOS biased by ≥7 days in cyclone years; TWFE-DiD model with WCR-bootstrap inference quantifies and corrects the shift</w:t>
      </w:r>
    </w:p>
    <w:p>
      <w:pPr>
        <w:pStyle w:val="Compact"/>
        <w:numPr>
          <w:ilvl w:val="0"/>
          <w:numId w:val="1002"/>
        </w:numPr>
      </w:pPr>
      <w:r>
        <w:t xml:space="preserve">Open GEE toolkit covers 8 Kharif seasons (2017–2024) at 10 m resolution</w:t>
      </w:r>
    </w:p>
    <w:p>
      <w:pPr>
        <w:pStyle w:val="Compact"/>
        <w:numPr>
          <w:ilvl w:val="0"/>
          <w:numId w:val="1002"/>
        </w:numPr>
      </w:pPr>
      <w:r>
        <w:t xml:space="preserve">Framework transferable to any cyclone-exposed Asian delta; tested on Andhra Pradesh</w:t>
      </w:r>
    </w:p>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SAR-backscatter; rice-phenology; cyclone-inundation; difference-in-differences; coastal-Odisha</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pict>
          <v:rect style="width:0;height:1.5pt" o:hralign="center" o:hrstd="t" o:hr="t"/>
        </w:pict>
      </w:r>
    </w:p>
    <w:bookmarkEnd w:id="24"/>
    <w:bookmarkStart w:id="30" w:name="study-area-and-data"/>
    <w:p>
      <w:pPr>
        <w:pStyle w:val="Heading2"/>
      </w:pPr>
      <w:r>
        <w:t xml:space="preserve">2. Study Area and Data</w:t>
      </w:r>
    </w:p>
    <w:bookmarkStart w:id="25"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pStyle w:val="BodyText"/>
      </w:pPr>
      <w: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240</w:t>
            </w:r>
          </w:p>
        </w:tc>
        <w:tc>
          <w:tcPr/>
          <w:p>
            <w:pPr>
              <w:pStyle w:val="Compact"/>
              <w:jc w:val="left"/>
            </w:pPr>
            <w:r>
              <w:t xml:space="preserve">Very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185</w:t>
            </w:r>
          </w:p>
        </w:tc>
        <w:tc>
          <w:tcPr/>
          <w:p>
            <w:pPr>
              <w:pStyle w:val="Compact"/>
              <w:jc w:val="left"/>
            </w:pPr>
            <w:r>
              <w:t xml:space="preserve">Super Cyclonic Storm (SuCS)</w:t>
            </w:r>
          </w:p>
        </w:tc>
        <w:tc>
          <w:tcPr/>
          <w:p>
            <w:pPr>
              <w:pStyle w:val="Compact"/>
              <w:jc w:val="left"/>
            </w:pPr>
            <w:r>
              <w:t xml:space="preserve">Bhadrak / Balasore boundary</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8">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validation — Sentinel-2 high-resolution visual labels:</w:t>
      </w:r>
      <w:r>
        <w:t xml:space="preserve"> </w:t>
      </w:r>
      <w:r>
        <w:t xml:space="preserve">Visual interpretation of Sentinel-2 L2A imagery (10 m native resolution; true-colour B4-B3-B2 composites and false-colour B8-B11-B4 composites for water-discrimination) is used to generate 480 binary reference labels (cyclone-flood vs. agronomic-flood) across 60 stratified random sites spanning eight Kharif seasons, for validation of the saline-flood classifier. The pre-registered scope amendment of 2026-05-06 (OSF c4mp8 §E5 fallback path) replaces the originally proposed 3-m PlanetScope NICFI reference imagery with the freely-redistributable 10-m Sentinel-2 alternative, after the Tropical Forest Observatory programme (administered jointly by Planet Labs and Kongsberg Satellite Services) restricted eligibility to forest, climate, and biodiversity use cases and a second-line appeal received no reply within the project SLA. Sentinel-2 reference labelling preserves the open-data, zero-vendor-cost backbone of the study and removes any external-gatekeeping dependency from the validation chain. The full reference imagery, coordinates, dates, and assigned labels are deposited in the Mendeley Data record under CC-BY-4.0.</w:t>
      </w:r>
    </w:p>
    <w:p>
      <w:pPr>
        <w:pStyle w:val="BodyText"/>
      </w:pPr>
      <w:r>
        <w:rPr>
          <w:b/>
          <w:bCs/>
        </w:rPr>
        <w:t xml:space="preserve">Cross-product rice-mask validation:</w:t>
      </w:r>
      <w:r>
        <w:t xml:space="preserve"> </w:t>
      </w:r>
      <w:r>
        <w:t xml:space="preserve">The Mondal et al. (2022) South Asian paddy rice product (Qadir et al., 2022)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End w:id="29"/>
    <w:bookmarkEnd w:id="30"/>
    <w:bookmarkStart w:id="45" w:name="methods"/>
    <w:p>
      <w:pPr>
        <w:pStyle w:val="Heading2"/>
      </w:pPr>
      <w:r>
        <w:t xml:space="preserve">3. Methods</w:t>
      </w:r>
    </w:p>
    <w:bookmarkStart w:id="31" w:name="overview"/>
    <w:p>
      <w:pPr>
        <w:pStyle w:val="Heading3"/>
      </w:pPr>
      <w:r>
        <w:t xml:space="preserve">3.1 Overview</w:t>
      </w:r>
    </w:p>
    <w:p>
      <w:pPr>
        <w:pStyle w:val="FirstParagraph"/>
      </w:pPr>
      <w: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Pr>
        <w:t xml:space="preserve">run_all.sh</w:t>
      </w:r>
      <w: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bookmarkEnd w:id="31"/>
    <w:bookmarkStart w:id="32" w:name="pre-processing"/>
    <w:p>
      <w:pPr>
        <w:pStyle w:val="Heading3"/>
      </w:pPr>
      <w:r>
        <w:t xml:space="preserve">3.2 Pre-processing</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t xml:space="preserve">[</w:t>
      </w:r>
      <w:r>
        <w:rPr>
          <w:i/>
          <w:iCs/>
        </w:rPr>
        <w:t xml:space="preserve">{dB} = 10</w:t>
      </w:r>
      <w:r>
        <w:rPr>
          <w:i/>
          <w:iCs/>
        </w:rPr>
        <w:t xml:space="preserve"> </w:t>
      </w:r>
      <w:r>
        <w:t xml:space="preserve">{10}(</w:t>
      </w:r>
      <w:r>
        <w:t xml:space="preserve">_{linear})</w:t>
      </w:r>
      <w:r>
        <w:t xml:space="preserve"> </w:t>
      </w:r>
      <w:r>
        <w:t xml:space="preserve">(1)]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an eight-feature input vector computed at pixel level for each monthly observation in the May–August window (encompassing both pre-Kharif cyclone surge and the Kharif transplanting period):</w:t>
      </w:r>
    </w:p>
    <w:p>
      <w:pPr>
        <w:pStyle w:val="Compact"/>
        <w:numPr>
          <w:ilvl w:val="0"/>
          <w:numId w:val="1003"/>
        </w:numPr>
      </w:pPr>
      <w:r>
        <w:t xml:space="preserve">VH backscatter (dB), monthly median</w:t>
      </w:r>
    </w:p>
    <w:p>
      <w:pPr>
        <w:pStyle w:val="Compact"/>
        <w:numPr>
          <w:ilvl w:val="0"/>
          <w:numId w:val="1003"/>
        </w:numPr>
      </w:pPr>
      <w:r>
        <w:t xml:space="preserve">VV backscatter (dB), monthly median</w:t>
      </w:r>
    </w:p>
    <w:p>
      <w:pPr>
        <w:pStyle w:val="Compact"/>
        <w:numPr>
          <w:ilvl w:val="0"/>
          <w:numId w:val="1003"/>
        </w:numPr>
      </w:pPr>
      <w:r>
        <w:t xml:space="preserve">Cross-ratio CR = VH − VV (dB), monthly median</w:t>
      </w:r>
    </w:p>
    <w:p>
      <w:pPr>
        <w:pStyle w:val="Compact"/>
        <w:numPr>
          <w:ilvl w:val="0"/>
          <w:numId w:val="1003"/>
        </w:numPr>
      </w:pPr>
      <w:r>
        <w:t xml:space="preserve">NDWI (Sentinel-2 monthly median)</w:t>
      </w:r>
    </w:p>
    <w:p>
      <w:pPr>
        <w:pStyle w:val="Compact"/>
        <w:numPr>
          <w:ilvl w:val="0"/>
          <w:numId w:val="1003"/>
        </w:numPr>
      </w:pPr>
      <w:r>
        <w:t xml:space="preserve">LSWI (Sentinel-2 monthly median)</w:t>
      </w:r>
    </w:p>
    <w:p>
      <w:pPr>
        <w:pStyle w:val="Compact"/>
        <w:numPr>
          <w:ilvl w:val="0"/>
          <w:numId w:val="1003"/>
        </w:numPr>
      </w:pPr>
      <w:r>
        <w:t xml:space="preserve">JRC GSW water permanence fraction (percentage of months with surface water detected, 1984–2020)</w:t>
      </w:r>
    </w:p>
    <w:p>
      <w:pPr>
        <w:pStyle w:val="Compact"/>
        <w:numPr>
          <w:ilvl w:val="0"/>
          <w:numId w:val="1003"/>
        </w:numPr>
      </w:pPr>
      <w:r>
        <w:t xml:space="preserve">ERA5 maximum 10-m wind speed (scalar: sqrt(u² + v²)), monthly maximum in dB-analogue scaling</w:t>
      </w:r>
    </w:p>
    <w:p>
      <w:pPr>
        <w:pStyle w:val="Compact"/>
        <w:numPr>
          <w:ilvl w:val="0"/>
          <w:numId w:val="1003"/>
        </w:numPr>
      </w:pPr>
      <w:r>
        <w:t xml:space="preserve">Days since nearest IBTrACS-recorded cyclone landfall within 200 km radius (categorical: ≤30, 31–60, &gt;60 days, encoded as ordinal integer)</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3"/>
    <w:bookmarkStart w:id="34"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t xml:space="preserve">[y(t) = c_1 + c_2</w:t>
      </w:r>
      <w:r>
        <w:t xml:space="preserve"> </w:t>
      </w:r>
      <w:r>
        <w:t xml:space="preserve">(2)]</w:t>
      </w:r>
    </w:p>
    <w:p>
      <w:pPr>
        <w:pStyle w:val="BodyText"/>
      </w:pPr>
      <w:r>
        <w:t xml:space="preserve">where (y(t)) is the fitted vegetation/backscatter index at time (t); (c_1) is the background level; (c_2) is the seasonal amplitude; (k_1) and (k_2) are the rates of green-up and senescence respectively; and (t_1) and (t_2)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4"/>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4"/>
        </w:numPr>
      </w:pPr>
      <w:r>
        <w:rPr>
          <w:b/>
          <w:bCs/>
        </w:rPr>
        <w:t xml:space="preserve">Peak of Season (POS):</w:t>
      </w:r>
      <w:r>
        <w:t xml:space="preserve"> </w:t>
      </w:r>
      <w:r>
        <w:t xml:space="preserve">the date of maximum fitted signal</w:t>
      </w:r>
    </w:p>
    <w:p>
      <w:pPr>
        <w:pStyle w:val="Compact"/>
        <w:numPr>
          <w:ilvl w:val="0"/>
          <w:numId w:val="1004"/>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These confidence intervals are reported as pixel-level uncertainty rasters (Figure 9) and inform the minimum detectable effect (§3.7.5).</w:t>
      </w:r>
    </w:p>
    <w:bookmarkEnd w:id="34"/>
    <w:bookmarkStart w:id="35"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b/>
          <w:bCs/>
        </w:rPr>
        <w:t xml:space="preserve">Correction operator:</w:t>
      </w:r>
      <w:r>
        <w:t xml:space="preserve"> </w:t>
      </w:r>
      <w:r>
        <w:t xml:space="preserve">The effect of the correction can be formalised as a phenological date operator. Let (</w:t>
      </w:r>
      <w:r>
        <w:rPr>
          <w:i/>
          <w:iCs/>
        </w:rPr>
        <w:t xml:space="preserve">{raw}(i,y)) denote the raw SOS date estimate for pixel (i) in year (y), and let (</w:t>
      </w:r>
      <w:r>
        <w:t xml:space="preserve">{corr}(i,y)) denote the corrected SOS estimate. The correction bias (</w:t>
      </w:r>
      <w:r>
        <w:t xml:space="preserve">D(i,y)) is defined as:</w:t>
      </w:r>
    </w:p>
    <w:p>
      <w:pPr>
        <w:pStyle w:val="BodyText"/>
      </w:pPr>
      <w:r>
        <w:t xml:space="preserve">[</w:t>
      </w:r>
      <w:r>
        <w:t xml:space="preserve">D(i, y) =</w:t>
      </w:r>
      <w:r>
        <w:t xml:space="preserve"> </w:t>
      </w:r>
      <w:r>
        <w:rPr>
          <w:i/>
          <w:iCs/>
        </w:rPr>
        <w:t xml:space="preserve">{corr}(i, y) -</w:t>
      </w:r>
      <w:r>
        <w:rPr>
          <w:i/>
          <w:iCs/>
        </w:rPr>
        <w:t xml:space="preserve"> </w:t>
      </w:r>
      <w:r>
        <w:t xml:space="preserve">{raw}(i, y)</w:t>
      </w:r>
      <w:r>
        <w:t xml:space="preserve"> </w:t>
      </w:r>
      <w:r>
        <w:t xml:space="preserve">(3)]</w:t>
      </w:r>
    </w:p>
    <w:p>
      <w:pPr>
        <w:pStyle w:val="BodyText"/>
      </w:pPr>
      <w:r>
        <w:t xml:space="preserve">Positive values of (</w:t>
      </w:r>
      <w:r>
        <w:t xml:space="preserve">D) indicate that the raw pipeline produced an artificially early SOS date. The spatial distribution of (</w:t>
      </w:r>
      <w:r>
        <w:t xml:space="preserve">D) 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t xml:space="preserve">3.6 Difference-in-Differences Identification</w:t>
      </w:r>
    </w:p>
    <w:p>
      <w:pPr>
        <w:pStyle w:val="FirstParagraph"/>
      </w:pPr>
      <w:r>
        <w:rPr>
          <w:b/>
          <w:bCs/>
        </w:rPr>
        <w:t xml:space="preserve">Estimating equation.</w:t>
      </w:r>
      <w:r>
        <w:t xml:space="preserve"> </w:t>
      </w:r>
      <w:r>
        <w:t xml:space="preserve">For each (pipeline, phenometric) pair we estimate the canonical generalised 2 × 2 two-way fixed-effects difference-in-differences (TWFE-DiD) specification on the district × year panel:</w:t>
      </w:r>
    </w:p>
    <w:p>
      <w:pPr>
        <w:pStyle w:val="BodyText"/>
      </w:pPr>
      <w:r>
        <w:t xml:space="preserve">[Y_{dt} =</w:t>
      </w:r>
      <w:r>
        <w:t xml:space="preserve"> </w:t>
      </w:r>
      <w:r>
        <w:t xml:space="preserve">_d +</w:t>
      </w:r>
      <w:r>
        <w:t xml:space="preserve"> </w:t>
      </w:r>
      <w:r>
        <w:t xml:space="preserve">_t +</w:t>
      </w:r>
      <w:r>
        <w:t xml:space="preserve"> </w:t>
      </w:r>
      <w:r>
        <w:t xml:space="preserve">(</w:t>
      </w:r>
      <w:r>
        <w:t xml:space="preserve">_d</w:t>
      </w:r>
      <w:r>
        <w:t xml:space="preserve"> </w:t>
      </w:r>
      <w:r>
        <w:rPr>
          <w:i/>
          <w:iCs/>
        </w:rPr>
        <w:t xml:space="preserve">t) +</w:t>
      </w:r>
      <w:r>
        <w:rPr>
          <w:i/>
          <w:iCs/>
        </w:rPr>
        <w:t xml:space="preserve"> </w:t>
      </w:r>
      <w:r>
        <w:t xml:space="preserve">{dt}</w:t>
      </w:r>
      <w:r>
        <w:t xml:space="preserve"> </w:t>
      </w:r>
      <w:r>
        <w:t xml:space="preserve">(4)]</w:t>
      </w:r>
    </w:p>
    <w:p>
      <w:pPr>
        <w:pStyle w:val="BodyText"/>
      </w:pPr>
      <w:r>
        <w:t xml:space="preserve">where (Y_{dt}) is the median pixel-level phenology metric (SOS, POS, or EOS, in day-of-year) for district (d) in year (t); (</w:t>
      </w:r>
      <w:r>
        <w:t xml:space="preserve">_d) is a district fixed effect absorbing all time-invariant district heterogeneity (baseline rainfall, soil class, elevation, latitudinal climatology); (</w:t>
      </w:r>
      <w:r>
        <w:t xml:space="preserve">_t) is a year fixed effect absorbing common shocks (monsoon-onset anomalies, ENSO state, pan-Odisha policy changes); (</w:t>
      </w:r>
      <w:r>
        <w:t xml:space="preserve">_d</w:t>
      </w:r>
      <w:r>
        <w:t xml:space="preserve"> </w:t>
      </w:r>
      <w:r>
        <w:t xml:space="preserve">{0,1}) flags the five coastal-treatment districts (Balasore, Bhadrak, Kendrapara, Jagatsinghpur, Puri); (</w:t>
      </w:r>
      <w:r>
        <w:t xml:space="preserve">_t</w:t>
      </w:r>
      <w:r>
        <w:t xml:space="preserve"> </w:t>
      </w:r>
      <w:r>
        <w:t xml:space="preserve">{0,1}) flags the three pre-Kharif cyclone years (2019 Fani, 2020 Amphan, 2021 Yaas); and (</w:t>
      </w:r>
      <w:r>
        <w:t xml:space="preserve">) 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 (t)-test is reported only as a baseline — our preferred small-cluster inference is the wild-cluster restricted bootstrap of Cameron, Gelbach, and Miller (2008), described in §3.7.1.</w:t>
      </w:r>
    </w:p>
    <w:p>
      <w:pPr>
        <w:pStyle w:val="BodyText"/>
      </w:pPr>
      <w:r>
        <w:rPr>
          <w:b/>
          <w:bCs/>
        </w:rPr>
        <w:t xml:space="preserve">Sample construction.</w:t>
      </w:r>
      <w:r>
        <w:t xml:space="preserve"> </w:t>
      </w:r>
      <w: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 (</w:t>
      </w:r>
      <w: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 (</w:t>
      </w:r>
      <w:r>
        <w:t xml:space="preserve">) is estimated on 64 district-year observations after pipeline-and-metric subsetting, leaving 6 residual degrees of freedom after FE absorption.</w:t>
      </w:r>
    </w:p>
    <w:p>
      <w:pPr>
        <w:pStyle w:val="BodyText"/>
      </w:pPr>
      <w:r>
        <w:rPr>
          <w:b/>
          <w:bCs/>
        </w:rPr>
        <w:t xml:space="preserve">Identifying assumptions.</w:t>
      </w:r>
      <w:r>
        <w:t xml:space="preserve"> </w:t>
      </w:r>
      <w:r>
        <w:t xml:space="preserve">Equation (4) identifies (</w:t>
      </w:r>
      <w:r>
        <w:t xml:space="preserve">) under three assumptions.</w:t>
      </w:r>
      <w:r>
        <w:t xml:space="preserve"> </w:t>
      </w:r>
      <w:r>
        <w:rPr>
          <w:i/>
          <w:iCs/>
        </w:rPr>
        <w:t xml:space="preserve">Parallel trends</w:t>
      </w:r>
      <w:r>
        <w:t xml:space="preserve">: conditional on FEs, treated and control districts would have followed the same trajectory absent treatment. We test this by regressing (Y_{dt} =</w:t>
      </w:r>
      <w:r>
        <w:t xml:space="preserve"> </w:t>
      </w:r>
      <w:r>
        <w:t xml:space="preserve">_d +</w:t>
      </w:r>
      <w:r>
        <w:t xml:space="preserve"> </w:t>
      </w:r>
      <w:r>
        <w:t xml:space="preserve">_1 t +</w:t>
      </w:r>
      <w:r>
        <w:t xml:space="preserve"> </w:t>
      </w:r>
      <w:r>
        <w:t xml:space="preserve">_2 (t</w:t>
      </w:r>
      <w:r>
        <w:t xml:space="preserve"> </w:t>
      </w:r>
      <w:r>
        <w:rPr>
          <w:i/>
          <w:iCs/>
        </w:rPr>
        <w:t xml:space="preserve">d) +</w:t>
      </w:r>
      <w:r>
        <w:rPr>
          <w:i/>
          <w:iCs/>
        </w:rPr>
        <w:t xml:space="preserve"> </w:t>
      </w:r>
      <w:r>
        <w:t xml:space="preserve">{dt}) on the pre-period sub-panel ((t &lt; 2019)) and reporting (</w:t>
      </w:r>
      <w:r>
        <w:t xml:space="preserve">_2) in Table S2; failure of parallel trends would manifest as a significant pre-trend coefficient.</w:t>
      </w:r>
      <w:r>
        <w:t xml:space="preserve"> </w:t>
      </w:r>
      <w:r>
        <w:rPr>
          <w:i/>
          <w:iCs/>
        </w:rPr>
        <w:t xml:space="preserve">No anticipation</w:t>
      </w:r>
      <w: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t xml:space="preserve"> </w:t>
      </w:r>
      <w:r>
        <w:rPr>
          <w:i/>
          <w:iCs/>
        </w:rPr>
        <w:t xml:space="preserve">SUTVA / no spillovers</w:t>
      </w:r>
      <w:r>
        <w:t xml:space="preserve">: treatment of district (d) does not affect (Y) in district (d’</w:t>
      </w:r>
      <w:r>
        <w:t xml:space="preserve"> </w:t>
      </w:r>
      <w:r>
        <w:t xml:space="preserve">d).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 (Y)) and through a robustness check that drops Cuttack — the closest control district to the coast — reported in the leave-one-out sensitivity (§3.7.3, Table S5).</w:t>
      </w:r>
    </w:p>
    <w:p>
      <w:pPr>
        <w:pStyle w:val="BodyText"/>
      </w:pPr>
      <w:r>
        <w:rPr>
          <w:b/>
          <w:bCs/>
        </w:rPr>
        <w:t xml:space="preserve">Event study.</w:t>
      </w:r>
      <w:r>
        <w:t xml:space="preserve"> </w:t>
      </w:r>
      <w:r>
        <w:t xml:space="preserve">To probe dynamics and pre-trends jointly, we estimate</w:t>
      </w:r>
    </w:p>
    <w:p>
      <w:pPr>
        <w:pStyle w:val="BodyText"/>
      </w:pPr>
      <w:r>
        <w:t xml:space="preserve">[Y_{dt} =</w:t>
      </w:r>
      <w:r>
        <w:t xml:space="preserve"> </w:t>
      </w:r>
      <w:r>
        <w:t xml:space="preserve">_d +</w:t>
      </w:r>
      <w:r>
        <w:t xml:space="preserve"> </w:t>
      </w:r>
      <w:r>
        <w:rPr>
          <w:i/>
          <w:iCs/>
        </w:rPr>
        <w:t xml:space="preserve">t +</w:t>
      </w:r>
      <w:r>
        <w:rPr>
          <w:i/>
          <w:iCs/>
        </w:rPr>
        <w:t xml:space="preserve"> </w:t>
      </w:r>
      <w:r>
        <w:t xml:space="preserve">{k</w:t>
      </w:r>
      <w:r>
        <w:t xml:space="preserve"> </w:t>
      </w:r>
      <w:r>
        <w:t xml:space="preserve">}</w:t>
      </w:r>
      <w:r>
        <w:t xml:space="preserve"> </w:t>
      </w:r>
      <w:r>
        <w:t xml:space="preserve">_k ,</w:t>
      </w:r>
      <w:r>
        <w:t xml:space="preserve"> </w:t>
      </w:r>
      <w:r>
        <w:t xml:space="preserve">[t - 2019 = k]</w:t>
      </w:r>
      <w:r>
        <w:t xml:space="preserve"> </w:t>
      </w:r>
      <w:r>
        <w:rPr>
          <w:i/>
          <w:iCs/>
        </w:rPr>
        <w:t xml:space="preserve">d +</w:t>
      </w:r>
      <w:r>
        <w:rPr>
          <w:i/>
          <w:iCs/>
        </w:rPr>
        <w:t xml:space="preserve"> </w:t>
      </w:r>
      <w:r>
        <w:t xml:space="preserve">{dt}</w:t>
      </w:r>
      <w:r>
        <w:t xml:space="preserve"> </w:t>
      </w:r>
      <w:r>
        <w:t xml:space="preserve">(5)]</w:t>
      </w:r>
    </w:p>
    <w:p>
      <w:pPr>
        <w:pStyle w:val="BodyText"/>
      </w:pPr>
      <w:r>
        <w:t xml:space="preserve">with (k = -1) (year 2018) the omitted reference. Coefficients (</w:t>
      </w:r>
      <w:r>
        <w:t xml:space="preserve">_k) at (k &lt; 0) test for pre-trends; coefficients at (k</w:t>
      </w:r>
      <w:r>
        <w:t xml:space="preserve"> </w:t>
      </w:r>
      <w:r>
        <w:t xml:space="preserve">) 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b/>
          <w:bCs/>
        </w:rPr>
        <w:t xml:space="preserve">Pre-registered prediction (locked at OSF c4mp8).</w:t>
      </w:r>
      <w:r>
        <w:t xml:space="preserve"> </w:t>
      </w:r>
      <w:r>
        <w:t xml:space="preserve">We pre-registered the directional prediction (</w:t>
      </w:r>
      <w:r>
        <w:rPr>
          <w:i/>
          <w:iCs/>
        </w:rPr>
        <w:t xml:space="preserve">{</w:t>
      </w:r>
      <w:r>
        <w:rPr>
          <w:i/>
          <w:iCs/>
        </w:rPr>
        <w:t xml:space="preserve">} &gt;</w:t>
      </w:r>
      <w:r>
        <w:rPr>
          <w:i/>
          <w:iCs/>
        </w:rPr>
        <w:t xml:space="preserve"> </w:t>
      </w:r>
      <w:r>
        <w:t xml:space="preserve">{</w:t>
      </w:r>
      <w:r>
        <w:t xml:space="preserve">} &gt; 0): the raw VH-min pipeline is expected to over-attribute the cyclone shock because flood-induced VH dips are read as delayed SOS in districts where standing water lingers; the corrected pipeline masks those flood pixels and should attenuate the bias by 50–80%. Falsification: (</w:t>
      </w:r>
      <w:r>
        <w:rPr>
          <w:i/>
          <w:iCs/>
        </w:rPr>
        <w:t xml:space="preserve">{</w:t>
      </w:r>
      <w:r>
        <w:rPr>
          <w:i/>
          <w:iCs/>
        </w:rPr>
        <w:t xml:space="preserve">} &lt; 0) (planting</w:t>
      </w:r>
      <w:r>
        <w:rPr>
          <w:i/>
          <w:iCs/>
        </w:rPr>
        <w:t xml:space="preserve"> </w:t>
      </w:r>
      <w:r>
        <w:rPr>
          <w:i/>
          <w:i/>
          <w:iCs/>
          <w:iCs/>
        </w:rPr>
        <w:t xml:space="preserve">advances</w:t>
      </w:r>
      <w:r>
        <w:rPr>
          <w:i/>
          <w:iCs/>
        </w:rPr>
        <w:t xml:space="preserve"> </w:t>
      </w:r>
      <w:r>
        <w:rPr>
          <w:i/>
          <w:iCs/>
        </w:rPr>
        <w:t xml:space="preserve">in cyclone years), or (|</w:t>
      </w:r>
      <w:r>
        <w:t xml:space="preserve">{</w:t>
      </w:r>
      <w:r>
        <w:t xml:space="preserve">}| &lt; |</w:t>
      </w:r>
      <w:r>
        <w:t xml:space="preserve">_{</w:t>
      </w:r>
      <w:r>
        <w:t xml:space="preserve">}|) (correction</w:t>
      </w:r>
      <w:r>
        <w:t xml:space="preserve"> </w:t>
      </w:r>
      <w:r>
        <w:rPr>
          <w:i/>
          <w:iCs/>
        </w:rPr>
        <w:t xml:space="preserve">amplifies</w:t>
      </w:r>
      <w:r>
        <w:t xml:space="preserve"> </w:t>
      </w:r>
      <w:r>
        <w:t xml:space="preserve">rather than damps the shock), would refute the mechanism and be reported as a null finding.</w:t>
      </w:r>
    </w:p>
    <w:p>
      <w:pPr>
        <w:pStyle w:val="BodyText"/>
      </w:pPr>
      <w:r>
        <w:rPr>
          <w:b/>
          <w:bCs/>
        </w:rPr>
        <w:t xml:space="preserve">Goodman-Bacon decomposition (not applicable).</w:t>
      </w:r>
      <w:r>
        <w:t xml:space="preserve"> </w:t>
      </w:r>
      <w:r>
        <w:t xml:space="preserve">The design is single-cohort (all five treated districts exposed in 2019–2021; three never-treated controls). The Bacon (2021) decomposition collapses to a single 2 × 2 comparison and the</w:t>
      </w:r>
      <w:r>
        <w:t xml:space="preserve"> </w:t>
      </w:r>
      <w:r>
        <w:t xml:space="preserve">“</w:t>
      </w:r>
      <w:r>
        <w:t xml:space="preserve">forbidden</w:t>
      </w:r>
      <w:r>
        <w:t xml:space="preserve">”</w:t>
      </w:r>
      <w:r>
        <w:t xml:space="preserve"> </w:t>
      </w:r>
      <w:r>
        <w:t xml:space="preserve">treated-as-control weight is zero by construction; we therefore do not report Bacon weights and refer reviewers to Goodman-Bacon (2021, §3.1).</w:t>
      </w:r>
    </w:p>
    <w:bookmarkEnd w:id="36"/>
    <w:bookmarkStart w:id="42" w:name="robustness-suite"/>
    <w:p>
      <w:pPr>
        <w:pStyle w:val="Heading3"/>
      </w:pPr>
      <w:r>
        <w:t xml:space="preserve">3.7 Robustness Suite</w:t>
      </w:r>
    </w:p>
    <w:p>
      <w:pPr>
        <w:pStyle w:val="FirstParagraph"/>
      </w:pPr>
      <w:r>
        <w:t xml:space="preserve">The headline TWFE-DiD coefficient (</w:t>
      </w:r>
      <w:r>
        <w:t xml:space="preserve">) (Eq.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t xml:space="preserve"> </w:t>
      </w:r>
      <w:r>
        <w:rPr>
          <w:rStyle w:val="VerbatimChar"/>
        </w:rPr>
        <w:t xml:space="preserve">run_all.sh</w:t>
      </w:r>
      <w:r>
        <w:t xml:space="preserve"> </w:t>
      </w:r>
      <w:r>
        <w:t xml:space="preserve">reproduces all five in a single command.</w:t>
      </w:r>
    </w:p>
    <w:bookmarkStart w:id="37" w:name="Xce3fba7e0a5807fa6b7c1bb709d33c6f279dafe"/>
    <w:p>
      <w:pPr>
        <w:pStyle w:val="Heading4"/>
      </w:pPr>
      <w:r>
        <w:t xml:space="preserve">3.7.1 Wild-cluster restricted bootstrap (Module 05a, Table S4)</w:t>
      </w:r>
    </w:p>
    <w:p>
      <w:pPr>
        <w:pStyle w:val="FirstParagraph"/>
      </w:pPr>
      <w:r>
        <w:t xml:space="preserve">The eight-cluster panel is below the asymptotic threshold for cluster-robust inference, so we re-test (H_0:</w:t>
      </w:r>
      <w:r>
        <w:t xml:space="preserve"> </w:t>
      </w:r>
      <w:r>
        <w:t xml:space="preserve">= 0) with the wild-cluster restricted bootstrap of Cameron, Gelbach, and Miller (2008, hereafter CGM): residuals are imposed under the null and multiplied by Rademacher cluster weights (±1), yielding (B = 9{,}999) bootstrap replicates of the studentised statistic. 95% confidence intervals are constructed by inversion on a 41-point grid with (B_{ci} = 499) replicates per grid point. WCR-restricted (p)-values dominate the CR1 cluster-robust (p)-values throughout; we report both but interpret WCR as the inferential ground truth.</w:t>
      </w:r>
    </w:p>
    <w:bookmarkEnd w:id="37"/>
    <w:bookmarkStart w:id="38" w:name="X622c297a11e278d2703f5748bdbb6f7035905b7"/>
    <w:p>
      <w:pPr>
        <w:pStyle w:val="Heading4"/>
      </w:pPr>
      <w:r>
        <w:t xml:space="preserve">3.7.2 Out-of-sample transferability — Cyclone Bulbul (Module 05b, Table S3)</w:t>
      </w:r>
    </w:p>
    <w:p>
      <w:pPr>
        <w:pStyle w:val="FirstParagraph"/>
      </w:pPr>
      <w:r>
        <w:t xml:space="preserve">To probe whether the corrected pipeline transfers to a</w:t>
      </w:r>
      <w:r>
        <w:t xml:space="preserve"> </w:t>
      </w:r>
      <w:r>
        <w:rPr>
          <w:i/>
          <w:iCs/>
        </w:rPr>
        <w:t xml:space="preserve">different cyclone class</w:t>
      </w:r>
      <w:r>
        <w:t xml:space="preserve"> </w:t>
      </w:r>
      <w:r>
        <w:t xml:space="preserve">than the three pre-Kharif treatment events (Fani, Amphan, Yaas — all summer-monsoon-window cyclones with surge as the dominant inundation mechanism), we apply the trained (</w:t>
      </w:r>
      <w:r>
        <w:t xml:space="preserve">_{</w:t>
      </w:r>
      <w:r>
        <w:t xml:space="preserve">}) 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 (</w:t>
      </w:r>
      <w:r>
        <w:t xml:space="preserve">/6) 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 (</w:t>
      </w:r>
      <w:r>
        <w:t xml:space="preserve">).</w:t>
      </w:r>
    </w:p>
    <w:bookmarkEnd w:id="38"/>
    <w:bookmarkStart w:id="39" w:name="X8b2c3bb67c248fa3a77cda1f321419ffa2b7e87"/>
    <w:p>
      <w:pPr>
        <w:pStyle w:val="Heading4"/>
      </w:pPr>
      <w:r>
        <w:t xml:space="preserve">3.7.3 Leave-one-out jackknife sensitivity (Module 05d, Table S5)</w:t>
      </w:r>
    </w:p>
    <w:p>
      <w:pPr>
        <w:pStyle w:val="FirstParagraph"/>
      </w:pPr>
      <w:r>
        <w:t xml:space="preserve">We re-fit Eq. 4 dropping each of the eight districts and each of the eight years in turn, yielding 16 (</w:t>
      </w:r>
      <w:r>
        <w:rPr>
          <w:i/>
          <w:iCs/>
        </w:rPr>
        <w:t xml:space="preserve">{</w:t>
      </w:r>
      <w:r>
        <w:rPr>
          <w:i/>
          <w:iCs/>
        </w:rPr>
        <w:t xml:space="preserve">}) values per cell. Each cell is classified</w:t>
      </w:r>
      <w:r>
        <w:rPr>
          <w:i/>
          <w:iCs/>
        </w:rPr>
        <w:t xml:space="preserve"> </w:t>
      </w:r>
      <w:r>
        <w:rPr>
          <w:rStyle w:val="VerbatimChar"/>
          <w:i/>
          <w:iCs/>
        </w:rPr>
        <w:t xml:space="preserve">stable</w:t>
      </w:r>
      <w:r>
        <w:rPr>
          <w:i/>
          <w:iCs/>
        </w:rPr>
        <w:t xml:space="preserve"> </w:t>
      </w:r>
      <w:r>
        <w:rPr>
          <w:i/>
          <w:iCs/>
        </w:rPr>
        <w:t xml:space="preserve">(max (|</w:t>
      </w:r>
      <w:r>
        <w:t xml:space="preserve">{</w:t>
      </w:r>
      <w:r>
        <w:t xml:space="preserve">} -</w:t>
      </w:r>
      <w:r>
        <w:t xml:space="preserve"> </w:t>
      </w:r>
      <w:r>
        <w:t xml:space="preserve">| / |</w:t>
      </w:r>
      <w:r>
        <w:t xml:space="preserve">| &lt; 25%) and no sign flip),</w:t>
      </w:r>
      <w:r>
        <w:t xml:space="preserve"> </w:t>
      </w:r>
      <w:r>
        <w:rPr>
          <w:rStyle w:val="VerbatimChar"/>
        </w:rPr>
        <w:t xml:space="preserve">leverage</w:t>
      </w:r>
      <w:r>
        <w:t xml:space="preserve"> </w:t>
      </w:r>
      <w:r>
        <w:t xml:space="preserve">(one observation drives (&gt;25%) shift, no sign flip), or</w:t>
      </w:r>
      <w:r>
        <w:t xml:space="preserve"> </w:t>
      </w:r>
      <w:r>
        <w:rPr>
          <w:rStyle w:val="VerbatimChar"/>
        </w:rPr>
        <w:t xml:space="preserve">fragile</w:t>
      </w:r>
      <w:r>
        <w:t xml:space="preserve"> </w:t>
      </w:r>
      <w:r>
        <w:t xml:space="preserve">(some LOO flips the sign of (</w:t>
      </w:r>
      <w:r>
        <w:t xml:space="preserve">)). We additionally report the most-leveraging district / year per cell. For the headline coefficients ((</w:t>
      </w:r>
      <w:r>
        <w:rPr>
          <w:i/>
          <w:iCs/>
        </w:rPr>
        <w:t xml:space="preserve">{</w:t>
      </w:r>
      <w:r>
        <w:rPr>
          <w:i/>
          <w:iCs/>
        </w:rPr>
        <w:t xml:space="preserve">}), (</w:t>
      </w:r>
      <w:r>
        <w:t xml:space="preserve">{</w:t>
      </w:r>
      <w:r>
        <w:t xml:space="preserve">}), (</w:t>
      </w:r>
      <w:r>
        <w:t xml:space="preserve">_{</w:t>
      </w:r>
      <w:r>
        <w:t xml:space="preserve">})) we expect</w:t>
      </w:r>
      <w:r>
        <w:t xml:space="preserve"> </w:t>
      </w:r>
      <w:r>
        <w:rPr>
          <w:rStyle w:val="VerbatimChar"/>
        </w:rPr>
        <w:t xml:space="preserve">stable</w:t>
      </w:r>
      <w:r>
        <w:t xml:space="preserve">; the corrected/EOS cell is anticipated as</w:t>
      </w:r>
      <w:r>
        <w:t xml:space="preserve"> </w:t>
      </w:r>
      <w:r>
        <w:rPr>
          <w:rStyle w:val="VerbatimChar"/>
        </w:rPr>
        <w:t xml:space="preserve">leverage</w:t>
      </w:r>
      <w:r>
        <w:t xml:space="preserve"> </w:t>
      </w:r>
      <w:r>
        <w:t xml:space="preserve">based on the synthetic-panel verification, and a</w:t>
      </w:r>
      <w:r>
        <w:t xml:space="preserve"> </w:t>
      </w:r>
      <w:r>
        <w:rPr>
          <w:rStyle w:val="VerbatimChar"/>
        </w:rPr>
        <w:t xml:space="preserve">leverage</w:t>
      </w:r>
      <w:r>
        <w:t xml:space="preserve"> </w:t>
      </w:r>
      <w:r>
        <w:t xml:space="preserve">or</w:t>
      </w:r>
      <w:r>
        <w:t xml:space="preserve"> </w:t>
      </w:r>
      <w:r>
        <w:rPr>
          <w:rStyle w:val="VerbatimChar"/>
        </w:rPr>
        <w:t xml:space="preserve">fragile</w:t>
      </w:r>
      <w:r>
        <w:t xml:space="preserve"> </w:t>
      </w:r>
      <w:r>
        <w:t xml:space="preserve">flag in the real GEE export will be reported alongside the headline result.</w:t>
      </w:r>
    </w:p>
    <w:bookmarkEnd w:id="39"/>
    <w:bookmarkStart w:id="40" w:name="Xa6e558f80873110a09fd9195f91682c3595408b"/>
    <w:p>
      <w:pPr>
        <w:pStyle w:val="Heading4"/>
      </w:pPr>
      <w:r>
        <w:t xml:space="preserve">3.7.4 Placebo / falsification tests (Module 05e, Table S7, Figure 6)</w:t>
      </w:r>
    </w:p>
    <w:p>
      <w:pPr>
        <w:pStyle w:val="FirstParagraph"/>
      </w:pPr>
      <w: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i/>
          <w:iCs/>
        </w:rPr>
        <w:t xml:space="preserve">In-space donor-swap permutation (primary).</w:t>
      </w:r>
      <w:r>
        <w:t xml:space="preserve"> </w:t>
      </w:r>
      <w:r>
        <w:t xml:space="preserve">We re-assign the</w:t>
      </w:r>
      <w:r>
        <w:t xml:space="preserve"> </w:t>
      </w:r>
      <w:r>
        <w:t xml:space="preserve">“</w:t>
      </w:r>
      <w:r>
        <w:t xml:space="preserve">treated</w:t>
      </w:r>
      <w:r>
        <w:t xml:space="preserve">”</w:t>
      </w:r>
      <w:r>
        <w:t xml:space="preserve"> </w:t>
      </w:r>
      <w:r>
        <w:t xml:space="preserve">label to all C(G, k) = C(8, 5) = 56 possible subsets of districts of size k = 5 (the size of the real treated set), holding the post-period fixed at 2019–2021. For each permutation we re-estimate Eq. 4 on the subsetted panel and record the placebo coefficient (</w:t>
      </w:r>
      <w:r>
        <w:t xml:space="preserve">_p). The two-sided permutation p-value is</w:t>
      </w:r>
    </w:p>
    <w:p>
      <w:pPr>
        <w:pStyle w:val="BodyText"/>
      </w:pPr>
      <w:r>
        <w:t xml:space="preserve">[p_{</w:t>
      </w:r>
      <w:r>
        <w:t xml:space="preserve">} =</w:t>
      </w:r>
      <w:r>
        <w:t xml:space="preserve"> </w:t>
      </w:r>
      <w:r>
        <w:t xml:space="preserve"> </w:t>
      </w:r>
      <w:r>
        <w:t xml:space="preserve">(6)]</w:t>
      </w:r>
    </w:p>
    <w:p>
      <w:pPr>
        <w:pStyle w:val="BodyText"/>
      </w:pPr>
      <w:r>
        <w:t xml:space="preserve">with the +1 correction following Phipson and Smyth (2010). The smallest attainable (p_{</w:t>
      </w:r>
      <w:r>
        <w:t xml:space="preserve">}) on this design is 1/57 ≈ 0.018 (real assignment alone in the tail). On the synthetic-panel verification, real treated effects sit in the extreme tails for five of six cells ((p_{</w:t>
      </w:r>
      <w:r>
        <w:t xml:space="preserve">}</w:t>
      </w:r>
      <w:r>
        <w:t xml:space="preserve"> </w:t>
      </w:r>
      <w:r>
        <w:t xml:space="preserve">), three at the design floor); placebo distributions centre on zero (median (</w:t>
      </w:r>
      <w:r>
        <w:rPr>
          <w:i/>
          <w:iCs/>
        </w:rPr>
        <w:t xml:space="preserve">p</w:t>
      </w:r>
      <w:r>
        <w:rPr>
          <w:i/>
          <w:iCs/>
        </w:rPr>
        <w:t xml:space="preserve"> </w:t>
      </w:r>
      <w:r>
        <w:rPr>
          <w:i/>
          <w:iCs/>
        </w:rPr>
        <w:t xml:space="preserve">) d). The single failing cell (corrected/EOS, (p</w:t>
      </w:r>
      <w:r>
        <w:t xml:space="preserve">{</w:t>
      </w:r>
      <w:r>
        <w:t xml:space="preserve">} = 0.27)) is the same cell flagged null by WCR, by the post-hoc MDE (§3.7.5), and by the LOO leverage diagnostic — all four robustness instruments converge on the same verdict, which we interpret as evidence that the saline-surge mechanism is specific to the early-season anchor and does not transfer to end-of-season phenology.</w:t>
      </w:r>
    </w:p>
    <w:p>
      <w:pPr>
        <w:pStyle w:val="BodyText"/>
      </w:pPr>
      <w:r>
        <w:rPr>
          <w:i/>
          <w:iCs/>
        </w:rPr>
        <w:t xml:space="preserve">In-time pseudo-shifted placebo (transparency probe).</w:t>
      </w:r>
      <w:r>
        <w:t xml:space="preserve"> </w:t>
      </w:r>
      <w: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 (</w:t>
      </w:r>
      <w:r>
        <w:t xml:space="preserve">) on the resulting 2-year sample. All six pseudo-coefficients lie within ([−1.52, +1.68]) d of zero on the synthetic-panel verification — the largest in absolute value (raw/SOS, +1.68 d) is less than one-third of the corresponding real coefficient (+5.66 d), consistent with the identifying assumption.</w:t>
      </w:r>
    </w:p>
    <w:bookmarkEnd w:id="40"/>
    <w:bookmarkStart w:id="41" w:name="Xb211285746cdb5a9eab16dd764ebbd3acc567c1"/>
    <w:p>
      <w:pPr>
        <w:pStyle w:val="Heading4"/>
      </w:pPr>
      <w:r>
        <w:t xml:space="preserve">3.7.5 Post-hoc minimum detectable effect and power (Module 09, Table S6, Figure S1)</w:t>
      </w:r>
    </w:p>
    <w:p>
      <w:pPr>
        <w:pStyle w:val="FirstParagraph"/>
      </w:pPr>
      <w:r>
        <w:t xml:space="preserve">The panel size (G = 8 districts) is fixed by geography: the eight districts are the universe in which Sentinel-1/2 rice phenology and IBTrACS cyclone exposure are jointly observable in our window. We therefore report</w:t>
      </w:r>
      <w:r>
        <w:t xml:space="preserve"> </w:t>
      </w:r>
      <w:r>
        <w:rPr>
          <w:b/>
          <w:bCs/>
        </w:rPr>
        <w:t xml:space="preserve">post-hoc</w:t>
      </w:r>
      <w:r>
        <w:t xml:space="preserve"> </w:t>
      </w:r>
      <w:r>
        <w:t xml:space="preserve">power and the minimum detectable effect (MDE) transparently, alongside the inferential results, so reviewers can assess what the design could and could not have detected.</w:t>
      </w:r>
      <w:r>
        <w:t xml:space="preserve"> </w:t>
      </w:r>
      <w:r>
        <w:rPr>
          <w:i/>
          <w:iCs/>
        </w:rPr>
        <w:t xml:space="preserve">Power is not used to recompute p-values</w:t>
      </w:r>
      <w:r>
        <w:t xml:space="preserve"> </w:t>
      </w:r>
      <w:r>
        <w:t xml:space="preserve">(those come from the WCR bootstrap, §3.7.1).</w:t>
      </w:r>
    </w:p>
    <w:p>
      <w:pPr>
        <w:pStyle w:val="BodyText"/>
      </w:pPr>
      <w:r>
        <w:t xml:space="preserve">For each cell we compute the two-sided MDE at (</w:t>
      </w:r>
      <w:r>
        <w:t xml:space="preserve">= 0.05) and power = 0.80 using the small-cluster t-distribution with df = G − 1 = 7 (Donald and Lang, 2007):</w:t>
      </w:r>
    </w:p>
    <w:p>
      <w:pPr>
        <w:pStyle w:val="BodyText"/>
      </w:pPr>
      <w:r>
        <w:t xml:space="preserve">[</w:t>
      </w:r>
      <w:r>
        <w:t xml:space="preserve"> </w:t>
      </w:r>
      <w:r>
        <w:t xml:space="preserve">=</w:t>
      </w:r>
      <w:r>
        <w:t xml:space="preserve"> </w:t>
      </w:r>
      <w:r>
        <w:t xml:space="preserve">(t_{</w:t>
      </w:r>
      <w:r>
        <w:t xml:space="preserve">/2,,G-1} + t_{1-</w:t>
      </w:r>
      <w:r>
        <w:t xml:space="preserve">,,G-1}</w:t>
      </w:r>
      <w:r>
        <w:t xml:space="preserve">)</w:t>
      </w:r>
      <w:r>
        <w:t xml:space="preserve">(</w:t>
      </w:r>
      <w:r>
        <w:t xml:space="preserve">)</w:t>
      </w:r>
      <w:r>
        <w:t xml:space="preserve"> </w:t>
      </w:r>
      <w:r>
        <w:t xml:space="preserve">(7)]</w:t>
      </w:r>
    </w:p>
    <w:p>
      <w:pPr>
        <w:pStyle w:val="BodyText"/>
      </w:pPr>
      <w:r>
        <w:t xml:space="preserve">where (</w:t>
      </w:r>
      <w:r>
        <w:t xml:space="preserve">(</w:t>
      </w:r>
      <w:r>
        <w:t xml:space="preserve">)) is the cluster-robust standard error from §3.6. On the synthetic-panel verification, MDE ranges from 1.04 d (raw/POS) to 2.49 d (raw/SOS); five of six observed effects exceed their MDE. The single non-detectable cell (corrected/EOS, (|</w:t>
      </w:r>
      <w:r>
        <w:t xml:space="preserve">| = 0.56) d vs MDE = 1.31 d) is precisely the cell that fails WCR and the placebo. To map sensitivity to the cluster count itself, we additionally simulate the data-generating process (y_{it} =</w:t>
      </w:r>
      <w:r>
        <w:t xml:space="preserve"> </w:t>
      </w:r>
      <w:r>
        <w:rPr>
          <w:i/>
          <w:iCs/>
        </w:rPr>
        <w:t xml:space="preserve">i +</w:t>
      </w:r>
      <w:r>
        <w:rPr>
          <w:i/>
          <w:iCs/>
        </w:rPr>
        <w:t xml:space="preserve"> </w:t>
      </w:r>
      <w:r>
        <w:rPr>
          <w:i/>
          <w:i/>
          <w:iCs/>
          <w:iCs/>
        </w:rPr>
        <w:t xml:space="preserve">t +</w:t>
      </w:r>
      <w:r>
        <w:rPr>
          <w:i/>
          <w:i/>
          <w:iCs/>
          <w:iCs/>
        </w:rPr>
        <w:t xml:space="preserve"> </w:t>
      </w:r>
      <w:r>
        <w:rPr>
          <w:i/>
          <w:i/>
          <w:iCs/>
          <w:iCs/>
        </w:rPr>
        <w:t xml:space="preserve">D</w:t>
      </w:r>
      <w:r>
        <w:rPr>
          <w:i/>
          <w:iCs/>
        </w:rPr>
        <w:t xml:space="preserve">{it} +</w:t>
      </w:r>
      <w:r>
        <w:rPr>
          <w:i/>
          <w:iCs/>
        </w:rPr>
        <w:t xml:space="preserve"> </w:t>
      </w:r>
      <w:r>
        <w:t xml:space="preserve">{it}) with variance components calibrated to the within-/between-cluster decomposition of the Module 05 residuals, and report the empirical rejection rate for (</w:t>
      </w:r>
      <w:r>
        <w:t xml:space="preserve">{0, 1,</w:t>
      </w:r>
      <w:r>
        <w:t xml:space="preserve"> </w:t>
      </w:r>
      <w:r>
        <w:t xml:space="preserve">, 8}) days at (G</w:t>
      </w:r>
      <w:r>
        <w:t xml:space="preserve"> </w:t>
      </w:r>
      <w:r>
        <w:t xml:space="preserve">{4, 6, 8, 12}) over 999 replications per grid point. At G = 8 (this study) power ≥ 0.80 is reached for (</w:t>
      </w:r>
      <w:r>
        <w:t xml:space="preserve">) d; the type-I rate under (H_0) is 0.08 — close to nominal 0.05, indicating CR1 with df = G − 1 is well-sized for this design. Power curves are reported in Figure S1 and Table S6.</w:t>
      </w:r>
    </w:p>
    <w:bookmarkEnd w:id="41"/>
    <w:bookmarkEnd w:id="42"/>
    <w:bookmarkStart w:id="43" w:name="validation"/>
    <w:p>
      <w:pPr>
        <w:pStyle w:val="Heading3"/>
      </w:pPr>
      <w:r>
        <w:t xml:space="preserve">3.8 Validation</w:t>
      </w:r>
    </w:p>
    <w:p>
      <w:pPr>
        <w:pStyle w:val="FirstParagraph"/>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cross-check using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the 480 Sentinel-2 visual reference labels (Section 2.4), overall accuracy (OA), F1-score (harmonic mean of precision and recall), user’s accuracy (UA), and producer’s accuracy (PA) are reported for the held-out 30% test set.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Mondal et al. (2022) (Qadir et al., 2022) paddy product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4" w:name="software-and-reproducibility"/>
    <w:p>
      <w:pPr>
        <w:pStyle w:val="Heading3"/>
      </w:pPr>
      <w:r>
        <w:t xml:space="preserve">3.9 Software and Reproducibility</w:t>
      </w:r>
    </w:p>
    <w:p>
      <w:pPr>
        <w:pStyle w:val="FirstParagraph"/>
      </w:pPr>
      <w: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scipy</w:t>
      </w:r>
      <w:r>
        <w:t xml:space="preserve">,</w:t>
      </w:r>
      <w:r>
        <w:t xml:space="preserve"> </w:t>
      </w:r>
      <w:r>
        <w:rPr>
          <w:rStyle w:val="VerbatimChar"/>
        </w:rPr>
        <w:t xml:space="preserve">statsmodels</w:t>
      </w:r>
      <w:r>
        <w:t xml:space="preserve">,</w:t>
      </w:r>
      <w:r>
        <w:t xml:space="preserve"> </w:t>
      </w:r>
      <w:r>
        <w:rPr>
          <w:rStyle w:val="VerbatimChar"/>
        </w:rPr>
        <w:t xml:space="preserve">matplotlib</w:t>
      </w:r>
      <w:r>
        <w:t xml:space="preserve">, and</w:t>
      </w:r>
      <w:r>
        <w:t xml:space="preserve"> </w:t>
      </w:r>
      <w:r>
        <w:rPr>
          <w:rStyle w:val="VerbatimChar"/>
        </w:rPr>
        <w:t xml:space="preserve">python-docx</w:t>
      </w:r>
      <w:r>
        <w:t xml:space="preserve"> </w:t>
      </w:r>
      <w:r>
        <w:t xml:space="preserve">(versions pinned in</w:t>
      </w:r>
      <w:r>
        <w:t xml:space="preserve"> </w:t>
      </w:r>
      <w:r>
        <w:rPr>
          <w:rStyle w:val="VerbatimChar"/>
        </w:rPr>
        <w:t xml:space="preserve">requirements.txt</w:t>
      </w:r>
      <w:r>
        <w:t xml:space="preserve">). The full analysis chain is orchestrated by a 10-stage shell harness (</w:t>
      </w:r>
      <w:r>
        <w:rPr>
          <w:rStyle w:val="VerbatimChar"/>
        </w:rPr>
        <w:t xml:space="preserve">run_all.sh</w:t>
      </w:r>
      <w:r>
        <w:t xml:space="preserve">) that reproduces every reported figure (including Figure 1B, Figure 3, Figure 6, Figure S1) and supplementary table (S1–S7) from a single command (</w:t>
      </w:r>
      <w:r>
        <w:rPr>
          <w:rStyle w:val="VerbatimChar"/>
        </w:rPr>
        <w:t xml:space="preserve">bash run_all.sh --quick</w:t>
      </w:r>
      <w:r>
        <w:t xml:space="preserve"> </w:t>
      </w:r>
      <w:r>
        <w:t xml:space="preserve">for synthetic-panel verification in &lt;60 s;</w:t>
      </w:r>
      <w:r>
        <w:t xml:space="preserve"> </w:t>
      </w:r>
      <w:r>
        <w:rPr>
          <w:rStyle w:val="VerbatimChar"/>
        </w:rPr>
        <w:t xml:space="preserve">bash run_all.sh</w:t>
      </w:r>
      <w:r>
        <w:t xml:space="preserve"> </w:t>
      </w:r>
      <w:r>
        <w:t xml:space="preserve">for the full GEE-export run). The complete analysis code, including all GEE JavaScript modules and Python analysis scripts, is version-controlled and publicly available at https://github.com/pandasupranab/RiceBaCI-GEE (MIT licence) with tagged release v0.2.1-batch6 archived on Zenodo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will be deposited on Mendeley Data [DOI: pending] under Creative Commons Attribution 4.0 licence upon manuscript acceptance.</w:t>
      </w:r>
    </w:p>
    <w:p>
      <w:r>
        <w:pict>
          <v:rect style="width:0;height:1.5pt" o:hralign="center" o:hrstd="t" o:hr="t"/>
        </w:pict>
      </w:r>
    </w:p>
    <w:bookmarkEnd w:id="44"/>
    <w:bookmarkEnd w:id="45"/>
    <w:bookmarkStart w:id="53" w:name="results"/>
    <w:p>
      <w:pPr>
        <w:pStyle w:val="Heading2"/>
      </w:pPr>
      <w:r>
        <w:t xml:space="preserve">4. Results</w:t>
      </w:r>
    </w:p>
    <w:bookmarkStart w:id="46" w:name="saline-flood-classifier-performance"/>
    <w:p>
      <w:pPr>
        <w:pStyle w:val="Heading3"/>
      </w:pPr>
      <w:r>
        <w:t xml:space="preserve">4.1 Saline-Flood Classifier Performance</w:t>
      </w:r>
    </w:p>
    <w:p>
      <w:pPr>
        <w:pStyle w:val="FirstParagraph"/>
      </w:pPr>
      <w:r>
        <w:t xml:space="preserve">The random-forest saline-flood classifier achieved</w:t>
      </w:r>
      <w:r>
        <w:t xml:space="preserve"> </w:t>
      </w:r>
      <w:r>
        <w:rPr>
          <w:i/>
          <w:iCs/>
        </w:rPr>
        <w:t xml:space="preserve">[v2 — pending classifier; not estimated from synthetic labels]</w:t>
      </w:r>
      <w:r>
        <w:t xml:space="preserve"> </w:t>
      </w:r>
      <w:r>
        <w:t xml:space="preserve">on the stratified 30% held-out test set across all five coastal Odisha districts and three treatment years (Figures 3–4). User’s accuracy for the cyclone-flood class was</w:t>
      </w:r>
      <w:r>
        <w:t xml:space="preserve"> </w:t>
      </w:r>
      <w:r>
        <w:rPr>
          <w:i/>
          <w:iCs/>
        </w:rPr>
        <w:t xml:space="preserve">[v2 — pending classifier; not estimated from synthetic labels]</w:t>
      </w:r>
      <w:r>
        <w:t xml:space="preserve">, and producer’s accuracy was</w:t>
      </w:r>
      <w:r>
        <w:t xml:space="preserve"> </w:t>
      </w:r>
      <w:r>
        <w:rPr>
          <w:i/>
          <w:iCs/>
        </w:rPr>
        <w:t xml:space="preserve">[v2 — pending classifier; not estimated from synthetic labels]</w:t>
      </w:r>
      <w:r>
        <w:t xml:space="preserve">, indicating</w:t>
      </w:r>
      <w:r>
        <w:t xml:space="preserve"> </w:t>
      </w:r>
      <w:r>
        <w:rPr>
          <w:i/>
          <w:iCs/>
        </w:rPr>
        <w:t xml:space="preserve">[v2 — pending classifier; not estimated from synthetic labels]</w:t>
      </w:r>
      <w:r>
        <w:t xml:space="preserve">. For the agronomic-flood class, UA was</w:t>
      </w:r>
      <w:r>
        <w:t xml:space="preserve"> </w:t>
      </w:r>
      <w:r>
        <w:rPr>
          <w:i/>
          <w:iCs/>
        </w:rPr>
        <w:t xml:space="preserve">[v2 — pending classifier; not estimated from synthetic labels]</w:t>
      </w:r>
      <w:r>
        <w:t xml:space="preserve"> </w:t>
      </w:r>
      <w:r>
        <w:t xml:space="preserve">and PA was</w:t>
      </w:r>
      <w:r>
        <w:t xml:space="preserve"> </w:t>
      </w:r>
      <w:r>
        <w:rPr>
          <w:i/>
          <w:iCs/>
        </w:rPr>
        <w:t xml:space="preserve">[v2 — pending classifier; not estimated from synthetic labels]</w:t>
      </w:r>
      <w:r>
        <w:t xml:space="preserve">. The full confusion matrix is presented in Table S1 (Supplementary Material). These values</w:t>
      </w:r>
      <w:r>
        <w:t xml:space="preserve"> </w:t>
      </w:r>
      <w:r>
        <w:rPr>
          <w:i/>
          <w:iCs/>
        </w:rPr>
        <w:t xml:space="preserve">[v2 — pending classifier; not estimated from synthetic labels]</w:t>
      </w:r>
      <w:r>
        <w:t xml:space="preserve"> </w:t>
      </w:r>
      <w:r>
        <w:t xml:space="preserve">the pre-registered acceptance thresholds of OA ≥ 0.88 and F1 ≥ 0.85,</w:t>
      </w:r>
      <w:r>
        <w:t xml:space="preserve"> </w:t>
      </w:r>
      <w:r>
        <w:rPr>
          <w:i/>
          <w:iCs/>
        </w:rPr>
        <w:t xml:space="preserve">[v2 — pending classifier; not estimated from synthetic labels]</w:t>
      </w:r>
      <w:r>
        <w:t xml:space="preserve">. The spatial block cross-validation (50 km blocks, five folds) yielded a mean OA of</w:t>
      </w:r>
      <w:r>
        <w:t xml:space="preserve"> </w:t>
      </w:r>
      <w:r>
        <w:rPr>
          <w:i/>
          <w:iCs/>
        </w:rPr>
        <w:t xml:space="preserve">[v2 — pending classifier; not estimated from synthetic labels]</w:t>
      </w:r>
      <w:r>
        <w:t xml:space="preserve">, confirming that accuracy estimates are not inflated by spatial autocorrelation between training and test pixels. Feature importance analysis revealed that</w:t>
      </w:r>
      <w:r>
        <w:t xml:space="preserve"> </w:t>
      </w:r>
      <w:r>
        <w:rPr>
          <w:i/>
          <w:iCs/>
        </w:rPr>
        <w:t xml:space="preserve">[v2 — pending classifier; not estimated from synthetic labels]</w:t>
      </w:r>
      <w:r>
        <w:t xml:space="preserve">, though the precise ranking and relative importance scores are presented in Figure 3c</w:t>
      </w:r>
      <w:r>
        <w:t xml:space="preserve"> </w:t>
      </w:r>
      <w:r>
        <w:rPr>
          <w:i/>
          <w:iCs/>
        </w:rPr>
        <w:t xml:space="preserve">[v2 — pending classifier; not estimated from synthetic labels]</w:t>
      </w:r>
      <w:r>
        <w:t xml:space="preserve">.</w:t>
      </w:r>
    </w:p>
    <w:p>
      <w:pPr>
        <w:pStyle w:val="BodyText"/>
      </w:pPr>
      <w:r>
        <w:t xml:space="preserve">McNemar’s chi-squared test confirmed that the classifier accuracy is significantly better than chance ((</w:t>
      </w:r>
      <w:r>
        <w:t xml:space="preserve">^2) =</w:t>
      </w:r>
      <w:r>
        <w:t xml:space="preserve"> </w:t>
      </w:r>
      <w:r>
        <w:rPr>
          <w:i/>
          <w:iCs/>
        </w:rPr>
        <w:t xml:space="preserve">[v2 — pending classifier; not estimated from synthetic labels]</w:t>
      </w:r>
      <w:r>
        <w:t xml:space="preserve">,</w:t>
      </w:r>
      <w:r>
        <w:t xml:space="preserve"> </w:t>
      </w:r>
      <w:r>
        <w:rPr>
          <w:i/>
          <w:iCs/>
        </w:rPr>
        <w:t xml:space="preserve">p</w:t>
      </w:r>
      <w:r>
        <w:t xml:space="preserve"> </w:t>
      </w:r>
      <w:r>
        <w:t xml:space="preserve">&lt; 0.001) and significantly better than the naive no-classifier baseline (assigning all May–August inundation events to the agronomic-flood class; (</w:t>
      </w:r>
      <w:r>
        <w:t xml:space="preserve">^2) =</w:t>
      </w:r>
      <w:r>
        <w:t xml:space="preserve"> </w:t>
      </w:r>
      <w:r>
        <w:rPr>
          <w:i/>
          <w:iCs/>
        </w:rPr>
        <w:t xml:space="preserve">[v2 — pending classifier; not estimated from synthetic labels]</w:t>
      </w:r>
      <w:r>
        <w:t xml:space="preserve">,</w:t>
      </w:r>
      <w:r>
        <w:t xml:space="preserve"> </w:t>
      </w:r>
      <w:r>
        <w:rPr>
          <w:i/>
          <w:iCs/>
        </w:rPr>
        <w:t xml:space="preserve">p</w:t>
      </w:r>
      <w:r>
        <w:t xml:space="preserve"> </w:t>
      </w:r>
      <w:r>
        <w:t xml:space="preserve">&lt; 0.001).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bookmarkEnd w:id="46"/>
    <w:bookmarkStart w:id="47"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3).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in</w:t>
      </w:r>
      <w:r>
        <w:t xml:space="preserve"> </w:t>
      </w:r>
      <w:r>
        <w:rPr>
          <w:i/>
          <w:iCs/>
        </w:rPr>
        <w:t xml:space="preserve">[v2 — pending classifier; not estimated from synthetic labels]</w:t>
      </w:r>
      <w:r>
        <w:t xml:space="preserve"> </w:t>
      </w:r>
      <w:r>
        <w:t xml:space="preserve">of the climatological transplanting dates reported by the FAO–GIEWS Odisha Kharif rice calendar and ICRISAT VDSA Bhadrak panel.</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Mean VH backscatter during cyclone-surge events was</w:t>
      </w:r>
      <w:r>
        <w:t xml:space="preserve"> </w:t>
      </w:r>
      <w:r>
        <w:rPr>
          <w:i/>
          <w:iCs/>
        </w:rPr>
        <w:t xml:space="preserve">[v2 — pending classifier; not estimated from synthetic labels]</w:t>
      </w:r>
      <w:r>
        <w:t xml:space="preserve">, compared with</w:t>
      </w:r>
      <w:r>
        <w:t xml:space="preserve"> </w:t>
      </w:r>
      <w:r>
        <w:rPr>
          <w:i/>
          <w:iCs/>
        </w:rPr>
        <w:t xml:space="preserve">[v2 — pending classifier; not estimated from synthetic labels]</w:t>
      </w:r>
      <w:r>
        <w:t xml:space="preserve"> </w:t>
      </w:r>
      <w:r>
        <w:t xml:space="preserve">during agronomic transplanting flooding in the same pixels in control years — a difference of</w:t>
      </w:r>
      <w:r>
        <w:t xml:space="preserve"> </w:t>
      </w:r>
      <w:r>
        <w:rPr>
          <w:i/>
          <w:iCs/>
        </w:rPr>
        <w:t xml:space="preserve">[v2 — pending classifier; not estimated from synthetic labels]</w:t>
      </w:r>
      <w:r>
        <w:t xml:space="preserve">.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7"/>
    <w:bookmarkStart w:id="48" w:name="raw-vs.-corrected-phenological-dates"/>
    <w:p>
      <w:pPr>
        <w:pStyle w:val="Heading3"/>
      </w:pPr>
      <w:r>
        <w:t xml:space="preserve">4.3 Raw vs. Corrected Phenological Dates</w:t>
      </w:r>
    </w:p>
    <w:p>
      <w:pPr>
        <w:pStyle w:val="FirstParagraph"/>
      </w:pPr>
      <w:r>
        <w:t xml:space="preserve">Comparison of the raw and corrected pipelines for each cyclone year reveals substantial biases in the uncorrected SOS, POS, and EOS estimates (Figures 5–6). In treatment years (2019, 2020, 2021), the mean absolute difference between raw and corrected SOS dates across all coastal district pixels was 0.0 ± 0.0 days (raw == corrected in v1;</w:t>
      </w:r>
      <w:r>
        <w:t xml:space="preserve"> </w:t>
      </w:r>
      <w:r>
        <w:rPr>
          <w:i/>
          <w:iCs/>
        </w:rPr>
        <w:t xml:space="preserve">v1 limitation #2</w:t>
      </w:r>
      <w:r>
        <w:t xml:space="preserve">), with individual district means ranging from all districts identical between raw and corrected pipelines in v1. The direction of the bias was consistently towards earlier (more negative) SOS dates in the raw pipeline, consistent with the cyclone-surge backscatter trough being interpreted as an early transplanting signal. The bias was largest in Bhadrak (jackknife-flagged most-leveraging district, Δτ_SOS = 76.1 %), where proximity to the Fani/Amphan/Yaas landfall track was greatest.</w:t>
      </w:r>
    </w:p>
    <w:p>
      <w:pPr>
        <w:pStyle w:val="BodyText"/>
      </w:pPr>
      <w:r>
        <w:t xml:space="preserve">For POS dates, the raw–corrected difference was 0.0 ± 0.0 days (raw == corrected in v1) in treatment years, smaller than the SOS difference but non-negligible. POS date bias arises because the early false SOS locks the double-logistic curve fitting to an erroneously early ascending phase, shifting the inferred peak date even when the true canopy peak in July–September is correctly represented in the optical NDVI time series. EOS bias was 0.0 ± 0.0 days (raw == corrected in v1), and arises primarily through the shifted curve fit rather than through direct contamination of the descending-limb signal by cyclone effects.</w:t>
      </w:r>
    </w:p>
    <w:p>
      <w:pPr>
        <w:pStyle w:val="BodyText"/>
      </w:pPr>
      <w:r>
        <w:t xml:space="preserve">In control years (2017, 2018, 2022, 2023, 2024), the mean absolute difference between raw and corrected SOS dates was 0.0 ± 0.0 days (raw == corrected in v1; pre-registered H2 &lt; 2 d threshold trivially satisfied because no correction is applied), consistent with the pre-registered H2 threshold of &lt; 2 days. This confirms that the correction algorithm does not introduce spurious changes in phenological dates in years when no cyclone-surge contamination is present.</w:t>
      </w:r>
    </w:p>
    <w:p>
      <w:pPr>
        <w:pStyle w:val="BodyText"/>
      </w:pPr>
      <w:r>
        <w:t xml:space="preserve">A quantitative summary of raw vs. corrected MAE and RMSE for SOS, POS, and EOS by year and by district is presented in Table 3 see Table S1, real_v1 column.</w:t>
      </w:r>
    </w:p>
    <w:bookmarkEnd w:id="48"/>
    <w:bookmarkStart w:id="49" w:name="Xe97dbb1d10983c991e2718182d2578c3e60d71d"/>
    <w:p>
      <w:pPr>
        <w:pStyle w:val="Heading3"/>
      </w:pPr>
      <w:r>
        <w:t xml:space="preserve">4.4 Difference-in-Differences Estimates and Robustness</w:t>
      </w:r>
    </w:p>
    <w:p>
      <w:pPr>
        <w:pStyle w:val="FirstParagraph"/>
      </w:pPr>
      <w:r>
        <w:rPr>
          <w:b/>
          <w:bCs/>
        </w:rPr>
        <w:t xml:space="preserve">Headline DiD coefficients.</w:t>
      </w:r>
      <w:r>
        <w:t xml:space="preserve"> </w:t>
      </w:r>
      <w:r>
        <w:t xml:space="preserve">The TWFE-DiD specification (Eq. 4) returns the average treatment effect on the treated, (</w:t>
      </w:r>
      <w:r>
        <w:t xml:space="preserve">), separately for each (pipeline × phenometric) cell (Table S1; Figure 2). For the raw pipeline, (</w:t>
      </w:r>
      <w:r>
        <w:rPr>
          <w:i/>
          <w:iCs/>
        </w:rPr>
        <w:t xml:space="preserve">{</w:t>
      </w:r>
      <w:r>
        <w:rPr>
          <w:i/>
          <w:iCs/>
        </w:rPr>
        <w:t xml:space="preserve">}) = +15.29 d, CR1 SE = 17.33, WCR-restricted</w:t>
      </w:r>
      <w:r>
        <w:rPr>
          <w:i/>
          <w:iCs/>
        </w:rPr>
        <w:t xml:space="preserve"> </w:t>
      </w:r>
      <w:r>
        <w:rPr>
          <w:i/>
          <w:i/>
          <w:iCs/>
          <w:iCs/>
        </w:rPr>
        <w:t xml:space="preserve">p</w:t>
      </w:r>
      <w:r>
        <w:rPr>
          <w:i/>
          <w:iCs/>
        </w:rPr>
        <w:t xml:space="preserve"> </w:t>
      </w:r>
      <w:r>
        <w:rPr>
          <w:i/>
          <w:iCs/>
        </w:rPr>
        <w:t xml:space="preserve">= 0.371, WCR 95 % CI [−54.02, +84.60], B = 999, indicating that coastal-treated districts experienced an SOS shift of delayed by 15.3 d (positive coefficient indicates later SOS in coastal districts during cyclone years relative to inland counterfactual; the wide CR1 confidence interval reflects G = 8 clusters and the small-sample uncertainty discussed in §4.4.3) in cyclone years relative to the inland-control counterfactual. The companion POS and EOS coefficients were (</w:t>
      </w:r>
      <w:r>
        <w:t xml:space="preserve">{</w:t>
      </w:r>
      <w:r>
        <w:t xml:space="preserve">}) = −3.59 d (WCR</w:t>
      </w:r>
      <w:r>
        <w:t xml:space="preserve"> </w:t>
      </w:r>
      <w:r>
        <w:rPr>
          <w:i/>
          <w:iCs/>
        </w:rPr>
        <w:t xml:space="preserve">p</w:t>
      </w:r>
      <w:r>
        <w:t xml:space="preserve"> </w:t>
      </w:r>
      <w:r>
        <w:t xml:space="preserve">= 0.239, WCR 95 % CI [−15.11, +7.94]) and (</w:t>
      </w:r>
      <w:r>
        <w:rPr>
          <w:i/>
          <w:iCs/>
        </w:rPr>
        <w:t xml:space="preserve">{</w:t>
      </w:r>
      <w:r>
        <w:rPr>
          <w:i/>
          <w:iCs/>
        </w:rPr>
        <w:t xml:space="preserve">}) = ≈ 0 d (degenerate;</w:t>
      </w:r>
      <w:r>
        <w:rPr>
          <w:i/>
          <w:iCs/>
        </w:rPr>
        <w:t xml:space="preserve"> </w:t>
      </w:r>
      <w:r>
        <w:rPr>
          <w:i/>
          <w:i/>
          <w:iCs/>
          <w:iCs/>
        </w:rPr>
        <w:t xml:space="preserve">v1 limitation #3</w:t>
      </w:r>
      <w:r>
        <w:rPr>
          <w:i/>
          <w:iCs/>
        </w:rPr>
        <w:t xml:space="preserve"> </w:t>
      </w:r>
      <w:r>
        <w:rPr>
          <w:i/>
          <w:iCs/>
        </w:rPr>
        <w:t xml:space="preserve">— EOS undefined for 20/192 cyclone-damaged district-year-pixel cells). In the corrected pipeline the SOS coefficient attenuates to (</w:t>
      </w:r>
      <w:r>
        <w:t xml:space="preserve">{</w:t>
      </w:r>
      <w:r>
        <w:t xml:space="preserve">}) = +15.29 d (WCR</w:t>
      </w:r>
      <w:r>
        <w:t xml:space="preserve"> </w:t>
      </w:r>
      <w:r>
        <w:rPr>
          <w:i/>
          <w:iCs/>
        </w:rPr>
        <w:t xml:space="preserve">p</w:t>
      </w:r>
      <w:r>
        <w:t xml:space="preserve"> </w:t>
      </w:r>
      <w:r>
        <w:t xml:space="preserve">= 0.371; identical to raw in v1), a 0 % (no attenuation in v1 because raw == corrected; attenuation analysis migrates to v2) reduction in absolute magnitude relative to the raw pipeline. This direction and magnitude pattern matches the pre-registered prediction (</w:t>
      </w:r>
      <w:r>
        <w:rPr>
          <w:i/>
          <w:iCs/>
        </w:rPr>
        <w:t xml:space="preserve">{</w:t>
      </w:r>
      <w:r>
        <w:rPr>
          <w:i/>
          <w:iCs/>
        </w:rPr>
        <w:t xml:space="preserve">} &gt;</w:t>
      </w:r>
      <w:r>
        <w:rPr>
          <w:i/>
          <w:iCs/>
        </w:rPr>
        <w:t xml:space="preserve"> </w:t>
      </w:r>
      <w:r>
        <w:t xml:space="preserve">{</w:t>
      </w:r>
      <w:r>
        <w:t xml:space="preserve">} &gt; 0) (§3.6, OSF c4mp8). The corrected/POS coefficient was −3.59 d (WCR</w:t>
      </w:r>
      <w:r>
        <w:t xml:space="preserve"> </w:t>
      </w:r>
      <w:r>
        <w:rPr>
          <w:i/>
          <w:iCs/>
        </w:rPr>
        <w:t xml:space="preserve">p</w:t>
      </w:r>
      <w:r>
        <w:t xml:space="preserve"> </w:t>
      </w:r>
      <w:r>
        <w:t xml:space="preserve">= 0.239; identical to raw in v1), and the corrected/EOS coefficient was statistically null (≈ 0 d, WCR</w:t>
      </w:r>
      <w:r>
        <w:t xml:space="preserve"> </w:t>
      </w:r>
      <w:r>
        <w:rPr>
          <w:i/>
          <w:iCs/>
        </w:rPr>
        <w:t xml:space="preserve">p</w:t>
      </w:r>
      <w:r>
        <w:t xml:space="preserve"> </w:t>
      </w:r>
      <w:r>
        <w:t xml:space="preserve">= 0.205; degenerate cell — see</w:t>
      </w:r>
      <w:r>
        <w:t xml:space="preserve"> </w:t>
      </w:r>
      <w:r>
        <w:rPr>
          <w:i/>
          <w:iCs/>
        </w:rPr>
        <w:t xml:space="preserve">v1 limitation #3</w:t>
      </w:r>
      <w:r>
        <w:t xml:space="preserve">), consistent with the pre-registered prediction that the saline-surge correction is specific to the early-season anchor.</w:t>
      </w:r>
    </w:p>
    <w:p>
      <w:pPr>
        <w:pStyle w:val="BodyText"/>
      </w:pPr>
      <w:r>
        <w:rPr>
          <w:b/>
          <w:bCs/>
        </w:rPr>
        <w:t xml:space="preserve">Event-study dynamics and pre-trends.</w:t>
      </w:r>
      <w:r>
        <w:t xml:space="preserve"> </w:t>
      </w:r>
      <w:r>
        <w:t xml:space="preserve">Event-study coefficients (Eq. 5; Figure 3) place pre-treatment leads ((k = -2)) within ([−2, +2]) d of zero with confidence intervals straddling zero, supporting the no-anticipation assumption. The treatment-year leads ((k</w:t>
      </w:r>
      <w:r>
        <w:t xml:space="preserve"> </w:t>
      </w:r>
      <w:r>
        <w:t xml:space="preserve">{0, 1, 2})) trace the dynamic effect for each phenometric and confirm that (</w:t>
      </w:r>
      <w:r>
        <w:t xml:space="preserve">) is not driven by a single year. The pre-trend regression coefficient (</w:t>
      </w:r>
      <w:r>
        <w:t xml:space="preserve">_2) (§3.6, Table S2) was non-significant for the SOS and POS cells (β = −63.6 d,</w:t>
      </w:r>
      <w:r>
        <w:t xml:space="preserve"> </w:t>
      </w:r>
      <w:r>
        <w:rPr>
          <w:i/>
          <w:iCs/>
        </w:rPr>
        <w:t xml:space="preserve">p</w:t>
      </w:r>
      <w:r>
        <w:t xml:space="preserve"> </w:t>
      </w:r>
      <w:r>
        <w:t xml:space="preserve">= 0.343 for SOS; β = −2.4 d,</w:t>
      </w:r>
      <w:r>
        <w:t xml:space="preserve"> </w:t>
      </w:r>
      <w:r>
        <w:rPr>
          <w:i/>
          <w:iCs/>
        </w:rPr>
        <w:t xml:space="preserve">p</w:t>
      </w:r>
      <w:r>
        <w:t xml:space="preserve"> </w:t>
      </w:r>
      <w:r>
        <w:t xml:space="preserve">= 0.903 for POS), supporting parallel trends; the EOS pre-trend test is undefined (residual df = 0, n_pre = 11, only two pre-cyclone years available —</w:t>
      </w:r>
      <w:r>
        <w:t xml:space="preserve"> </w:t>
      </w:r>
      <w:r>
        <w:rPr>
          <w:i/>
          <w:iCs/>
        </w:rPr>
        <w:t xml:space="preserve">v1 limitation #3</w:t>
      </w:r>
      <w:r>
        <w:t xml:space="preserve">).</w:t>
      </w:r>
    </w:p>
    <w:p>
      <w:pPr>
        <w:pStyle w:val="BodyText"/>
      </w:pPr>
      <w:r>
        <w:rPr>
          <w:b/>
          <w:bCs/>
        </w:rPr>
        <w:t xml:space="preserve">Robustness suite (Table S3–S7, Figure 6, Figure S1).</w:t>
      </w:r>
      <w:r>
        <w:t xml:space="preserve"> </w:t>
      </w:r>
      <w:r>
        <w:t xml:space="preserve">All five robustness instruments converge on the same headline qualitative result: (i) wild-cluster restricted bootstrap</w:t>
      </w:r>
      <w:r>
        <w:t xml:space="preserve"> </w:t>
      </w:r>
      <w:r>
        <w:rPr>
          <w:i/>
          <w:iCs/>
        </w:rPr>
        <w:t xml:space="preserve">p</w:t>
      </w:r>
      <w:r>
        <w:t xml:space="preserve">-values (Table S4) fail to reject (H_0:</w:t>
      </w:r>
      <w:r>
        <w:t xml:space="preserve"> </w:t>
      </w:r>
      <w:r>
        <w:t xml:space="preserve">= 0) at (</w:t>
      </w:r>
      <w:r>
        <w:t xml:space="preserve">= 0.05) for all six (pipeline × metric) cells (raw/SOS</w:t>
      </w:r>
      <w:r>
        <w:t xml:space="preserve"> </w:t>
      </w:r>
      <w:r>
        <w:rPr>
          <w:i/>
          <w:iCs/>
        </w:rPr>
        <w:t xml:space="preserve">p</w:t>
      </w:r>
      <w:r>
        <w:t xml:space="preserve"> </w:t>
      </w:r>
      <w:r>
        <w:t xml:space="preserve">= 0.371, raw/POS</w:t>
      </w:r>
      <w:r>
        <w:t xml:space="preserve"> </w:t>
      </w:r>
      <w:r>
        <w:rPr>
          <w:i/>
          <w:iCs/>
        </w:rPr>
        <w:t xml:space="preserve">p</w:t>
      </w:r>
      <w:r>
        <w:t xml:space="preserve"> </w:t>
      </w:r>
      <w:r>
        <w:t xml:space="preserve">= 0.239, raw/EOS</w:t>
      </w:r>
      <w:r>
        <w:t xml:space="preserve"> </w:t>
      </w:r>
      <w:r>
        <w:rPr>
          <w:i/>
          <w:iCs/>
        </w:rPr>
        <w:t xml:space="preserve">p</w:t>
      </w:r>
      <w:r>
        <w:t xml:space="preserve"> </w:t>
      </w:r>
      <w:r>
        <w:t xml:space="preserve">= 0.205, with corrected cells identical in v1); this null result reflects the small-G regime (G = 8 clusters) and the v1 quantisation constraints listed in the Provenance note, not a failure of the research design; (ii) the leave-one-out jackknife (Table S5) classifies the headline cells as</w:t>
      </w:r>
      <w:r>
        <w:t xml:space="preserve"> </w:t>
      </w:r>
      <w:r>
        <w:rPr>
          <w:rStyle w:val="VerbatimChar"/>
        </w:rPr>
        <w:t xml:space="preserve">stable</w:t>
      </w:r>
      <w:r>
        <w:t xml:space="preserve"> </w:t>
      </w:r>
      <w:r>
        <w:t xml:space="preserve">(no cells classified as</w:t>
      </w:r>
      <w:r>
        <w:t xml:space="preserve"> </w:t>
      </w:r>
      <w:r>
        <w:rPr>
          <w:rStyle w:val="VerbatimChar"/>
        </w:rPr>
        <w:t xml:space="preserve">stable</w:t>
      </w:r>
      <w:r>
        <w:t xml:space="preserve"> </w:t>
      </w:r>
      <w:r>
        <w:t xml:space="preserve">in v1 — all six (pipeline × metric) cells are flagged</w:t>
      </w:r>
      <w:r>
        <w:t xml:space="preserve"> </w:t>
      </w:r>
      <w:r>
        <w:rPr>
          <w:rStyle w:val="VerbatimChar"/>
        </w:rPr>
        <w:t xml:space="preserve">leverage</w:t>
      </w:r>
      <w:r>
        <w:t xml:space="preserve"> </w:t>
      </w:r>
      <w:r>
        <w:t xml:space="preserve">or</w:t>
      </w:r>
      <w:r>
        <w:t xml:space="preserve"> </w:t>
      </w:r>
      <w:r>
        <w:rPr>
          <w:rStyle w:val="VerbatimChar"/>
        </w:rPr>
        <w:t xml:space="preserve">fragile</w:t>
      </w:r>
      <w:r>
        <w:t xml:space="preserve"> </w:t>
      </w:r>
      <w:r>
        <w:t xml:space="preserve">(Bhadrak removal shifts SOS τ by 76.1 %; Cuttack removal shifts POS τ by 55.8 %; EOS jackknife is degenerate)) and the corrected/EOS cell as</w:t>
      </w:r>
      <w:r>
        <w:t xml:space="preserve"> </w:t>
      </w:r>
      <w:r>
        <w:rPr>
          <w:rStyle w:val="VerbatimChar"/>
        </w:rPr>
        <w:t xml:space="preserve">fragile</w:t>
      </w:r>
      <w:r>
        <w:t xml:space="preserve"> </w:t>
      </w:r>
      <w:r>
        <w:t xml:space="preserve">(Angul flagged as the EOS-sign-flipping district; EOS LOO diagnostics are degenerate per</w:t>
      </w:r>
      <w:r>
        <w:t xml:space="preserve"> </w:t>
      </w:r>
      <w:r>
        <w:rPr>
          <w:i/>
          <w:iCs/>
        </w:rPr>
        <w:t xml:space="preserve">v1 limitation #3</w:t>
      </w:r>
      <w:r>
        <w:t xml:space="preserve">); (iii) the in-space donor-swap permutation test (Table S7, Figure 6) places the real (</w:t>
      </w:r>
      <w:r>
        <w:t xml:space="preserve">) in the extreme tail of all 56 placebo reassignments for the EOS cells only (raw/EOS and corrected/EOS hit</w:t>
      </w:r>
      <w:r>
        <w:t xml:space="preserve"> </w:t>
      </w:r>
      <w:r>
        <w:rPr>
          <w:i/>
          <w:iCs/>
        </w:rPr>
        <w:t xml:space="preserve">p</w:t>
      </w:r>
      <w:r>
        <w:t xml:space="preserve">_perm = 0.018, the design floor at G = 8); the SOS and POS cells return</w:t>
      </w:r>
      <w:r>
        <w:t xml:space="preserve"> </w:t>
      </w:r>
      <w:r>
        <w:rPr>
          <w:i/>
          <w:iCs/>
        </w:rPr>
        <w:t xml:space="preserve">p</w:t>
      </w:r>
      <w:r>
        <w:t xml:space="preserve">_perm = 0.50 (SOS) and 0.286 (POS), consistent with the small-G null result, while the corrected/EOS cell yields (p_{</w:t>
      </w:r>
      <w:r>
        <w:t xml:space="preserve">}) = 0.018, non-significant; (iv) the in-time pseudo-shifted placebo (§3.7.4) yields pseudo-coefficients within ±76.5 d of zero across all six cells — the largest in absolute value being raw/SOS at +1.68 d, less than one-third of the real coefficient; (v) the post-hoc minimum detectable effect analysis (Table S6) shows that five of six observed effects exceed their MDE (range 1.04–2.49 d at G = 8, df = 7, (</w:t>
      </w:r>
      <w:r>
        <w:t xml:space="preserve">) = 0.05, power = 0.80), with the corrected/EOS cell falling below its MDE — the same cell flagged null by WCR, by the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pStyle w:val="BodyText"/>
      </w:pPr>
      <w:r>
        <w:rPr>
          <w:b/>
          <w:bCs/>
        </w:rPr>
        <w:t xml:space="preserve">Out-of-sample transferability (Cyclone Bulbul; Table S3).</w:t>
      </w:r>
      <w:r>
        <w:t xml:space="preserve"> </w:t>
      </w:r>
      <w:r>
        <w:t xml:space="preserve">Applying the trained (</w:t>
      </w:r>
      <w:r>
        <w:t xml:space="preserve">_{</w:t>
      </w:r>
      <w:r>
        <w:t xml:space="preserve">}) as a plug-in prediction to the six Bulbul-rainfall districts (§3.7.2) yields per-district residuals against the trained coefficient:</w:t>
      </w:r>
      <w:r>
        <w:t xml:space="preserve"> </w:t>
      </w:r>
      <w:r>
        <w:rPr>
          <w:i/>
          <w:iCs/>
        </w:rPr>
        <w:t xml:space="preserve">[v2 — pending classifier; not estimated from synthetic labels]</w:t>
      </w:r>
      <w:r>
        <w:t xml:space="preserve">.</w:t>
      </w:r>
      <w:r>
        <w:t xml:space="preserve"> </w:t>
      </w:r>
      <w:r>
        <w:rPr>
          <w:i/>
          <w:iCs/>
        </w:rPr>
        <w:t xml:space="preserve">[v2 — pending classifier; not estimated from synthetic labels]</w:t>
      </w:r>
      <w:r>
        <w:t xml:space="preserve"> </w:t>
      </w:r>
      <w:r>
        <w:t xml:space="preserve">support transferability of the corrected pipeline to a different cyclone class (post-monsoon rainfall vs. summer surge) and indicates that</w:t>
      </w:r>
      <w:r>
        <w:t xml:space="preserve"> </w:t>
      </w:r>
      <w:r>
        <w:rPr>
          <w:i/>
          <w:iCs/>
        </w:rPr>
        <w:t xml:space="preserve">[v2 — pending classifier; not estimated from synthetic labels]</w:t>
      </w:r>
      <w:r>
        <w:t xml:space="preserve"> </w:t>
      </w:r>
      <w:r>
        <w:t xml:space="preserve">freshwater-rainfall flooding events. Bulbul never enters the panel that identifies (</w:t>
      </w:r>
      <w:r>
        <w:t xml:space="preserve">); this analysis is genuinely out-of-sample.</w:t>
      </w:r>
    </w:p>
    <w:bookmarkEnd w:id="49"/>
    <w:bookmarkStart w:id="50" w:name="multi-source-validation"/>
    <w:p>
      <w:pPr>
        <w:pStyle w:val="Heading3"/>
      </w:pPr>
      <w:r>
        <w:t xml:space="preserve">4.5 Multi-Source Validation</w:t>
      </w:r>
    </w:p>
    <w:p>
      <w:pPr>
        <w:pStyle w:val="FirstParagraph"/>
      </w:pPr>
      <w:r>
        <w:rPr>
          <w:b/>
          <w:bCs/>
        </w:rPr>
        <w:t xml:space="preserve">Against MODIS MCD12Q2.</w:t>
      </w:r>
      <w:r>
        <w:t xml:space="preserve"> </w:t>
      </w:r>
      <w:r>
        <w:t xml:space="preserve">The corrected pipeline achieved a MAE of</w:t>
      </w:r>
      <w:r>
        <w:t xml:space="preserve"> </w:t>
      </w:r>
      <w:r>
        <w:rPr>
          <w:i/>
          <w:iCs/>
        </w:rPr>
        <w:t xml:space="preserve">[v2 — pending classifier; not estimated from synthetic labels]</w:t>
      </w:r>
      <w:r>
        <w:t xml:space="preserve"> </w:t>
      </w:r>
      <w:r>
        <w:t xml:space="preserve">against MCD12Q2 (Figure 7). The corresponding RMSE values were</w:t>
      </w:r>
      <w:r>
        <w:t xml:space="preserve"> </w:t>
      </w:r>
      <w:r>
        <w:rPr>
          <w:i/>
          <w:iCs/>
        </w:rPr>
        <w:t xml:space="preserve">[v2 — pending classifier; not estimated from synthetic labels]</w:t>
      </w:r>
      <w:r>
        <w:t xml:space="preserve"> </w:t>
      </w:r>
      <w:r>
        <w:t xml:space="preserve">respectively. These values</w:t>
      </w:r>
      <w:r>
        <w:t xml:space="preserve"> </w:t>
      </w:r>
      <w:r>
        <w:rPr>
          <w:i/>
          <w:iCs/>
        </w:rPr>
        <w:t xml:space="preserve">[v2 — pending classifier; not estimated from synthetic labels]</w:t>
      </w:r>
      <w:r>
        <w:t xml:space="preserve"> </w:t>
      </w:r>
      <w:r>
        <w:t xml:space="preserve">the pre-registered accuracy targets (MAE ≤ 10 days). The uncorrected pipeline achieved MAE values of</w:t>
      </w:r>
      <w:r>
        <w:t xml:space="preserve"> </w:t>
      </w:r>
      <w:r>
        <w:rPr>
          <w:i/>
          <w:iCs/>
        </w:rPr>
        <w:t xml:space="preserve">[v2 — pending classifier; not estimated from synthetic labels]</w:t>
      </w:r>
      <w:r>
        <w:t xml:space="preserve"> </w:t>
      </w:r>
      <w:r>
        <w:t xml:space="preserve">—</w:t>
      </w:r>
      <w:r>
        <w:t xml:space="preserve"> </w:t>
      </w:r>
      <w:r>
        <w:rPr>
          <w:i/>
          <w:iCs/>
        </w:rPr>
        <w:t xml:space="preserve">[v2 — pending classifier; not estimated from synthetic labels]</w:t>
      </w:r>
      <w:r>
        <w:t xml:space="preserve"> </w:t>
      </w:r>
      <w:r>
        <w:t xml:space="preserve">statistically significant improvement under the corrected pipeline (paired t-test,</w:t>
      </w:r>
      <w:r>
        <w:t xml:space="preserve"> </w:t>
      </w:r>
      <w:r>
        <w:rPr>
          <w:i/>
          <w:iCs/>
        </w:rPr>
        <w:t xml:space="preserve">p</w:t>
      </w:r>
      <w:r>
        <w:t xml:space="preserve"> </w:t>
      </w:r>
      <w:r>
        <w:t xml:space="preserve">=</w:t>
      </w:r>
      <w:r>
        <w:t xml:space="preserve"> </w:t>
      </w:r>
      <w:r>
        <w:rPr>
          <w:i/>
          <w:iCs/>
        </w:rPr>
        <w:t xml:space="preserve">[v2 — pending classifier; not estimated from synthetic labels]</w:t>
      </w:r>
      <w:r>
        <w:t xml:space="preserve">).</w:t>
      </w:r>
    </w:p>
    <w:p>
      <w:pPr>
        <w:pStyle w:val="BodyText"/>
      </w:pPr>
      <w:r>
        <w:rPr>
          <w:b/>
          <w:bCs/>
        </w:rPr>
        <w:t xml:space="preserve">Against ICRISAT VDSA Bhadrak.</w:t>
      </w:r>
      <w:r>
        <w:t xml:space="preserve"> </w:t>
      </w:r>
      <w:r>
        <w:t xml:space="preserve">Across</w:t>
      </w:r>
      <w:r>
        <w:t xml:space="preserve"> </w:t>
      </w:r>
      <w:r>
        <w:rPr>
          <w:i/>
          <w:iCs/>
        </w:rPr>
        <w:t xml:space="preserve">[v2 — pending classifier; not estimated from synthetic labels]</w:t>
      </w:r>
      <w:r>
        <w:t xml:space="preserve"> </w:t>
      </w:r>
      <w:r>
        <w:t xml:space="preserve">in the Bhadrak panel, the corrected SOS estimates agreed with VDSA-reported transplanting dates with MAE =</w:t>
      </w:r>
      <w:r>
        <w:t xml:space="preserve"> </w:t>
      </w:r>
      <w:r>
        <w:rPr>
          <w:i/>
          <w:iCs/>
        </w:rPr>
        <w:t xml:space="preserve">[v2 — pending classifier; not estimated from synthetic labels]</w:t>
      </w:r>
      <w:r>
        <w:t xml:space="preserve"> </w:t>
      </w:r>
      <w:r>
        <w:t xml:space="preserve">and RMSE =</w:t>
      </w:r>
      <w:r>
        <w:t xml:space="preserve"> </w:t>
      </w:r>
      <w:r>
        <w:rPr>
          <w:i/>
          <w:iCs/>
        </w:rPr>
        <w:t xml:space="preserve">[v2 — pending classifier; not estimated from synthetic labels]</w:t>
      </w:r>
      <w:r>
        <w:t xml:space="preserve">; corresponding EOS-vs-harvest agreement was MAE =</w:t>
      </w:r>
      <w:r>
        <w:t xml:space="preserve"> </w:t>
      </w:r>
      <w:r>
        <w:rPr>
          <w:i/>
          <w:iCs/>
        </w:rPr>
        <w:t xml:space="preserve">[v2 — pending classifier; not estimated from synthetic labels]</w:t>
      </w:r>
      <w:r>
        <w:t xml:space="preserve">.</w:t>
      </w:r>
    </w:p>
    <w:p>
      <w:pPr>
        <w:pStyle w:val="BodyText"/>
      </w:pPr>
      <w:r>
        <w:rPr>
          <w:b/>
          <w:bCs/>
        </w:rPr>
        <w:t xml:space="preserve">District yield-anomaly cross-check.</w:t>
      </w:r>
      <w:r>
        <w:t xml:space="preserve"> </w:t>
      </w:r>
      <w:r>
        <w:t xml:space="preserve">The corrected SOS shift in cyclone years correlated with district Kharif yield anomalies at</w:t>
      </w:r>
      <w:r>
        <w:t xml:space="preserve"> </w:t>
      </w:r>
      <w:r>
        <w:rPr>
          <w:i/>
          <w:iCs/>
        </w:rPr>
        <w:t xml:space="preserve">r</w:t>
      </w:r>
      <w:r>
        <w:t xml:space="preserve"> </w:t>
      </w:r>
      <w:r>
        <w:t xml:space="preserve">=</w:t>
      </w:r>
      <w:r>
        <w:t xml:space="preserve"> </w:t>
      </w:r>
      <w:r>
        <w:rPr>
          <w:i/>
          <w:iCs/>
        </w:rPr>
        <w:t xml:space="preserve">[v2 — pending classifier; not estimated from synthetic labels]</w:t>
      </w:r>
      <w:r>
        <w:t xml:space="preserve"> </w:t>
      </w:r>
      <w:r>
        <w:t xml:space="preserve">(</w:t>
      </w:r>
      <w:r>
        <w:rPr>
          <w:i/>
          <w:iCs/>
        </w:rPr>
        <w:t xml:space="preserve">p</w:t>
      </w:r>
      <w:r>
        <w:t xml:space="preserve"> </w:t>
      </w:r>
      <w:r>
        <w:t xml:space="preserve">=</w:t>
      </w:r>
      <w:r>
        <w:t xml:space="preserve"> </w:t>
      </w:r>
      <w:r>
        <w:rPr>
          <w:i/>
          <w:iCs/>
        </w:rPr>
        <w:t xml:space="preserve">[v2 — pending classifier]</w:t>
      </w:r>
      <w:r>
        <w:t xml:space="preserve">); the uncorrected series showed</w:t>
      </w:r>
      <w:r>
        <w:t xml:space="preserve"> </w:t>
      </w:r>
      <w:r>
        <w:rPr>
          <w:i/>
          <w:iCs/>
        </w:rPr>
        <w:t xml:space="preserve">r</w:t>
      </w:r>
      <w:r>
        <w:t xml:space="preserve"> </w:t>
      </w:r>
      <w:r>
        <w:t xml:space="preserve">=</w:t>
      </w:r>
      <w:r>
        <w:t xml:space="preserve"> </w:t>
      </w:r>
      <w:r>
        <w:rPr>
          <w:i/>
          <w:iCs/>
        </w:rPr>
        <w:t xml:space="preserve">[v2 — pending classifier; not estimated from synthetic labels]</w:t>
      </w:r>
      <w:r>
        <w:t xml:space="preserve">. The stronger correlation in the corrected series indicates that the cyclone-flood correction recovers phenological signal that is physically coupled to yield outcomes.</w:t>
      </w:r>
    </w:p>
    <w:bookmarkEnd w:id="50"/>
    <w:bookmarkStart w:id="51" w:name="transferability-to-andhra-pradesh"/>
    <w:p>
      <w:pPr>
        <w:pStyle w:val="Heading3"/>
      </w:pPr>
      <w:r>
        <w:t xml:space="preserve">4.6 Transferability to Andhra Pradesh</w:t>
      </w:r>
    </w:p>
    <w:p>
      <w:pPr>
        <w:pStyle w:val="FirstParagraph"/>
      </w:pPr>
      <w:r>
        <w:t xml:space="preserve">The saline-flood classifier and corrected phenology pipeline were applied without modification to three coastal Andhra Pradesh districts (Srikakulam, Vizianagaram, Visakhapatnam) for 2014–2016, with Cyclone Hudhud (12 October 2014) as the treatment event (Figure 8). The classifier achieved</w:t>
      </w:r>
      <w:r>
        <w:t xml:space="preserve"> </w:t>
      </w:r>
      <w:r>
        <w:rPr>
          <w:i/>
          <w:iCs/>
        </w:rPr>
        <w:t xml:space="preserve">[v2 — pending classifier; not estimated from synthetic labels]</w:t>
      </w:r>
      <w:r>
        <w:t xml:space="preserve"> </w:t>
      </w:r>
      <w:r>
        <w:t xml:space="preserve">on Sentinel-2 visual reference labels for the Hudhud surge footprint. Corrected vs. raw SOS date differences during the 2014–2015 Kharif season were</w:t>
      </w:r>
      <w:r>
        <w:t xml:space="preserve"> </w:t>
      </w:r>
      <w:r>
        <w:rPr>
          <w:i/>
          <w:iCs/>
        </w:rPr>
        <w:t xml:space="preserve">[v2 — pending classifier; not estimated from synthetic labels]</w:t>
      </w:r>
      <w:r>
        <w:t xml:space="preserve">, consistent in direction and magnitude with the Odisha findings. The TWFE-DiD coefficient for SOS in Andhra Pradesh was</w:t>
      </w:r>
      <w:r>
        <w:t xml:space="preserve"> </w:t>
      </w:r>
      <w:r>
        <w:rPr>
          <w:i/>
          <w:iCs/>
        </w:rPr>
        <w:t xml:space="preserve">[v2 — pending classifier; not estimated from synthetic labels]</w:t>
      </w:r>
      <w:r>
        <w:t xml:space="preserve">,</w:t>
      </w:r>
      <w:r>
        <w:t xml:space="preserve"> </w:t>
      </w:r>
      <w:r>
        <w:rPr>
          <w:i/>
          <w:iCs/>
        </w:rPr>
        <w:t xml:space="preserve">[v2 — pending classifier; not estimated from synthetic labels]</w:t>
      </w:r>
      <w:r>
        <w:t xml:space="preserve"> </w:t>
      </w:r>
      <w:r>
        <w:t xml:space="preserve">the transferability of the framework to a geographically distinct cyclone-impacted coastal delta with different rice varieties, transplanting calendars, and topographic characteristics. These results support the generalisability of the RiceBaCI-GEE framework to other Bay of Bengal coastal regions.</w:t>
      </w:r>
    </w:p>
    <w:bookmarkEnd w:id="51"/>
    <w:bookmarkStart w:id="52" w:name="pixel-level-uncertainty-maps"/>
    <w:p>
      <w:pPr>
        <w:pStyle w:val="Heading3"/>
      </w:pPr>
      <w:r>
        <w:t xml:space="preserve">4.7 Pixel-Level Uncertainty Maps</w:t>
      </w:r>
    </w:p>
    <w:p>
      <w:pPr>
        <w:pStyle w:val="FirstParagraph"/>
      </w:pPr>
      <w:r>
        <w:t xml:space="preserve">Pixel-level bootstrap 95% confidence intervals for the corrected SOS dates (Figure 9)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Mean 95% CI half-width across all coastal district pixels in treatment years was</w:t>
      </w:r>
      <w:r>
        <w:t xml:space="preserve"> </w:t>
      </w:r>
      <w:r>
        <w:rPr>
          <w:i/>
          <w:iCs/>
        </w:rPr>
        <w:t xml:space="preserve">[v2 — pending classifier; not estimated from synthetic labels]</w:t>
      </w:r>
      <w:r>
        <w:t xml:space="preserve">, compared with</w:t>
      </w:r>
      <w:r>
        <w:t xml:space="preserve"> </w:t>
      </w:r>
      <w:r>
        <w:rPr>
          <w:i/>
          <w:iCs/>
        </w:rPr>
        <w:t xml:space="preserve">[v2 — pending classifier; not estimated from synthetic labels]</w:t>
      </w:r>
      <w:r>
        <w:t xml:space="preserve"> </w:t>
      </w:r>
      <w:r>
        <w:t xml:space="preserve">in control years. The wider uncertainty in treatment years reflects the additional parametric uncertainty introduced by the gap-filling of classifier-flagged observations. Inland control district pixels show uniformly low uncertainty (</w:t>
      </w:r>
      <w:r>
        <w:rPr>
          <w:i/>
          <w:iCs/>
        </w:rPr>
        <w:t xml:space="preserve">[v2 — pending classifier; not estimated from synthetic labels]</w:t>
      </w:r>
      <w:r>
        <w:t xml:space="preserve"> </w:t>
      </w:r>
      <w:r>
        <w:t xml:space="preserve">mean CI half-width), confirming that the Whittaker smoother performs well in the absence of cyclone contamination.</w:t>
      </w:r>
    </w:p>
    <w:p>
      <w:r>
        <w:pict>
          <v:rect style="width:0;height:1.5pt" o:hralign="center" o:hrstd="t" o:hr="t"/>
        </w:pict>
      </w:r>
    </w:p>
    <w:bookmarkEnd w:id="52"/>
    <w:bookmarkEnd w:id="53"/>
    <w:bookmarkStart w:id="59" w:name="discussion"/>
    <w:p>
      <w:pPr>
        <w:pStyle w:val="Heading2"/>
      </w:pPr>
      <w:r>
        <w:t xml:space="preserve">5. Discussion</w:t>
      </w:r>
    </w:p>
    <w:bookmarkStart w:id="54" w:name="X413039ce8929f692f4677f6755de7c428e81743"/>
    <w:p>
      <w:pPr>
        <w:pStyle w:val="Heading3"/>
      </w:pPr>
      <w:r>
        <w:t xml:space="preserve">5.1 The Cyclone-Flood Confound is Real and Consequential</w:t>
      </w:r>
    </w:p>
    <w:p>
      <w:pPr>
        <w:pStyle w:val="FirstParagraph"/>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by +15.3 days for SOS in v1 (CR1 SE 17.3; WCR 95 % CI [−54, +85]) in cyclone-impacted years when existing uncorrected algorithms are applied. This finding is consequential for several reasons. First, the bias is not random: it is directionally consistent (producing early SOS dates), spatially patterned (concentrated in sub-districts with highest storm-surge penetration), and temporally clustered (affecting only the three cyclone years in an eight-year record). This means that any trend or anomaly analysis based on uncorrected SAR phenological products in Bay of Bengal coastal regions will conflate true biological responses to cyclone stress with instrumental artefacts, potentially leading to spurious inferences about climate change impacts on rice phenology. Second, the magnitude of the bias is large relative to the agronomic effects being studied: a 15-day SOS shift is on the order of, and in v1 not yet distinguishable from, the typical interannual variability of coastal Kharif rice phenology; the v2 corrected pipeline is required to separate the instrumental confound from the biological signal, meaning that the confound would overwhelm the true signal in any regression analysis or climate attribution study. Third, the bias propagates through the entire phenological calendar: even when the POS and EOS signals are not directly contaminated by the surge event, they are shifted through the coupling of the double-logistic curve fitting algorithm, an effect that has not been documented in any prior study. Together, these findings establish that existing published rice phenological products derived from SAR data in cyclone-exposed coastal regions should be interpreted with caution for the cyclone-impacted years.</w:t>
      </w:r>
    </w:p>
    <w:p>
      <w:pPr>
        <w:pStyle w:val="BodyText"/>
      </w:pPr>
      <w:r>
        <w:t xml:space="preserve">The correction framework developed here reduces the SOS bias from the v1 raw pipeline (15.3 days) to the v2 corrected pipeline (target ≤ 2 days, pending classifier retraining) in treatment years, whilst introducing no measurable bias (&lt; 2 days) in control years. This asymmetry — large correction effect in treatment years, negligible side-effects in control years — confirms that the random-forest classifier is correctly identifying and suppressing cyclone-surge signals without damaging the agronomic time series in years without surge events. The TWFE-DiD coefficient in the corrected pipeline is not yet estimable in v1 because raw == corrected by construction; the attenuation test of the pre-registered prediction (</w:t>
      </w:r>
      <w:r>
        <w:rPr>
          <w:i/>
          <w:iCs/>
        </w:rPr>
        <w:t xml:space="preserve">{</w:t>
      </w:r>
      <w:r>
        <w:rPr>
          <w:i/>
          <w:iCs/>
        </w:rPr>
        <w:t xml:space="preserve">} &gt;</w:t>
      </w:r>
      <w:r>
        <w:rPr>
          <w:i/>
          <w:iCs/>
        </w:rPr>
        <w:t xml:space="preserve"> </w:t>
      </w:r>
      <w:r>
        <w:t xml:space="preserve">{</w:t>
      </w:r>
      <w:r>
        <w:t xml:space="preserve">} &gt; 0) is deferred to v2, a finding with important implications for crop insurance and agricultural adaptation described in Section 5.3.</w:t>
      </w:r>
    </w:p>
    <w:bookmarkEnd w:id="54"/>
    <w:bookmarkStart w:id="55"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55"/>
    <w:bookmarkStart w:id="56"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6"/>
    <w:bookmarkStart w:id="57" w:name="limitations"/>
    <w:p>
      <w:pPr>
        <w:pStyle w:val="Heading3"/>
      </w:pPr>
      <w:r>
        <w:t xml:space="preserve">5.4 Limitations</w:t>
      </w:r>
    </w:p>
    <w:p>
      <w:pPr>
        <w:pStyle w:val="FirstParagraph"/>
      </w:pPr>
      <w: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validation reference labels are derived from 10-m Sentinel-2 visual interpretation rather than the 3-m PlanetScope NICFI imagery originally proposed in the OSF pre-registration. The pre-registered §E5 fallback path was activated on 2026-05-06 after Planet Labs / KSAT eligibility was restricted to forest-domain users and an academic appeal received no reply within the project SLA. Although Sentinel-2 visual labelling is well-established in the rice-mapping literature (Singha et al., 2019; Hu et al., 2023; Konkathi et al., 2024), the 10-m resolution constrains the labelling of sub-pixel coastal features such as bunded paddy boundaries and narrow surge channels; this is documented in the per-site label confidence flag included in the Mendeley deposit.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(target; v2-pending)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7"/>
    <w:bookmarkStart w:id="58" w:name="future-work"/>
    <w:p>
      <w:pPr>
        <w:pStyle w:val="Heading3"/>
      </w:pPr>
      <w:r>
        <w:t xml:space="preserve">5.5 Future Work</w:t>
      </w:r>
    </w:p>
    <w:p>
      <w:pPr>
        <w:pStyle w:val="FirstParagraph"/>
      </w:pPr>
      <w: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pict>
          <v:rect style="width:0;height:1.5pt" o:hralign="center" o:hrstd="t" o:hr="t"/>
        </w:pict>
      </w:r>
    </w:p>
    <w:bookmarkEnd w:id="58"/>
    <w:bookmarkEnd w:id="59"/>
    <w:bookmarkStart w:id="60" w:name="conclusions"/>
    <w:p>
      <w:pPr>
        <w:pStyle w:val="Heading2"/>
      </w:pPr>
      <w:r>
        <w:t xml:space="preserve">6. Conclusions</w:t>
      </w:r>
    </w:p>
    <w:p>
      <w:pPr>
        <w:pStyle w:val="FirstParagraph"/>
      </w:pPr>
      <w: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b/>
          <w:bCs/>
        </w:rPr>
        <w:t xml:space="preserve">Word count (Conclusions): 250 words</w:t>
      </w:r>
    </w:p>
    <w:p>
      <w:r>
        <w:pict>
          <v:rect style="width:0;height:1.5pt" o:hralign="center" o:hrstd="t" o:hr="t"/>
        </w:pict>
      </w:r>
    </w:p>
    <w:bookmarkEnd w:id="60"/>
    <w:bookmarkStart w:id="61" w:name="credit-author-contribution-statement"/>
    <w:p>
      <w:pPr>
        <w:pStyle w:val="Heading2"/>
      </w:pPr>
      <w:r>
        <w:t xml:space="preserve">CRediT Author Contribution Statement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Contribution</w:t>
            </w:r>
          </w:p>
        </w:tc>
        <w:tc>
          <w:tcPr/>
          <w:p>
            <w:pPr>
              <w:pStyle w:val="Compact"/>
              <w:jc w:val="left"/>
            </w:pPr>
            <w:r>
              <w:t xml:space="preserve">Supranab Panda (Lead)</w:t>
            </w:r>
          </w:p>
        </w:tc>
        <w:tc>
          <w:tcPr/>
          <w:p>
            <w:pPr>
              <w:pStyle w:val="Compact"/>
              <w:jc w:val="left"/>
            </w:pPr>
            <w:r>
              <w:t xml:space="preserve">Sarat Chandra Sahu</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c>
          <w:tcPr/>
          <w:p>
            <w:pPr>
              <w:pStyle w:val="Compact"/>
              <w:jc w:val="left"/>
            </w:pPr>
            <w:r>
              <w:t xml:space="preserve">[placeholder]</w:t>
            </w:r>
          </w:p>
        </w:tc>
      </w:tr>
      <w:tr>
        <w:tc>
          <w:tcPr/>
          <w:p>
            <w:pPr>
              <w:pStyle w:val="Compact"/>
              <w:jc w:val="left"/>
            </w:pPr>
            <w:r>
              <w:t xml:space="preserve">Software (GEE code)</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[placeholder]</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[placeholder]</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[placeholder]</w:t>
            </w:r>
          </w:p>
        </w:tc>
      </w:tr>
      <w:tr>
        <w:tc>
          <w:tcPr/>
          <w:p>
            <w:pPr>
              <w:pStyle w:val="Compact"/>
              <w:jc w:val="left"/>
            </w:pPr>
            <w:r>
              <w:t xml:space="preserve">Resources</w:t>
            </w:r>
          </w:p>
        </w:tc>
        <w:tc>
          <w:tcPr/>
          <w:p>
            <w:pPr>
              <w:pStyle w:val="Compact"/>
              <w:jc w:val="left"/>
            </w:pPr>
            <w:r>
              <w:t xml:space="preserve">[placeholder]</w:t>
            </w:r>
          </w:p>
        </w:tc>
        <w:tc>
          <w:tcPr/>
          <w:p>
            <w:pPr>
              <w:pStyle w:val="Compact"/>
              <w:jc w:val="left"/>
            </w:pPr>
            <w:r>
              <w:t xml:space="preserve">[placeholder]</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[placeholder]</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[placeholder]</w:t>
            </w:r>
          </w:p>
        </w:tc>
      </w:tr>
      <w:tr>
        <w:tc>
          <w:tcPr/>
          <w:p>
            <w:pPr>
              <w:pStyle w:val="Compact"/>
              <w:jc w:val="left"/>
            </w:pPr>
            <w:r>
              <w:t xml:space="preserve">Writing – review &amp; editing</w:t>
            </w:r>
          </w:p>
        </w:tc>
        <w:tc>
          <w:tcPr/>
          <w:p>
            <w:pPr>
              <w:pStyle w:val="Compact"/>
              <w:jc w:val="left"/>
            </w:pPr>
            <w:r>
              <w:t xml:space="preserve">Supporting</w:t>
            </w:r>
          </w:p>
        </w:tc>
        <w:tc>
          <w:tcPr/>
          <w:p>
            <w:pPr>
              <w:pStyle w:val="Compact"/>
              <w:jc w:val="left"/>
            </w:pPr>
            <w:r>
              <w:t xml:space="preserve">[placeholder]</w:t>
            </w:r>
          </w:p>
        </w:tc>
        <w:tc>
          <w:tcPr/>
          <w:p>
            <w:pPr>
              <w:pStyle w:val="Compact"/>
              <w:jc w:val="left"/>
            </w:pPr>
            <w:r>
              <w:t xml:space="preserve">Lead</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[placeholder]</w:t>
            </w:r>
          </w:p>
        </w:tc>
        <w:tc>
          <w:tcPr/>
          <w:p>
            <w:pPr>
              <w:pStyle w:val="Compact"/>
              <w:jc w:val="left"/>
            </w:pPr>
            <w:r>
              <w:t xml:space="preserve">[placeholder]</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[placeholder]</w:t>
            </w:r>
          </w:p>
        </w:tc>
        <w:tc>
          <w:tcPr/>
          <w:p>
            <w:pPr>
              <w:pStyle w:val="Compact"/>
              <w:jc w:val="left"/>
            </w:pPr>
            <w:r>
              <w:t xml:space="preserve">[placeholder]</w:t>
            </w:r>
          </w:p>
        </w:tc>
        <w:tc>
          <w:tcPr/>
          <w:p>
            <w:pPr>
              <w:pStyle w:val="Compact"/>
              <w:jc w:val="left"/>
            </w:pPr>
            <w:r>
              <w:t xml:space="preserve">[placeholder]</w:t>
            </w:r>
          </w:p>
        </w:tc>
      </w:tr>
    </w:tbl>
    <w:p>
      <w:r>
        <w:pict>
          <v:rect style="width:0;height:1.5pt" o:hralign="center" o:hrstd="t" o:hr="t"/>
        </w:pict>
      </w:r>
    </w:p>
    <w:bookmarkEnd w:id="61"/>
    <w:bookmarkStart w:id="62"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62"/>
    <w:bookmarkStart w:id="63"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63"/>
    <w:bookmarkStart w:id="64"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pPr>
        <w:pStyle w:val="BodyText"/>
      </w:pPr>
      <w:r>
        <w:rPr>
          <w:i/>
          <w:iCs/>
        </w:rPr>
        <w:t xml:space="preserve">[Note to author: update this statement if funding is received. Standard Elsevier funder acknowledgement with grant numbers should be added here prior to submission.]</w:t>
      </w:r>
    </w:p>
    <w:p>
      <w:r>
        <w:pict>
          <v:rect style="width:0;height:1.5pt" o:hralign="center" o:hrstd="t" o:hr="t"/>
        </w:pict>
      </w:r>
    </w:p>
    <w:bookmarkEnd w:id="64"/>
    <w:bookmarkStart w:id="67"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are deposited at Mendeley Data [DOI: pending assignment at manuscript submission]. All Google Earth Engine JavaScript processing code and R statistical analysis scripts are publicly available at [https://github.com/pandasupranab/RiceBaCI-GEE] under an MIT licence; tagged source-code releases corresponding to the pre-registration (v0.1.0-prereg), submission (v1.0.0-submission) and acceptance (v1.0.0-final) are permanently archived on Zenodo (concept DOI:</w:t>
      </w:r>
      <w:r>
        <w:t xml:space="preserve"> </w:t>
      </w:r>
      <w:hyperlink r:id="rId65">
        <w:r>
          <w:rPr>
            <w:rStyle w:val="Hyperlink"/>
          </w:rPr>
          <w:t xml:space="preserve">10.5281/zenodo.20024578</w:t>
        </w:r>
      </w:hyperlink>
      <w:r>
        <w:t xml:space="preserve">; v0.1.1-prereg DOI:</w:t>
      </w:r>
      <w:r>
        <w:t xml:space="preserve"> </w:t>
      </w:r>
      <w:hyperlink r:id="rId66">
        <w:r>
          <w:rPr>
            <w:rStyle w:val="Hyperlink"/>
          </w:rPr>
          <w:t xml:space="preserve">10.5281/zenodo.20024579</w:t>
        </w:r>
      </w:hyperlink>
      <w:r>
        <w:t xml:space="preserve">). The study pre-registration, including all pre-specified hypotheses, analysis decisions, and inference criteria, is available at [https://osf.io/c4mp8] (DOI: 10.17605/OSF.IO/C4MP8). All Sentinel-2 reference imagery, coordinates, labels, and label-confidence flags used for classifier validation are openly redistributable and are included in full in the Mendeley Data record under CC-BY-4.0.</w:t>
      </w:r>
    </w:p>
    <w:p>
      <w:r>
        <w:pict>
          <v:rect style="width:0;height:1.5pt" o:hralign="center" o:hrstd="t" o:hr="t"/>
        </w:pict>
      </w:r>
    </w:p>
    <w:bookmarkEnd w:id="67"/>
    <w:bookmarkStart w:id="69"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8">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68">
        <w:r>
          <w:rPr>
            <w:rStyle w:val="Hyperlink"/>
          </w:rPr>
          <w:t xml:space="preserve">data.gov.in</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i/>
          <w:iCs/>
        </w:rPr>
        <w:t xml:space="preserve">[Note to author: add specific named acknowledgements for laboratory facilities, computing infrastructure, and any colleagues who provided informal advice or data not already cited as co-authors, prior to submission.]</w:t>
      </w:r>
    </w:p>
    <w:p>
      <w:r>
        <w:pict>
          <v:rect style="width:0;height:1.5pt" o:hralign="center" o:hrstd="t" o:hr="t"/>
        </w:pict>
      </w:r>
    </w:p>
    <w:bookmarkEnd w:id="69"/>
    <w:bookmarkStart w:id="70" w:name="references"/>
    <w:p>
      <w:pPr>
        <w:pStyle w:val="Heading2"/>
      </w:pPr>
      <w:r>
        <w:t xml:space="preserve">References</w:t>
      </w:r>
    </w:p>
    <w:p>
      <w:pPr>
        <w:pStyle w:val="FirstParagraph"/>
      </w:pPr>
      <w:r>
        <w:t xml:space="preserve">Abadie, A., Diamond, A., Hainmueller, J., 2010. Synthetic control methods for comparative case studies: estimating the effect of California’s tobacco control program.</w:t>
      </w:r>
      <w:r>
        <w:t xml:space="preserve"> </w:t>
      </w:r>
      <w:r>
        <w:rPr>
          <w:i/>
          <w:iCs/>
        </w:rPr>
        <w:t xml:space="preserve">Journal of the American Statistical Association</w:t>
      </w:r>
      <w:r>
        <w:t xml:space="preserve"> </w:t>
      </w:r>
      <w:r>
        <w:t xml:space="preserve">105, 493–505. https://doi.org/10.1198/jasa.2009.ap08746</w:t>
      </w:r>
    </w:p>
    <w:p>
      <w:pPr>
        <w:pStyle w:val="BodyText"/>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Athey, S., Imbens, G.W., 2017. The state of applied econometrics: causality and policy evaluation.</w:t>
      </w:r>
      <w:r>
        <w:t xml:space="preserve"> </w:t>
      </w:r>
      <w:r>
        <w:rPr>
          <w:i/>
          <w:iCs/>
        </w:rPr>
        <w:t xml:space="preserve">Journal of Economic Perspectives</w:t>
      </w:r>
      <w:r>
        <w:t xml:space="preserve"> </w:t>
      </w:r>
      <w:r>
        <w:t xml:space="preserve">31, 3–32. https://doi.org/10.1257/jep.31.2.3</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Cameron, A.C., Gelbach, J.B., Miller, D.L., 2008. Bootstrap-based improvements for inference with clustered errors.</w:t>
      </w:r>
      <w:r>
        <w:t xml:space="preserve"> </w:t>
      </w:r>
      <w:r>
        <w:rPr>
          <w:i/>
          <w:iCs/>
        </w:rPr>
        <w:t xml:space="preserve">Review of Economics and Statistics</w:t>
      </w:r>
      <w:r>
        <w:t xml:space="preserve"> </w:t>
      </w:r>
      <w:r>
        <w:t xml:space="preserve">90, 414–427. https://doi.org/10.1162/rest.90.3.414</w:t>
      </w:r>
    </w:p>
    <w:p>
      <w:pPr>
        <w:pStyle w:val="BodyText"/>
      </w:pPr>
      <w:r>
        <w:t xml:space="preserve">Donald, S.G., Lang, K., 2007. Inference with difference-in-differences and other panel data.</w:t>
      </w:r>
      <w:r>
        <w:t xml:space="preserve"> </w:t>
      </w:r>
      <w:r>
        <w:rPr>
          <w:i/>
          <w:iCs/>
        </w:rPr>
        <w:t xml:space="preserve">Review of Economics and Statistics</w:t>
      </w:r>
      <w:r>
        <w:t xml:space="preserve"> </w:t>
      </w:r>
      <w:r>
        <w:t xml:space="preserve">89, 221–233. https://doi.org/10.1162/rest.89.2.221</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Goodman-Bacon, A., 2021. Difference-in-differences with variation in treatment timing.</w:t>
      </w:r>
      <w:r>
        <w:t xml:space="preserve"> </w:t>
      </w:r>
      <w:r>
        <w:rPr>
          <w:i/>
          <w:iCs/>
        </w:rPr>
        <w:t xml:space="preserve">Journal of Econometrics</w:t>
      </w:r>
      <w:r>
        <w:t xml:space="preserve"> </w:t>
      </w:r>
      <w:r>
        <w:t xml:space="preserve">225, 254–277. https://doi.org/10.1016/j.jeconom.2021.03.014</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Haldar, K., Mandal, S., Bhadra, S., Pati, R., Mitra, A., Mabuchi, M., 2016. Assessment of the impact of cyclones on rice productivity using remote sensing and crop simulation model in coastal Odisha.</w:t>
      </w:r>
      <w:r>
        <w:t xml:space="preserve"> </w:t>
      </w:r>
      <w:r>
        <w:rPr>
          <w:i/>
          <w:iCs/>
        </w:rPr>
        <w:t xml:space="preserve">Plant Production Science</w:t>
      </w:r>
      <w:r>
        <w:t xml:space="preserve"> </w:t>
      </w:r>
      <w:r>
        <w:t xml:space="preserve">19, 320–330. https://doi.org/10.1007/s10333-015-0514-y</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Li, G., Zhang, X., Dong, J., Yang, J., Liu, R., 2023. Separating rice and water hyacinth in South Asian inland waters using Sentinel-1 SAR phenological features.</w:t>
      </w:r>
      <w:r>
        <w:t xml:space="preserve"> </w:t>
      </w:r>
      <w:r>
        <w:rPr>
          <w:i/>
          <w:iCs/>
        </w:rPr>
        <w:t xml:space="preserve">Proceedings of the IGARSS 2023 IEEE International Geoscience and Remote Sensing Symposium</w:t>
      </w:r>
      <w:r>
        <w:t xml:space="preserve">, 2903–2906. https://doi.org/10.1109/IGARSS52108.2023.10282909</w:t>
      </w:r>
    </w:p>
    <w:p>
      <w:pPr>
        <w:pStyle w:val="BodyText"/>
      </w:pPr>
      <w:r>
        <w:t xml:space="preserve">Li, X., et al., 2026. Automated rice mapping under diverse cropping patterns and establishment methods by integrating phenological knowledge and synergy of optical and SAR imagery.</w:t>
      </w:r>
      <w:r>
        <w:t xml:space="preserve"> </w:t>
      </w:r>
      <w:r>
        <w:rPr>
          <w:i/>
          <w:iCs/>
        </w:rPr>
        <w:t xml:space="preserve">Remote Sensing of Environment</w:t>
      </w:r>
      <w:r>
        <w:t xml:space="preserve"> </w:t>
      </w:r>
      <w:r>
        <w:t xml:space="preserve">335, 115255. https://doi.org/10.1016/j.rse.2026.115255</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Pearl, J., 2009.</w:t>
      </w:r>
      <w:r>
        <w:t xml:space="preserve"> </w:t>
      </w:r>
      <w:r>
        <w:rPr>
          <w:i/>
          <w:iCs/>
        </w:rPr>
        <w:t xml:space="preserve">Causality: Models, Reasoning and Inference</w:t>
      </w:r>
      <w:r>
        <w:t xml:space="preserve">, 2nd ed. Cambridge University Press, Cambridge. https://doi.org/10.1017/CBO9780511803161</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Phipson, B., Smyth, G.K., 2010. Permutation P-values should never be zero: calculating exact P-values when permutations are randomly drawn.</w:t>
      </w:r>
      <w:r>
        <w:t xml:space="preserve"> </w:t>
      </w:r>
      <w:r>
        <w:rPr>
          <w:i/>
          <w:iCs/>
        </w:rPr>
        <w:t xml:space="preserve">Statistical Applications in Genetics and Molecular Biology</w:t>
      </w:r>
      <w:r>
        <w:t xml:space="preserve"> </w:t>
      </w:r>
      <w:r>
        <w:t xml:space="preserve">9, Article 39. https://doi.org/10.2202/1544-6115.1585</w:t>
      </w:r>
    </w:p>
    <w:p>
      <w:pPr>
        <w:pStyle w:val="BodyText"/>
      </w:pPr>
      <w:r>
        <w:t xml:space="preserve">Qadir, A., Mondal, P., Huete, A., 2022. Evaluating a paddy rice extent and planted area map for South Asia using Sentinel-1 SAR data for 2017–2018.</w:t>
      </w:r>
      <w:r>
        <w:t xml:space="preserve"> </w:t>
      </w:r>
      <w:r>
        <w:rPr>
          <w:i/>
          <w:iCs/>
        </w:rPr>
        <w:t xml:space="preserve">GeoHealth</w:t>
      </w:r>
      <w:r>
        <w:t xml:space="preserve"> </w:t>
      </w:r>
      <w:r>
        <w:t xml:space="preserve">6, e2021GH000580. https://doi.org/10.1002/rse2.257</w:t>
      </w:r>
    </w:p>
    <w:p>
      <w:pPr>
        <w:pStyle w:val="BodyText"/>
      </w:pPr>
      <w:r>
        <w:t xml:space="preserve">R Core Team, 2024.</w:t>
      </w:r>
      <w:r>
        <w:t xml:space="preserve"> </w:t>
      </w:r>
      <w:r>
        <w:rPr>
          <w:i/>
          <w:iCs/>
        </w:rPr>
        <w:t xml:space="preserve">R: A Language and Environment for Statistical Computing</w:t>
      </w:r>
      <w:r>
        <w:t xml:space="preserve">. R Foundation for Statistical Computing, Vienna, Austria. https://www.r-project.org</w:t>
      </w:r>
    </w:p>
    <w:p>
      <w:pPr>
        <w:pStyle w:val="BodyText"/>
      </w:pPr>
      <w:r>
        <w:t xml:space="preserve">Ramadhani, F., Pullanagari, R., Kereszturi, G., Procter, J., 2020. Automatic mapping of rice growth stages using the integration of SENTINEL-2, MOD13Q1, and SENTINEL-1.</w:t>
      </w:r>
      <w:r>
        <w:t xml:space="preserve"> </w:t>
      </w:r>
      <w:r>
        <w:rPr>
          <w:i/>
          <w:iCs/>
        </w:rPr>
        <w:t xml:space="preserve">Remote Sensing</w:t>
      </w:r>
      <w:r>
        <w:t xml:space="preserve"> </w:t>
      </w:r>
      <w:r>
        <w:t xml:space="preserve">12, 3613. https://doi.org/10.3390/rs12213613</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Wickham, H., 2016.</w:t>
      </w:r>
      <w:r>
        <w:t xml:space="preserve"> </w:t>
      </w:r>
      <w:r>
        <w:rPr>
          <w:i/>
          <w:iCs/>
        </w:rPr>
        <w:t xml:space="preserve">ggplot2: Elegant Graphics for Data Analysis</w:t>
      </w:r>
      <w:r>
        <w:t xml:space="preserve">, 2nd edn. Springer, New York. https://doi.org/10.1007/978-3-319-24277-4</w:t>
      </w:r>
    </w:p>
    <w:p>
      <w:pPr>
        <w:pStyle w:val="BodyText"/>
      </w:pPr>
      <w:r>
        <w:t xml:space="preserve">Wu, Q., 2020. geemap: A Python package for interactive mapping with Google Earth Engine.</w:t>
      </w:r>
      <w:r>
        <w:t xml:space="preserve"> </w:t>
      </w:r>
      <w:r>
        <w:rPr>
          <w:i/>
          <w:iCs/>
        </w:rPr>
        <w:t xml:space="preserve">Journal of Open Source Software</w:t>
      </w:r>
      <w:r>
        <w:t xml:space="preserve"> </w:t>
      </w:r>
      <w:r>
        <w:t xml:space="preserve">5, 2272. https://doi.org/10.21105/joss.02272</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Yang, J., Hu, Q., Li, W., Song, Q., Cai, Z., Zhang, X., Wei, H., Wu, W., 2024. An automated sample generation method by integrating phenology domain optical-SAR features in rice cropping pattern mapping.</w:t>
      </w:r>
      <w:r>
        <w:t xml:space="preserve"> </w:t>
      </w:r>
      <w:r>
        <w:rPr>
          <w:i/>
          <w:iCs/>
        </w:rPr>
        <w:t xml:space="preserve">Remote Sensing of Environment</w:t>
      </w:r>
      <w:r>
        <w:t xml:space="preserve"> </w:t>
      </w:r>
      <w:r>
        <w:t xml:space="preserve">314, 114387. https://doi.org/10.1016/j.rse.2024.114387</w:t>
      </w:r>
    </w:p>
    <w:p>
      <w:pPr>
        <w:pStyle w:val="BodyText"/>
      </w:pPr>
      <w:r>
        <w:t xml:space="preserve">Yang, S., 2025. Rice-SamPheno: semantic-aware multi-phase phenology recognition from Sentinel-1/2 time series.</w:t>
      </w:r>
      <w:r>
        <w:t xml:space="preserve"> </w:t>
      </w:r>
      <w:r>
        <w:rPr>
          <w:i/>
          <w:iCs/>
        </w:rPr>
        <w:t xml:space="preserve">IEEE Journal of Selected Topics in Applied Earth Observations and Remote Sensing</w:t>
      </w:r>
      <w:r>
        <w:t xml:space="preserve"> </w:t>
      </w:r>
      <w:r>
        <w:t xml:space="preserve">[early access]. https://doi.org/10.1109/JSTARS.2025.3599728</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pPr>
        <w:pStyle w:val="BodyText"/>
      </w:pPr>
      <w:r>
        <w:t xml:space="preserve">Zhao, W., Qu, Y., Zhang, L., Li, K., 2022. Spatial-aware SAR-optical time-series deep integration for crop phenology tracking.</w:t>
      </w:r>
      <w:r>
        <w:t xml:space="preserve"> </w:t>
      </w:r>
      <w:r>
        <w:rPr>
          <w:i/>
          <w:iCs/>
        </w:rPr>
        <w:t xml:space="preserve">Remote Sensing of Environment</w:t>
      </w:r>
      <w:r>
        <w:t xml:space="preserve"> </w:t>
      </w:r>
      <w:r>
        <w:t xml:space="preserve">276, 113046. https://doi.org/10.1016/j.rse.2022.113046</w:t>
      </w:r>
    </w:p>
    <w:p>
      <w:pPr>
        <w:pStyle w:val="BodyText"/>
      </w:pPr>
      <w:r>
        <w:t xml:space="preserve">Zhao, Z., Dong, J., Zhang, G., Yang, J., Liu, R., Wu, B., Xiao, X., 2024. Improved phenology-based rice mapping algorithm by integrating optical and radar data.</w:t>
      </w:r>
      <w:r>
        <w:t xml:space="preserve"> </w:t>
      </w:r>
      <w:r>
        <w:rPr>
          <w:i/>
          <w:iCs/>
        </w:rPr>
        <w:t xml:space="preserve">Remote Sensing of Environment</w:t>
      </w:r>
      <w:r>
        <w:t xml:space="preserve"> </w:t>
      </w:r>
      <w:r>
        <w:t xml:space="preserve">315, 114460. https://doi.org/10.1016/j.rse.2024.114460</w:t>
      </w:r>
    </w:p>
    <w:p>
      <w:r>
        <w:pict>
          <v:rect style="width:0;height:1.5pt" o:hralign="center" o:hrstd="t" o:hr="t"/>
        </w:pict>
      </w:r>
    </w:p>
    <w:p>
      <w:pPr>
        <w:pStyle w:val="FirstParagraph"/>
      </w:pPr>
      <w:r>
        <w:rPr>
          <w:i/>
          <w:iCs/>
        </w:rPr>
        <w:t xml:space="preserve">End of manuscript draft (v1.0.0-rc1-real-data, 2026-06-02). All empirical numbers in this draft are estimated from the real Sentinel-2 phenology panel (n = 192 district-year-metric observations across 8 coastal/inland Odisha districts, 2017–2024). Three v1 limitations — monthly quantisation, raw == corrected pending classifier, and EOS sparsity — are flagged in the v1 Provenance note below the Abstract and recur as italicised limitation notes in the affected Results subsections. Classifier-dependent quantities are tagged</w:t>
      </w:r>
      <w:r>
        <w:rPr>
          <w:i/>
          <w:iCs/>
        </w:rPr>
        <w:t xml:space="preserve"> </w:t>
      </w:r>
      <w:r>
        <w:rPr>
          <w:i/>
          <w:iCs/>
        </w:rPr>
        <w:t xml:space="preserve">“</w:t>
      </w:r>
      <w:r>
        <w:rPr>
          <w:i/>
          <w:iCs/>
        </w:rPr>
        <w:t xml:space="preserve">v2 — pending classifier</w:t>
      </w:r>
      <w:r>
        <w:rPr>
          <w:i/>
          <w:iCs/>
        </w:rPr>
        <w:t xml:space="preserve">”</w:t>
      </w:r>
      <w:r>
        <w:rPr>
          <w:i/>
          <w:iCs/>
        </w:rPr>
        <w:t xml:space="preserve"> </w:t>
      </w:r>
      <w:r>
        <w:rPr>
          <w:i/>
          <w:iCs/>
        </w:rPr>
        <w:t xml:space="preserve">rather than estimated from synthetic labels. Author names, affiliations, ORCID identifiers, OSF registration ID (c4mp8), GitHub repository URL, and Zenodo concept DOI are filled in §6 and the title block.</w:t>
      </w:r>
    </w:p>
    <w:bookmarkEnd w:id="70"/>
    <w:bookmarkEnd w:id="7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40" w:lineRule="auto"/>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vdsa.icrisat.org" TargetMode="External" /><Relationship Type="http://schemas.openxmlformats.org/officeDocument/2006/relationships/hyperlink" Id="rId68" Target="https://data.gov.in" TargetMode="External" /><Relationship Type="http://schemas.openxmlformats.org/officeDocument/2006/relationships/hyperlink" Id="rId65" Target="https://doi.org/10.5281/zenodo.20024578" TargetMode="External" /><Relationship Type="http://schemas.openxmlformats.org/officeDocument/2006/relationships/hyperlink" Id="rId66" Target="https://doi.org/10.5281/zenodo.20024579" TargetMode="External" /></Relationships>
</file>

<file path=word/_rels/footnotes.xml.rels><?xml version="1.0" encoding="UTF-8"?><Relationships xmlns="http://schemas.openxmlformats.org/package/2006/relationships"><Relationship Type="http://schemas.openxmlformats.org/officeDocument/2006/relationships/hyperlink" Id="rId28" Target="http://vdsa.icrisat.org" TargetMode="External" /><Relationship Type="http://schemas.openxmlformats.org/officeDocument/2006/relationships/hyperlink" Id="rId68" Target="https://data.gov.in" TargetMode="External" /><Relationship Type="http://schemas.openxmlformats.org/officeDocument/2006/relationships/hyperlink" Id="rId65" Target="https://doi.org/10.5281/zenodo.20024578" TargetMode="External" /><Relationship Type="http://schemas.openxmlformats.org/officeDocument/2006/relationships/hyperlink" Id="rId66" Target="https://doi.org/10.5281/zenodo.200245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2026-06-02T11:14:02Z</dcterms:created>
  <dcterms:modified xsi:type="dcterms:W3CDTF">2026-06-02T11:14:02Z</dcterms:modified>
</cp:coreProperties>
</file>

<file path=docProps/custom.xml><?xml version="1.0" encoding="utf-8"?>
<Properties xmlns="http://schemas.openxmlformats.org/officeDocument/2006/custom-properties" xmlns:vt="http://schemas.openxmlformats.org/officeDocument/2006/docPropsVTypes"/>
</file>