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sz w:val="20"/>
        </w:rPr>
        <w:t xml:space="preserve">Table 1. </w:t>
      </w:r>
      <w:r>
        <w:rPr>
          <w:sz w:val="20"/>
        </w:rPr>
        <w:t>Tropical cyclone events affecting the coastal Odisha study area, 2019–2021. ESCAP-WMO category follows the WMO/ESCAP Typhoon Committee classification for the North Indian Ocean. Surge height estimates are based on IMD post-landfall damage reports.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 w:val="true"/>
        </w:trPr>
        <w:tc>
          <w:tcPr>
            <w:tcW w:type="dxa" w:w="1368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Cyclone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Landfall Date</w:t>
            </w:r>
          </w:p>
        </w:tc>
        <w:tc>
          <w:tcPr>
            <w:tcW w:type="dxa" w:w="1656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Peak 3-min Wind (km h⁻¹)</w:t>
            </w:r>
          </w:p>
        </w:tc>
        <w:tc>
          <w:tcPr>
            <w:tcW w:type="dxa" w:w="2808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ESCAP-WMO Category</w:t>
            </w:r>
          </w:p>
        </w:tc>
        <w:tc>
          <w:tcPr>
            <w:tcW w:type="dxa" w:w="2232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District of Landfall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Approx. Surge Height (m)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Fani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3 May 2019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215 (peak) / 185 (landfall)</w:t>
            </w:r>
          </w:p>
        </w:tc>
        <w:tc>
          <w:tcPr>
            <w:tcW w:type="dxa" w:w="28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Extremely Severe Cyclonic Storm (ESCS)</w:t>
            </w:r>
          </w:p>
        </w:tc>
        <w:tc>
          <w:tcPr>
            <w:tcW w:type="dxa" w:w="223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Puri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1.0–1.5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Amphan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20 May 2020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240 (peak) / 155–165 (landfall)</w:t>
            </w:r>
          </w:p>
        </w:tc>
        <w:tc>
          <w:tcPr>
            <w:tcW w:type="dxa" w:w="28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Super Cyclonic Storm (SuCS)</w:t>
            </w:r>
          </w:p>
        </w:tc>
        <w:tc>
          <w:tcPr>
            <w:tcW w:type="dxa" w:w="223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Bakkhali, West Bengal (Sundarbans)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1.5–2.0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Yaas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26 May 2021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140 (peak, gusting to 155)</w:t>
            </w:r>
          </w:p>
        </w:tc>
        <w:tc>
          <w:tcPr>
            <w:tcW w:type="dxa" w:w="28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Very Severe Cyclonic Storm (VSCS)</w:t>
            </w:r>
          </w:p>
        </w:tc>
        <w:tc>
          <w:tcPr>
            <w:tcW w:type="dxa" w:w="223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Balasore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1.0–2.0</w:t>
            </w:r>
          </w:p>
        </w:tc>
      </w:tr>
    </w:tbl>
    <w:p/>
    <w:p>
      <w:r>
        <w:rPr>
          <w:i/>
          <w:sz w:val="16"/>
        </w:rPr>
        <w:t>Source: see manuscript §2.2–2.3 for full provenance. Identical to the inline Table appearing in the main manuscript file.</w:t>
      </w:r>
    </w:p>
    <w:sectPr w:rsidR="00FC693F" w:rsidRPr="0006063C" w:rsidSect="00034616">
      <w:pgSz w:w="16834" w:h="1190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