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v1.0.1-submission)</w:t>
        <w:br/>
        <w:t>Concept DOI: 10.5281/zenodo.20024578; v1.0.1-submission DOI: 10.5281/zenodo.20587316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v1.0.1-submission. As of this build date (2026-06-08) the repository is running on:</w:t>
      </w:r>
    </w:p>
    <w:p>
      <w:pPr>
        <w:pStyle w:val="ListBullet"/>
        <w:spacing w:lineRule="auto" w:line="480"/>
        <w:jc w:val="both"/>
      </w:pPr>
      <w:r>
        <w:rPr>
          <w:rFonts w:ascii="Arial" w:hAnsi="Arial"/>
          <w:sz w:val="20"/>
        </w:rPr>
        <w:t>Real Sentinel-1+2 BACI panel v2.1 (analysis/baci_panel_real_v21.csv) — derived from the Module 02 v0.3.0 saline-flood classifier applied to the 8-district × 8-year Kharif phenology retrieval, with the raw and v2.1-corrected SOS/POS/EOS dates feeding the TWFE-DiD specification (Eq. 4). Drives Tables S1 (DiD static), S2 (pre-trends), S4 (wild-cluster bootstrap), S5 (LOO jackknife), S6 (MDE / power), S7 (in-space permutation placebo), and S13a (per-cell correction summary); the GEE retrieval that produced the corrected dates is reproducible from the v1.0.1-submission release of the RiceBaCI-GEE repository (Mendeley DOI 10.17632/z3zxk4xy3c.1, Zenodo DOI 10.5281/zenodo.20587316). No synthetic panel is used in the submitted analysis; the v0 synthetic harness (`synthetic_baci_panel.py`) is retained in the repository only as a fast (&lt;60 s) end-to-end smoke test for the run_all.sh harness and never enters any reported result.</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jc w:val="center"/>
      </w:pPr>
      <w:r>
        <w:drawing>
          <wp:inline xmlns:a="http://schemas.openxmlformats.org/drawingml/2006/main" xmlns:pic="http://schemas.openxmlformats.org/drawingml/2006/picture">
            <wp:extent cx="5760000" cy="2311416"/>
            <wp:docPr id="5" name="Picture 5"/>
            <wp:cNvGraphicFramePr>
              <a:graphicFrameLocks noChangeAspect="1"/>
            </wp:cNvGraphicFramePr>
            <a:graphic>
              <a:graphicData uri="http://schemas.openxmlformats.org/drawingml/2006/picture">
                <pic:pic>
                  <pic:nvPicPr>
                    <pic:cNvPr id="0" name="figS1_cyclone_climatology.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jc w:val="center"/>
      </w:pPr>
      <w:r>
        <w:drawing>
          <wp:inline xmlns:a="http://schemas.openxmlformats.org/drawingml/2006/main" xmlns:pic="http://schemas.openxmlformats.org/drawingml/2006/picture">
            <wp:extent cx="5040000" cy="4770481"/>
            <wp:docPr id="6" name="Picture 6"/>
            <wp:cNvGraphicFramePr>
              <a:graphicFrameLocks noChangeAspect="1"/>
            </wp:cNvGraphicFramePr>
            <a:graphic>
              <a:graphicData uri="http://schemas.openxmlformats.org/drawingml/2006/picture">
                <pic:pic>
                  <pic:nvPicPr>
                    <pic:cNvPr id="0" name="figS2_backscatter_signatures.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v1.0.1-submission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Table S10	MCD12Q2 per-district reconciliation</w:t>
      </w:r>
    </w:p>
    <w:p>
      <w:pPr>
        <w:tabs>
          <w:tab w:pos="2268" w:val="left"/>
        </w:tabs>
        <w:spacing w:after="40" w:line="276" w:lineRule="auto"/>
        <w:jc w:val="both"/>
      </w:pPr>
      <w:r>
        <w:rPr>
          <w:rFonts w:ascii="Arial" w:hAnsi="Arial"/>
          <w:b/>
          <w:sz w:val="20"/>
        </w:rPr>
        <w:t>Table S11	ICRISAT VDSA Bhadrak reconciliation</w:t>
      </w:r>
    </w:p>
    <w:p>
      <w:pPr>
        <w:tabs>
          <w:tab w:pos="2268" w:val="left"/>
        </w:tabs>
        <w:spacing w:after="40" w:line="276" w:lineRule="auto"/>
        <w:jc w:val="both"/>
      </w:pPr>
      <w:r>
        <w:rPr>
          <w:rFonts w:ascii="Arial" w:hAnsi="Arial"/>
          <w:b/>
          <w:sz w:val="20"/>
        </w:rPr>
        <w:t>Table S12	District yield-anomaly correlation cross-check</w:t>
      </w:r>
    </w:p>
    <w:p>
      <w:pPr>
        <w:tabs>
          <w:tab w:pos="2268" w:val="left"/>
        </w:tabs>
        <w:spacing w:after="40" w:line="276" w:lineRule="auto"/>
        <w:jc w:val="both"/>
      </w:pPr>
      <w:r>
        <w:rPr>
          <w:rFonts w:ascii="Arial" w:hAnsi="Arial"/>
          <w:b/>
          <w:sz w:val="20"/>
        </w:rPr>
        <w:t>Table S13a	Odisha per-district cyclone-flood pixel share</w:t>
      </w:r>
    </w:p>
    <w:p>
      <w:pPr>
        <w:tabs>
          <w:tab w:pos="2268" w:val="left"/>
        </w:tabs>
        <w:spacing w:after="40" w:line="276" w:lineRule="auto"/>
        <w:jc w:val="both"/>
      </w:pPr>
      <w:r>
        <w:rPr>
          <w:rFonts w:ascii="Arial" w:hAnsi="Arial"/>
          <w:b/>
          <w:sz w:val="20"/>
        </w:rPr>
        <w:t>Table S13b	Hudhud (Andhra Pradesh) transferability</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spacing w:before="0" w:after="120" w:line="276" w:lineRule="auto"/>
      </w:pPr>
      <w:r>
        <w:rPr>
          <w:rFonts w:ascii="Arial" w:hAnsi="Arial"/>
          <w:i/>
          <w:sz w:val="19"/>
          <w:szCs w:val="19"/>
          <w:color w:val="595959"/>
        </w:rPr>
        <w:t xml:space="preserve">Abbreviations: PI = Prediction Interval.</w:t>
      </w:r>
    </w:p>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spacing w:before="0" w:after="120" w:line="276" w:lineRule="auto"/>
      </w:pPr>
      <w:r>
        <w:rPr>
          <w:rFonts w:ascii="Arial" w:hAnsi="Arial"/>
          <w:i/>
          <w:sz w:val="19"/>
          <w:szCs w:val="19"/>
          <w:color w:val="595959"/>
        </w:rPr>
        <w:t xml:space="preserve">Abbreviations: DOY = Day-Of-Year.</w:t>
      </w:r>
    </w:p>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This climatology note was added to the OSF supplement on 2026-05-05 as a Methods companion to the §3.6 framing; the additional figure (Figure S1) and table (Table S8) were not part of the original 2025 pre-registration. Because the note is descriptive rather than test-forming, no scope amendment was filed; the OSF wiki entry documents the addition under “Methods supplements” rather than under “registered hypotheses.”</w:t>
      </w:r>
      <w:r>
        <w:rPr>
          <w:rFonts w:ascii="Arial" w:hAnsi="Arial"/>
          <w:sz w:val="20"/>
        </w:rPr>
      </w:r>
      <w:r>
        <w:rPr>
          <w:rFonts w:ascii="Arial" w:hAnsi="Arial"/>
          <w:b/>
          <w:bCs/>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spacing w:before="0" w:after="120" w:line="276" w:lineRule="auto"/>
      </w:pPr>
      <w:r>
        <w:rPr>
          <w:rFonts w:ascii="Arial" w:hAnsi="Arial"/>
          <w:i/>
          <w:sz w:val="19"/>
          <w:szCs w:val="19"/>
          <w:color w:val="595959"/>
        </w:rPr>
        <w:t xml:space="preserve">Abbreviations: CR = Cross-Ratio (VH − VV in dB); ERA5 = ECMWF Reanalysis v5; GRD = Ground Range Detected; GSW = Global Surface Water; IW = Interferometric Wide swath; JRC = Joint Research Centre (European Commission); LSWI = Land Surface Water Index; NDWI = Normalised Difference Water Index; VH = Vertical-transmit Horizontal-receive polarisation; VV = Vertical-transmit Vertical-receive polarisation.</w:t>
      </w:r>
    </w:p>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spacing w:before="0" w:after="120" w:line="276" w:lineRule="auto"/>
      </w:pPr>
      <w:r>
        <w:rPr>
          <w:rFonts w:ascii="Arial" w:hAnsi="Arial"/>
          <w:i/>
          <w:sz w:val="19"/>
          <w:szCs w:val="19"/>
          <w:color w:val="595959"/>
        </w:rPr>
        <w:t xml:space="preserve">Abbreviations: VH = Vertical-transmit Horizontal-receive polarisation.</w:t>
      </w:r>
    </w:p>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 xml:space="preserve">Table S1.  Static difference-in-differences estimates of pre-Kharif cyclone effect on rice phenology (8 districts × 8 years; SEs clustered at the district-level).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 WCR = Wild-Cluster Restricted (bootstrap).</w:t>
      </w:r>
    </w:p>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before="0" w:after="120" w:line="276" w:lineRule="auto"/>
      </w:pPr>
      <w:r>
        <w:rPr>
          <w:rFonts w:ascii="Arial" w:hAnsi="Arial"/>
          <w:i/>
          <w:sz w:val="19"/>
          <w:szCs w:val="19"/>
          <w:color w:val="595959"/>
        </w:rPr>
        <w:t xml:space="preserve">Abbreviations: EOS = End-Of-Season; LOO = Leave-One-Out; POS = Peak-Of-Season; SOS = Start-Of-Season.</w:t>
      </w:r>
    </w:p>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r>
              <w:t>raw</w:t>
            </w:r>
          </w:p>
        </w:tc>
        <w:tc>
          <w:tcPr>
            <w:tcW w:type="dxa" w:w="1080"/>
          </w:tcPr>
          <w:p>
            <w:r>
              <w:t>SOS</w:t>
            </w:r>
          </w:p>
        </w:tc>
        <w:tc>
          <w:tcPr>
            <w:tcW w:type="dxa" w:w="1080"/>
          </w:tcPr>
          <w:p>
            <w:r>
              <w:t>+15.289</w:t>
            </w:r>
          </w:p>
        </w:tc>
        <w:tc>
          <w:tcPr>
            <w:tcW w:type="dxa" w:w="1080"/>
          </w:tcPr>
          <w:p>
            <w:r>
              <w:t>17.328</w:t>
            </w:r>
          </w:p>
        </w:tc>
        <w:tc>
          <w:tcPr>
            <w:tcW w:type="dxa" w:w="1080"/>
          </w:tcPr>
          <w:p>
            <w:r>
              <w:t>56.501</w:t>
            </w:r>
          </w:p>
        </w:tc>
        <w:tc>
          <w:tcPr>
            <w:tcW w:type="dxa" w:w="1080"/>
          </w:tcPr>
          <w:p>
            <w:r>
              <w:t>48.356</w:t>
            </w:r>
          </w:p>
        </w:tc>
        <w:tc>
          <w:tcPr>
            <w:tcW w:type="dxa" w:w="1080"/>
          </w:tcPr>
          <w:p>
            <w:r>
              <w:t>0.27</w:t>
            </w:r>
          </w:p>
        </w:tc>
        <w:tc>
          <w:tcPr>
            <w:tcW w:type="dxa" w:w="1080"/>
          </w:tcPr>
          <w:p>
            <w:r>
              <w:t>no</w:t>
            </w:r>
          </w:p>
        </w:tc>
      </w:tr>
      <w:tr>
        <w:tc>
          <w:tcPr>
            <w:tcW w:type="dxa" w:w="1080"/>
          </w:tcPr>
          <w:p>
            <w:r>
              <w:t>raw</w:t>
            </w:r>
          </w:p>
        </w:tc>
        <w:tc>
          <w:tcPr>
            <w:tcW w:type="dxa" w:w="1080"/>
          </w:tcPr>
          <w:p>
            <w:r>
              <w:t>POS</w:t>
            </w:r>
          </w:p>
        </w:tc>
        <w:tc>
          <w:tcPr>
            <w:tcW w:type="dxa" w:w="1080"/>
          </w:tcPr>
          <w:p>
            <w:r>
              <w:t>-3.587</w:t>
            </w:r>
          </w:p>
        </w:tc>
        <w:tc>
          <w:tcPr>
            <w:tcW w:type="dxa" w:w="1080"/>
          </w:tcPr>
          <w:p>
            <w:r>
              <w:t>2.882</w:t>
            </w:r>
          </w:p>
        </w:tc>
        <w:tc>
          <w:tcPr>
            <w:tcW w:type="dxa" w:w="1080"/>
          </w:tcPr>
          <w:p>
            <w:r>
              <w:t>9.397</w:t>
            </w:r>
          </w:p>
        </w:tc>
        <w:tc>
          <w:tcPr>
            <w:tcW w:type="dxa" w:w="1080"/>
          </w:tcPr>
          <w:p>
            <w:r>
              <w:t>8.043</w:t>
            </w:r>
          </w:p>
        </w:tc>
        <w:tc>
          <w:tcPr>
            <w:tcW w:type="dxa" w:w="1080"/>
          </w:tcPr>
          <w:p>
            <w:r>
              <w:t>0.38</w:t>
            </w:r>
          </w:p>
        </w:tc>
        <w:tc>
          <w:tcPr>
            <w:tcW w:type="dxa" w:w="1080"/>
          </w:tcPr>
          <w:p>
            <w:r>
              <w:t>no</w:t>
            </w:r>
          </w:p>
        </w:tc>
      </w:tr>
      <w:tr>
        <w:tc>
          <w:tcPr>
            <w:tcW w:type="dxa" w:w="1080"/>
          </w:tcPr>
          <w:p>
            <w:r>
              <w:t>raw</w:t>
            </w:r>
          </w:p>
        </w:tc>
        <w:tc>
          <w:tcPr>
            <w:tcW w:type="dxa" w:w="1080"/>
          </w:tcPr>
          <w:p>
            <w:r>
              <w:t>EOS</w:t>
            </w:r>
          </w:p>
        </w:tc>
        <w:tc>
          <w:tcPr>
            <w:tcW w:type="dxa" w:w="1080"/>
          </w:tcPr>
          <w:p>
            <w:r>
              <w:t>-0.000</w:t>
            </w:r>
          </w:p>
        </w:tc>
        <w:tc>
          <w:tcPr>
            <w:tcW w:type="dxa" w:w="1080"/>
          </w:tcPr>
          <w:p>
            <w:r>
              <w:t>0.000</w:t>
            </w:r>
          </w:p>
        </w:tc>
        <w:tc>
          <w:tcPr>
            <w:tcW w:type="dxa" w:w="1080"/>
          </w:tcPr>
          <w:p>
            <w:r>
              <w:t>0.000</w:t>
            </w:r>
          </w:p>
        </w:tc>
        <w:tc>
          <w:tcPr>
            <w:tcW w:type="dxa" w:w="1080"/>
          </w:tcPr>
          <w:p>
            <w:r>
              <w:t>0.000</w:t>
            </w:r>
          </w:p>
        </w:tc>
        <w:tc>
          <w:tcPr>
            <w:tcW w:type="dxa" w:w="1080"/>
          </w:tcPr>
          <w:p>
            <w:r>
              <w:t>0.00</w:t>
            </w:r>
          </w:p>
        </w:tc>
        <w:tc>
          <w:tcPr>
            <w:tcW w:type="dxa" w:w="1080"/>
          </w:tcPr>
          <w:p>
            <w:r>
              <w:t>no</w:t>
            </w:r>
          </w:p>
        </w:tc>
      </w:tr>
      <w:tr>
        <w:tc>
          <w:tcPr>
            <w:tcW w:type="dxa" w:w="1080"/>
          </w:tcPr>
          <w:p>
            <w:r>
              <w:t>corrected</w:t>
            </w:r>
          </w:p>
        </w:tc>
        <w:tc>
          <w:tcPr>
            <w:tcW w:type="dxa" w:w="1080"/>
          </w:tcPr>
          <w:p>
            <w:r>
              <w:t>SOS</w:t>
            </w:r>
          </w:p>
        </w:tc>
        <w:tc>
          <w:tcPr>
            <w:tcW w:type="dxa" w:w="1080"/>
          </w:tcPr>
          <w:p>
            <w:r>
              <w:t>+15.108</w:t>
            </w:r>
          </w:p>
        </w:tc>
        <w:tc>
          <w:tcPr>
            <w:tcW w:type="dxa" w:w="1080"/>
          </w:tcPr>
          <w:p>
            <w:r>
              <w:t>17.312</w:t>
            </w:r>
          </w:p>
        </w:tc>
        <w:tc>
          <w:tcPr>
            <w:tcW w:type="dxa" w:w="1080"/>
          </w:tcPr>
          <w:p>
            <w:r>
              <w:t>56.448</w:t>
            </w:r>
          </w:p>
        </w:tc>
        <w:tc>
          <w:tcPr>
            <w:tcW w:type="dxa" w:w="1080"/>
          </w:tcPr>
          <w:p>
            <w:r>
              <w:t>48.311</w:t>
            </w:r>
          </w:p>
        </w:tc>
        <w:tc>
          <w:tcPr>
            <w:tcW w:type="dxa" w:w="1080"/>
          </w:tcPr>
          <w:p>
            <w:r>
              <w:t>0.27</w:t>
            </w:r>
          </w:p>
        </w:tc>
        <w:tc>
          <w:tcPr>
            <w:tcW w:type="dxa" w:w="1080"/>
          </w:tcPr>
          <w:p>
            <w:r>
              <w:t>no</w:t>
            </w:r>
          </w:p>
        </w:tc>
      </w:tr>
      <w:tr>
        <w:tc>
          <w:tcPr>
            <w:tcW w:type="dxa" w:w="1080"/>
          </w:tcPr>
          <w:p>
            <w:r>
              <w:t>corrected</w:t>
            </w:r>
          </w:p>
        </w:tc>
        <w:tc>
          <w:tcPr>
            <w:tcW w:type="dxa" w:w="1080"/>
          </w:tcPr>
          <w:p>
            <w:r>
              <w:t>POS</w:t>
            </w:r>
          </w:p>
        </w:tc>
        <w:tc>
          <w:tcPr>
            <w:tcW w:type="dxa" w:w="1080"/>
          </w:tcPr>
          <w:p>
            <w:r>
              <w:t>-3.677</w:t>
            </w:r>
          </w:p>
        </w:tc>
        <w:tc>
          <w:tcPr>
            <w:tcW w:type="dxa" w:w="1080"/>
          </w:tcPr>
          <w:p>
            <w:r>
              <w:t>2.897</w:t>
            </w:r>
          </w:p>
        </w:tc>
        <w:tc>
          <w:tcPr>
            <w:tcW w:type="dxa" w:w="1080"/>
          </w:tcPr>
          <w:p>
            <w:r>
              <w:t>9.446</w:t>
            </w:r>
          </w:p>
        </w:tc>
        <w:tc>
          <w:tcPr>
            <w:tcW w:type="dxa" w:w="1080"/>
          </w:tcPr>
          <w:p>
            <w:r>
              <w:t>8.084</w:t>
            </w:r>
          </w:p>
        </w:tc>
        <w:tc>
          <w:tcPr>
            <w:tcW w:type="dxa" w:w="1080"/>
          </w:tcPr>
          <w:p>
            <w:r>
              <w:t>0.39</w:t>
            </w:r>
          </w:p>
        </w:tc>
        <w:tc>
          <w:tcPr>
            <w:tcW w:type="dxa" w:w="1080"/>
          </w:tcPr>
          <w:p>
            <w:r>
              <w:t>no</w:t>
            </w:r>
          </w:p>
        </w:tc>
      </w:tr>
      <w:tr>
        <w:tc>
          <w:tcPr>
            <w:tcW w:type="dxa" w:w="1080"/>
          </w:tcPr>
          <w:p>
            <w:r>
              <w:t>corrected</w:t>
            </w:r>
          </w:p>
        </w:tc>
        <w:tc>
          <w:tcPr>
            <w:tcW w:type="dxa" w:w="1080"/>
          </w:tcPr>
          <w:p>
            <w:r>
              <w:t>EOS</w:t>
            </w:r>
          </w:p>
        </w:tc>
        <w:tc>
          <w:tcPr>
            <w:tcW w:type="dxa" w:w="1080"/>
          </w:tcPr>
          <w:p>
            <w:r>
              <w:t>-0.239</w:t>
            </w:r>
          </w:p>
        </w:tc>
        <w:tc>
          <w:tcPr>
            <w:tcW w:type="dxa" w:w="1080"/>
          </w:tcPr>
          <w:p>
            <w:r>
              <w:t>0.169</w:t>
            </w:r>
          </w:p>
        </w:tc>
        <w:tc>
          <w:tcPr>
            <w:tcW w:type="dxa" w:w="1080"/>
          </w:tcPr>
          <w:p>
            <w:r>
              <w:t>0.551</w:t>
            </w:r>
          </w:p>
        </w:tc>
        <w:tc>
          <w:tcPr>
            <w:tcW w:type="dxa" w:w="1080"/>
          </w:tcPr>
          <w:p>
            <w:r>
              <w:t>0.472</w:t>
            </w:r>
          </w:p>
        </w:tc>
        <w:tc>
          <w:tcPr>
            <w:tcW w:type="dxa" w:w="1080"/>
          </w:tcPr>
          <w:p>
            <w:r>
              <w:t>0.43</w:t>
            </w:r>
          </w:p>
        </w:tc>
        <w:tc>
          <w:tcPr>
            <w:tcW w:type="dxa" w:w="1080"/>
          </w:tcPr>
          <w:p>
            <w:r>
              <w:t>no</w:t>
            </w:r>
          </w:p>
        </w:tc>
      </w:tr>
    </w:tbl>
    <w:p>
      <w:pPr>
        <w:spacing w:before="0" w:after="120" w:line="276" w:lineRule="auto"/>
      </w:pPr>
      <w:r>
        <w:rPr>
          <w:rFonts w:ascii="Arial" w:hAnsi="Arial"/>
          <w:i/>
          <w:sz w:val="19"/>
          <w:szCs w:val="19"/>
          <w:color w:val="595959"/>
        </w:rPr>
        <w:t xml:space="preserve">Abbreviations: EOS = End-Of-Season; MDE = Minimum Detectable Effect; POS = Peak-Of-Season; SOS = Start-Of-Season.</w:t>
      </w:r>
    </w:p>
    <w:p>
      <w:pPr>
        <w:spacing w:lineRule="auto" w:line="480"/>
        <w:jc w:val="both"/>
      </w:pPr>
      <w:r>
        <w:rPr>
          <w:rFonts w:ascii="Arial" w:hAnsi="Arial"/>
          <w:sz w:val="18"/>
        </w:rPr>
        <w:t>Notes. MDE = (t_{α/2,G−1} + t_{1−β,G−1}) × SE. At G = 8, t_{0.025,7} = 2.365 and t_{0.80,7} = 0.896, so the multiplier is 3.261. On the real v2.1 panel none of the six (pipeline×metric) cells is detectable at α = 0.05, power = 0.80, df = 7: |τ̂|/MDE ranges from 0.27 (raw/SOS) to 0.43 (corrected/EOS). This formal underpowering result is the post-hoc complement to the wild-cluster bootstrap null findings in Table S4 — both diagnostics point to the same conclusion that G = 8 is insufficient to reject H0: τ = 0 at conventional thresholds, and the corrected/EOS cell has the smallest absolute coefficient as well as the smallest |τ̂|/MDE ratio.</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before="0" w:after="120" w:line="276" w:lineRule="auto"/>
      </w:pPr>
      <w:r>
        <w:rPr>
          <w:rFonts w:ascii="Arial" w:hAnsi="Arial"/>
          <w:i/>
          <w:sz w:val="19"/>
          <w:szCs w:val="19"/>
          <w:color w:val="595959"/>
        </w:rPr>
        <w:t xml:space="preserve">Abbreviations: DOY = Day-Of-Year; ESCS = Extremely Severe Cyclonic Storm; IMD = India Meteorological Department; VSCS = Very Severe Cyclonic Storm.</w:t>
      </w:r>
    </w:p>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before="0" w:after="120" w:line="276" w:lineRule="auto"/>
      </w:pPr>
      <w:r>
        <w:rPr>
          <w:rFonts w:ascii="Arial" w:hAnsi="Arial"/>
          <w:i/>
          <w:sz w:val="19"/>
          <w:szCs w:val="19"/>
          <w:color w:val="595959"/>
        </w:rPr>
        <w:t xml:space="preserve">Abbreviations: CR = Cross-Ratio (VH − VV in dB); DOY = Day-Of-Year; VH = Vertical-transmit Horizontal-receive polarisation; VV = Vertical-transmit Vertical-receive polarisation.</w:t>
      </w:r>
    </w:p>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Figure S1. (A) Track-genesis schematic; (B) intensity-vs-day-of-year (DOY) scatter on Saffir-Simpson bands. Fani (2019), Amphan (2020), Yaas (2021) shown against the n = 19 IBTrACS 1981–2018 reference distribution of pre-Kharif Bay-of-Bengal systems.</w:t>
      </w:r>
      <w:r>
        <w:rPr>
          <w:rFonts w:ascii="Arial" w:hAnsi="Arial"/>
          <w:i/>
          <w:sz w:val="18"/>
        </w:rPr>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pPr>
        <w:pStyle w:val="Heading2"/>
      </w:pPr>
      <w:r>
        <w:rPr>
          <w:rFonts w:ascii="Arial" w:hAnsi="Arial"/>
        </w:rPr>
        <w:t>Table S10 — MCD12Q2 per-district reconciliation</w:t>
      </w:r>
    </w:p>
    <w:p>
      <w:pPr>
        <w:spacing w:line="276" w:lineRule="auto" w:after="120"/>
      </w:pPr>
      <w:r>
        <w:rPr>
          <w:rFonts w:ascii="Arial" w:hAnsi="Arial"/>
          <w:i/>
          <w:sz w:val="20"/>
        </w:rPr>
        <w:t>Table S10.  Per-district reconciliation of v2.1 bias-corrected SOS against MODIS MCD12Q2 native temporal resolution. Columns: number of years (n_years), raw and v2.1 SOS medians (DOY), mean and maximum |Δ| in days, ratio of max |Δ| to the MCD12Q2 8-day quantum, and a yes/no flag for being below the 4-day Nyquist threshold. All eight districts and the pooled summary fall well below the MCD12Q2 native temporal resolution, demonstrating that the v2.1 correction lies within the noise floor of the reference product.</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district</w:t>
            </w:r>
          </w:p>
        </w:tc>
        <w:tc>
          <w:tcPr>
            <w:tcW w:type="dxa" w:w="1134"/>
          </w:tcPr>
          <w:p>
            <w:pPr>
              <w:spacing w:line="276" w:lineRule="auto"/>
            </w:pPr>
            <w:r>
              <w:rPr>
                <w:rFonts w:ascii="Arial" w:hAnsi="Arial"/>
                <w:b/>
                <w:sz w:val="18"/>
              </w:rPr>
              <w:t>n_years</w:t>
            </w:r>
          </w:p>
        </w:tc>
        <w:tc>
          <w:tcPr>
            <w:tcW w:type="dxa" w:w="1134"/>
          </w:tcPr>
          <w:p>
            <w:pPr>
              <w:spacing w:line="276" w:lineRule="auto"/>
            </w:pPr>
            <w:r>
              <w:rPr>
                <w:rFonts w:ascii="Arial" w:hAnsi="Arial"/>
                <w:b/>
                <w:sz w:val="18"/>
              </w:rPr>
              <w:t>raw_sos_median_d</w:t>
            </w:r>
          </w:p>
        </w:tc>
        <w:tc>
          <w:tcPr>
            <w:tcW w:type="dxa" w:w="1134"/>
          </w:tcPr>
          <w:p>
            <w:pPr>
              <w:spacing w:line="276" w:lineRule="auto"/>
            </w:pPr>
            <w:r>
              <w:rPr>
                <w:rFonts w:ascii="Arial" w:hAnsi="Arial"/>
                <w:b/>
                <w:sz w:val="18"/>
              </w:rPr>
              <w:t>v21_sos_median_d</w:t>
            </w:r>
          </w:p>
        </w:tc>
        <w:tc>
          <w:tcPr>
            <w:tcW w:type="dxa" w:w="1134"/>
          </w:tcPr>
          <w:p>
            <w:pPr>
              <w:spacing w:line="276" w:lineRule="auto"/>
            </w:pPr>
            <w:r>
              <w:rPr>
                <w:rFonts w:ascii="Arial" w:hAnsi="Arial"/>
                <w:b/>
                <w:sz w:val="18"/>
              </w:rPr>
              <w:t>mean_abs_delta_d</w:t>
            </w:r>
          </w:p>
        </w:tc>
        <w:tc>
          <w:tcPr>
            <w:tcW w:type="dxa" w:w="1134"/>
          </w:tcPr>
          <w:p>
            <w:pPr>
              <w:spacing w:line="276" w:lineRule="auto"/>
            </w:pPr>
            <w:r>
              <w:rPr>
                <w:rFonts w:ascii="Arial" w:hAnsi="Arial"/>
                <w:b/>
                <w:sz w:val="18"/>
              </w:rPr>
              <w:t>max_abs_delta_d</w:t>
            </w:r>
          </w:p>
        </w:tc>
        <w:tc>
          <w:tcPr>
            <w:tcW w:type="dxa" w:w="1134"/>
          </w:tcPr>
          <w:p>
            <w:pPr>
              <w:spacing w:line="276" w:lineRule="auto"/>
            </w:pPr>
            <w:r>
              <w:rPr>
                <w:rFonts w:ascii="Arial" w:hAnsi="Arial"/>
                <w:b/>
                <w:sz w:val="18"/>
              </w:rPr>
              <w:t>ratio_to_quantum</w:t>
            </w:r>
          </w:p>
        </w:tc>
        <w:tc>
          <w:tcPr>
            <w:tcW w:type="dxa" w:w="1134"/>
          </w:tcPr>
          <w:p>
            <w:pPr>
              <w:spacing w:line="276" w:lineRule="auto"/>
            </w:pPr>
            <w:r>
              <w:rPr>
                <w:rFonts w:ascii="Arial" w:hAnsi="Arial"/>
                <w:b/>
                <w:sz w:val="18"/>
              </w:rPr>
              <w:t>below_nyquist</w:t>
            </w:r>
          </w:p>
        </w:tc>
      </w:tr>
      <w:tr>
        <w:tc>
          <w:tcPr>
            <w:tcW w:type="dxa" w:w="1134"/>
          </w:tcPr>
          <w:p>
            <w:pPr>
              <w:spacing w:line="276" w:lineRule="auto"/>
            </w:pPr>
            <w:r>
              <w:rPr>
                <w:rFonts w:ascii="Arial" w:hAnsi="Arial"/>
                <w:sz w:val="18"/>
              </w:rPr>
              <w:t>Angul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Baleshwar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0.0150</w:t>
            </w:r>
          </w:p>
        </w:tc>
        <w:tc>
          <w:tcPr>
            <w:tcW w:type="dxa" w:w="1134"/>
          </w:tcPr>
          <w:p>
            <w:pPr>
              <w:spacing w:line="276" w:lineRule="auto"/>
            </w:pPr>
            <w:r>
              <w:rPr>
                <w:rFonts w:ascii="Arial" w:hAnsi="Arial"/>
                <w:sz w:val="18"/>
              </w:rPr>
              <w:t>0.0700</w:t>
            </w:r>
          </w:p>
        </w:tc>
        <w:tc>
          <w:tcPr>
            <w:tcW w:type="dxa" w:w="1134"/>
          </w:tcPr>
          <w:p>
            <w:pPr>
              <w:spacing w:line="276" w:lineRule="auto"/>
            </w:pPr>
            <w:r>
              <w:rPr>
                <w:rFonts w:ascii="Arial" w:hAnsi="Arial"/>
                <w:sz w:val="18"/>
              </w:rPr>
              <w:t>0.0087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Bhadrak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Cuttack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0.1800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Dhenkanal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Jagatsinghpur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211.5000</w:t>
            </w:r>
          </w:p>
        </w:tc>
        <w:tc>
          <w:tcPr>
            <w:tcW w:type="dxa" w:w="1134"/>
          </w:tcPr>
          <w:p>
            <w:pPr>
              <w:spacing w:line="276" w:lineRule="auto"/>
            </w:pPr>
            <w:r>
              <w:rPr>
                <w:rFonts w:ascii="Arial" w:hAnsi="Arial"/>
                <w:sz w:val="18"/>
              </w:rPr>
              <w:t>211.4800</w:t>
            </w:r>
          </w:p>
        </w:tc>
        <w:tc>
          <w:tcPr>
            <w:tcW w:type="dxa" w:w="1134"/>
          </w:tcPr>
          <w:p>
            <w:pPr>
              <w:spacing w:line="276" w:lineRule="auto"/>
            </w:pPr>
            <w:r>
              <w:rPr>
                <w:rFonts w:ascii="Arial" w:hAnsi="Arial"/>
                <w:sz w:val="18"/>
              </w:rPr>
              <w:t>0.0963</w:t>
            </w:r>
          </w:p>
        </w:tc>
        <w:tc>
          <w:tcPr>
            <w:tcW w:type="dxa" w:w="1134"/>
          </w:tcPr>
          <w:p>
            <w:pPr>
              <w:spacing w:line="276" w:lineRule="auto"/>
            </w:pPr>
            <w:r>
              <w:rPr>
                <w:rFonts w:ascii="Arial" w:hAnsi="Arial"/>
                <w:sz w:val="18"/>
              </w:rPr>
              <w:t>0.4600</w:t>
            </w:r>
          </w:p>
        </w:tc>
        <w:tc>
          <w:tcPr>
            <w:tcW w:type="dxa" w:w="1134"/>
          </w:tcPr>
          <w:p>
            <w:pPr>
              <w:spacing w:line="276" w:lineRule="auto"/>
            </w:pPr>
            <w:r>
              <w:rPr>
                <w:rFonts w:ascii="Arial" w:hAnsi="Arial"/>
                <w:sz w:val="18"/>
              </w:rPr>
              <w:t>0.0575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Kendrapara</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195.9650</w:t>
            </w:r>
          </w:p>
        </w:tc>
        <w:tc>
          <w:tcPr>
            <w:tcW w:type="dxa" w:w="1134"/>
          </w:tcPr>
          <w:p>
            <w:pPr>
              <w:spacing w:line="276" w:lineRule="auto"/>
            </w:pPr>
            <w:r>
              <w:rPr>
                <w:rFonts w:ascii="Arial" w:hAnsi="Arial"/>
                <w:sz w:val="18"/>
              </w:rPr>
              <w:t>0.0738</w:t>
            </w:r>
          </w:p>
        </w:tc>
        <w:tc>
          <w:tcPr>
            <w:tcW w:type="dxa" w:w="1134"/>
          </w:tcPr>
          <w:p>
            <w:pPr>
              <w:spacing w:line="276" w:lineRule="auto"/>
            </w:pPr>
            <w:r>
              <w:rPr>
                <w:rFonts w:ascii="Arial" w:hAnsi="Arial"/>
                <w:sz w:val="18"/>
              </w:rPr>
              <w:t>0.4100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Puri</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0.3500</w:t>
            </w:r>
          </w:p>
        </w:tc>
        <w:tc>
          <w:tcPr>
            <w:tcW w:type="dxa" w:w="1134"/>
          </w:tcPr>
          <w:p>
            <w:pPr>
              <w:spacing w:line="276" w:lineRule="auto"/>
            </w:pPr>
            <w:r>
              <w:rPr>
                <w:rFonts w:ascii="Arial" w:hAnsi="Arial"/>
                <w:sz w:val="18"/>
              </w:rPr>
              <w:t>0.0437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ALL (pooled)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0.0498</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S11 — ICRISAT VDSA Bhadrak reconciliation</w:t>
      </w:r>
    </w:p>
    <w:p>
      <w:pPr>
        <w:spacing w:line="276" w:lineRule="auto" w:after="120"/>
      </w:pPr>
      <w:r>
        <w:rPr>
          <w:rFonts w:ascii="Arial" w:hAnsi="Arial"/>
          <w:i/>
          <w:sz w:val="20"/>
        </w:rPr>
        <w:t>Table S11.  Year-by-year reconciliation of v2.1-corrected SOS for Bhadrak (the most cyclone-exposed coastal district) against ICRISAT VDSA village-panel inter-village SD benchmarks. The within_vdsa_sd column applies the conservative 5-day lower bound from Pandey (2018) and ICRISAT Odisha Bhoomi Chetana Annual Report 2019-20. The maximum correction (1.01 d in 2021, the Yaas year) is 20.2 % of the published 5-day inter-village SD; five of eight years have zero correction.</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year</w:t>
            </w:r>
          </w:p>
        </w:tc>
        <w:tc>
          <w:tcPr>
            <w:tcW w:type="dxa" w:w="1134"/>
          </w:tcPr>
          <w:p>
            <w:pPr>
              <w:spacing w:line="276" w:lineRule="auto"/>
            </w:pPr>
            <w:r>
              <w:rPr>
                <w:rFonts w:ascii="Arial" w:hAnsi="Arial"/>
                <w:b/>
                <w:sz w:val="18"/>
              </w:rPr>
              <w:t>year_type</w:t>
            </w:r>
          </w:p>
        </w:tc>
        <w:tc>
          <w:tcPr>
            <w:tcW w:type="dxa" w:w="1134"/>
          </w:tcPr>
          <w:p>
            <w:pPr>
              <w:spacing w:line="276" w:lineRule="auto"/>
            </w:pPr>
            <w:r>
              <w:rPr>
                <w:rFonts w:ascii="Arial" w:hAnsi="Arial"/>
                <w:b/>
                <w:sz w:val="18"/>
              </w:rPr>
              <w:t>cyclone_exposure</w:t>
            </w:r>
          </w:p>
        </w:tc>
        <w:tc>
          <w:tcPr>
            <w:tcW w:type="dxa" w:w="1134"/>
          </w:tcPr>
          <w:p>
            <w:pPr>
              <w:spacing w:line="276" w:lineRule="auto"/>
            </w:pPr>
            <w:r>
              <w:rPr>
                <w:rFonts w:ascii="Arial" w:hAnsi="Arial"/>
                <w:b/>
                <w:sz w:val="18"/>
              </w:rPr>
              <w:t>raw_sos_doy</w:t>
            </w:r>
          </w:p>
        </w:tc>
        <w:tc>
          <w:tcPr>
            <w:tcW w:type="dxa" w:w="1134"/>
          </w:tcPr>
          <w:p>
            <w:pPr>
              <w:spacing w:line="276" w:lineRule="auto"/>
            </w:pPr>
            <w:r>
              <w:rPr>
                <w:rFonts w:ascii="Arial" w:hAnsi="Arial"/>
                <w:b/>
                <w:sz w:val="18"/>
              </w:rPr>
              <w:t>v21_sos_doy</w:t>
            </w:r>
          </w:p>
        </w:tc>
        <w:tc>
          <w:tcPr>
            <w:tcW w:type="dxa" w:w="1134"/>
          </w:tcPr>
          <w:p>
            <w:pPr>
              <w:spacing w:line="276" w:lineRule="auto"/>
            </w:pPr>
            <w:r>
              <w:rPr>
                <w:rFonts w:ascii="Arial" w:hAnsi="Arial"/>
                <w:b/>
                <w:sz w:val="18"/>
              </w:rPr>
              <w:t>delta_d</w:t>
            </w:r>
          </w:p>
        </w:tc>
        <w:tc>
          <w:tcPr>
            <w:tcW w:type="dxa" w:w="1134"/>
          </w:tcPr>
          <w:p>
            <w:pPr>
              <w:spacing w:line="276" w:lineRule="auto"/>
            </w:pPr>
            <w:r>
              <w:rPr>
                <w:rFonts w:ascii="Arial" w:hAnsi="Arial"/>
                <w:b/>
                <w:sz w:val="18"/>
              </w:rPr>
              <w:t>abs_delta_d</w:t>
            </w:r>
          </w:p>
        </w:tc>
        <w:tc>
          <w:tcPr>
            <w:tcW w:type="dxa" w:w="1134"/>
          </w:tcPr>
          <w:p>
            <w:pPr>
              <w:spacing w:line="276" w:lineRule="auto"/>
            </w:pPr>
            <w:r>
              <w:rPr>
                <w:rFonts w:ascii="Arial" w:hAnsi="Arial"/>
                <w:b/>
                <w:sz w:val="18"/>
              </w:rPr>
              <w:t>within_vdsa_sd</w:t>
            </w:r>
          </w:p>
        </w:tc>
      </w:tr>
      <w:tr>
        <w:tc>
          <w:tcPr>
            <w:tcW w:type="dxa" w:w="1134"/>
          </w:tcPr>
          <w:p>
            <w:pPr>
              <w:spacing w:line="276" w:lineRule="auto"/>
            </w:pPr>
            <w:r>
              <w:rPr>
                <w:rFonts w:ascii="Arial" w:hAnsi="Arial"/>
                <w:sz w:val="18"/>
              </w:rPr>
              <w:t>2017</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2018</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2019</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2020</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259.0000</w:t>
            </w:r>
          </w:p>
        </w:tc>
        <w:tc>
          <w:tcPr>
            <w:tcW w:type="dxa" w:w="1134"/>
          </w:tcPr>
          <w:p>
            <w:pPr>
              <w:spacing w:line="276" w:lineRule="auto"/>
            </w:pPr>
            <w:r>
              <w:rPr>
                <w:rFonts w:ascii="Arial" w:hAnsi="Arial"/>
                <w:sz w:val="18"/>
              </w:rPr>
              <w:t>258.8900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2021</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194.9900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2022</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2023</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2024</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SUMMARY</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S12 — District yield-anomaly correlation cross-check</w:t>
      </w:r>
    </w:p>
    <w:p>
      <w:pPr>
        <w:spacing w:line="276" w:lineRule="auto" w:after="120"/>
      </w:pPr>
      <w:r>
        <w:rPr>
          <w:rFonts w:ascii="Arial" w:hAnsi="Arial"/>
          <w:i/>
          <w:sz w:val="20"/>
        </w:rPr>
        <w:t>Table S12.  Pearson and Spearman correlations between SOS anomalies (district-year SOS minus district mean) and a binary yield-loss-event indicator (Phailin 2013, Hudhud 2014, Titli 2018, Fani 2019, Bulbul 2019, Yaas 2021; DES-Agri Odisha, ICRISAT 2019-20, IFPRI 2014). Reported separately for the raw v1 panel and the v2.1 corrected panel. The Δ row shows that the corrected and raw correlations differ by Δr ≤ 0.01 — the corrected pipeline preserves the sign, magnitude and significance of the agronomic yield-anomaly signal.</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pipeline</w:t>
            </w:r>
          </w:p>
        </w:tc>
        <w:tc>
          <w:tcPr>
            <w:tcW w:type="dxa" w:w="1134"/>
          </w:tcPr>
          <w:p>
            <w:pPr>
              <w:spacing w:line="276" w:lineRule="auto"/>
            </w:pPr>
            <w:r>
              <w:rPr>
                <w:rFonts w:ascii="Arial" w:hAnsi="Arial"/>
                <w:b/>
                <w:sz w:val="18"/>
              </w:rPr>
              <w:t>n_obs</w:t>
            </w:r>
          </w:p>
        </w:tc>
        <w:tc>
          <w:tcPr>
            <w:tcW w:type="dxa" w:w="1134"/>
          </w:tcPr>
          <w:p>
            <w:pPr>
              <w:spacing w:line="276" w:lineRule="auto"/>
            </w:pPr>
            <w:r>
              <w:rPr>
                <w:rFonts w:ascii="Arial" w:hAnsi="Arial"/>
                <w:b/>
                <w:sz w:val="18"/>
              </w:rPr>
              <w:t>pearson_r_all</w:t>
            </w:r>
          </w:p>
        </w:tc>
        <w:tc>
          <w:tcPr>
            <w:tcW w:type="dxa" w:w="1134"/>
          </w:tcPr>
          <w:p>
            <w:pPr>
              <w:spacing w:line="276" w:lineRule="auto"/>
            </w:pPr>
            <w:r>
              <w:rPr>
                <w:rFonts w:ascii="Arial" w:hAnsi="Arial"/>
                <w:b/>
                <w:sz w:val="18"/>
              </w:rPr>
              <w:t>pearson_p_all</w:t>
            </w:r>
          </w:p>
        </w:tc>
        <w:tc>
          <w:tcPr>
            <w:tcW w:type="dxa" w:w="1134"/>
          </w:tcPr>
          <w:p>
            <w:pPr>
              <w:spacing w:line="276" w:lineRule="auto"/>
            </w:pPr>
            <w:r>
              <w:rPr>
                <w:rFonts w:ascii="Arial" w:hAnsi="Arial"/>
                <w:b/>
                <w:sz w:val="18"/>
              </w:rPr>
              <w:t>spearman_r_all</w:t>
            </w:r>
          </w:p>
        </w:tc>
        <w:tc>
          <w:tcPr>
            <w:tcW w:type="dxa" w:w="1134"/>
          </w:tcPr>
          <w:p>
            <w:pPr>
              <w:spacing w:line="276" w:lineRule="auto"/>
            </w:pPr>
            <w:r>
              <w:rPr>
                <w:rFonts w:ascii="Arial" w:hAnsi="Arial"/>
                <w:b/>
                <w:sz w:val="18"/>
              </w:rPr>
              <w:t>spearman_p_all</w:t>
            </w:r>
          </w:p>
        </w:tc>
        <w:tc>
          <w:tcPr>
            <w:tcW w:type="dxa" w:w="1134"/>
          </w:tcPr>
          <w:p>
            <w:pPr>
              <w:spacing w:line="276" w:lineRule="auto"/>
            </w:pPr>
            <w:r>
              <w:rPr>
                <w:rFonts w:ascii="Arial" w:hAnsi="Arial"/>
                <w:b/>
                <w:sz w:val="18"/>
              </w:rPr>
              <w:t>pearson_r_coastal</w:t>
            </w:r>
          </w:p>
        </w:tc>
        <w:tc>
          <w:tcPr>
            <w:tcW w:type="dxa" w:w="1134"/>
          </w:tcPr>
          <w:p>
            <w:pPr>
              <w:spacing w:line="276" w:lineRule="auto"/>
            </w:pPr>
            <w:r>
              <w:rPr>
                <w:rFonts w:ascii="Arial" w:hAnsi="Arial"/>
                <w:b/>
                <w:sz w:val="18"/>
              </w:rPr>
              <w:t>pearson_p_coastal</w:t>
            </w:r>
          </w:p>
        </w:tc>
      </w:tr>
      <w:tr>
        <w:tc>
          <w:tcPr>
            <w:tcW w:type="dxa" w:w="1134"/>
          </w:tcPr>
          <w:p>
            <w:pPr>
              <w:spacing w:line="276" w:lineRule="auto"/>
            </w:pPr>
            <w:r>
              <w:rPr>
                <w:rFonts w:ascii="Arial" w:hAnsi="Arial"/>
                <w:sz w:val="18"/>
              </w:rPr>
              <w:t>raw</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-0.2930</w:t>
            </w:r>
          </w:p>
        </w:tc>
        <w:tc>
          <w:tcPr>
            <w:tcW w:type="dxa" w:w="1134"/>
          </w:tcPr>
          <w:p>
            <w:pPr>
              <w:spacing w:line="276" w:lineRule="auto"/>
            </w:pPr>
            <w:r>
              <w:rPr>
                <w:rFonts w:ascii="Arial" w:hAnsi="Arial"/>
                <w:sz w:val="18"/>
              </w:rPr>
              <w:t>0.0188</w:t>
            </w:r>
          </w:p>
        </w:tc>
        <w:tc>
          <w:tcPr>
            <w:tcW w:type="dxa" w:w="1134"/>
          </w:tcPr>
          <w:p>
            <w:pPr>
              <w:spacing w:line="276" w:lineRule="auto"/>
            </w:pPr>
            <w:r>
              <w:rPr>
                <w:rFonts w:ascii="Arial" w:hAnsi="Arial"/>
                <w:sz w:val="18"/>
              </w:rPr>
              <w:t>-0.3026</w:t>
            </w:r>
          </w:p>
        </w:tc>
        <w:tc>
          <w:tcPr>
            <w:tcW w:type="dxa" w:w="1134"/>
          </w:tcPr>
          <w:p>
            <w:pPr>
              <w:spacing w:line="276" w:lineRule="auto"/>
            </w:pPr>
            <w:r>
              <w:rPr>
                <w:rFonts w:ascii="Arial" w:hAnsi="Arial"/>
                <w:sz w:val="18"/>
              </w:rPr>
              <w:t>0.0151</w:t>
            </w:r>
          </w:p>
        </w:tc>
        <w:tc>
          <w:tcPr>
            <w:tcW w:type="dxa" w:w="1134"/>
          </w:tcPr>
          <w:p>
            <w:pPr>
              <w:spacing w:line="276" w:lineRule="auto"/>
            </w:pPr>
            <w:r>
              <w:rPr>
                <w:rFonts w:ascii="Arial" w:hAnsi="Arial"/>
                <w:sz w:val="18"/>
              </w:rPr>
              <w:t>-0.4038</w:t>
            </w:r>
          </w:p>
        </w:tc>
        <w:tc>
          <w:tcPr>
            <w:tcW w:type="dxa" w:w="1134"/>
          </w:tcPr>
          <w:p>
            <w:pPr>
              <w:spacing w:line="276" w:lineRule="auto"/>
            </w:pPr>
            <w:r>
              <w:rPr>
                <w:rFonts w:ascii="Arial" w:hAnsi="Arial"/>
                <w:sz w:val="18"/>
              </w:rPr>
              <w:t>0.0098</w:t>
            </w:r>
          </w:p>
        </w:tc>
      </w:tr>
      <w:tr>
        <w:tc>
          <w:tcPr>
            <w:tcW w:type="dxa" w:w="1134"/>
          </w:tcPr>
          <w:p>
            <w:pPr>
              <w:spacing w:line="276" w:lineRule="auto"/>
            </w:pPr>
            <w:r>
              <w:rPr>
                <w:rFonts w:ascii="Arial" w:hAnsi="Arial"/>
                <w:sz w:val="18"/>
              </w:rPr>
              <w:t>corrected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-0.2942</w:t>
            </w:r>
          </w:p>
        </w:tc>
        <w:tc>
          <w:tcPr>
            <w:tcW w:type="dxa" w:w="1134"/>
          </w:tcPr>
          <w:p>
            <w:pPr>
              <w:spacing w:line="276" w:lineRule="auto"/>
            </w:pPr>
            <w:r>
              <w:rPr>
                <w:rFonts w:ascii="Arial" w:hAnsi="Arial"/>
                <w:sz w:val="18"/>
              </w:rPr>
              <w:t>0.0183</w:t>
            </w:r>
          </w:p>
        </w:tc>
        <w:tc>
          <w:tcPr>
            <w:tcW w:type="dxa" w:w="1134"/>
          </w:tcPr>
          <w:p>
            <w:pPr>
              <w:spacing w:line="276" w:lineRule="auto"/>
            </w:pPr>
            <w:r>
              <w:rPr>
                <w:rFonts w:ascii="Arial" w:hAnsi="Arial"/>
                <w:sz w:val="18"/>
              </w:rPr>
              <w:t>-0.3095</w:t>
            </w:r>
          </w:p>
        </w:tc>
        <w:tc>
          <w:tcPr>
            <w:tcW w:type="dxa" w:w="1134"/>
          </w:tcPr>
          <w:p>
            <w:pPr>
              <w:spacing w:line="276" w:lineRule="auto"/>
            </w:pPr>
            <w:r>
              <w:rPr>
                <w:rFonts w:ascii="Arial" w:hAnsi="Arial"/>
                <w:sz w:val="18"/>
              </w:rPr>
              <w:t>0.0128</w:t>
            </w:r>
          </w:p>
        </w:tc>
        <w:tc>
          <w:tcPr>
            <w:tcW w:type="dxa" w:w="1134"/>
          </w:tcPr>
          <w:p>
            <w:pPr>
              <w:spacing w:line="276" w:lineRule="auto"/>
            </w:pPr>
            <w:r>
              <w:rPr>
                <w:rFonts w:ascii="Arial" w:hAnsi="Arial"/>
                <w:sz w:val="18"/>
              </w:rPr>
              <w:t>-0.4052</w:t>
            </w:r>
          </w:p>
        </w:tc>
        <w:tc>
          <w:tcPr>
            <w:tcW w:type="dxa" w:w="1134"/>
          </w:tcPr>
          <w:p>
            <w:pPr>
              <w:spacing w:line="276" w:lineRule="auto"/>
            </w:pPr>
            <w:r>
              <w:rPr>
                <w:rFonts w:ascii="Arial" w:hAnsi="Arial"/>
                <w:sz w:val="18"/>
              </w:rPr>
              <w:t>0.0095</w:t>
            </w:r>
          </w:p>
        </w:tc>
      </w:tr>
      <w:tr>
        <w:tc>
          <w:tcPr>
            <w:tcW w:type="dxa" w:w="1134"/>
          </w:tcPr>
          <w:p>
            <w:pPr>
              <w:spacing w:line="276" w:lineRule="auto"/>
            </w:pPr>
            <w:r>
              <w:rPr>
                <w:rFonts w:ascii="Arial" w:hAnsi="Arial"/>
                <w:sz w:val="18"/>
              </w:rPr>
              <w:t>Δ (v21 − v1)</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-0.0012</w:t>
            </w:r>
          </w:p>
        </w:tc>
        <w:tc>
          <w:tcPr>
            <w:tcW w:type="dxa" w:w="1134"/>
          </w:tcPr>
          <w:p>
            <w:pPr>
              <w:spacing w:line="276" w:lineRule="auto"/>
            </w:pPr>
            <w:r>
              <w:rPr>
                <w:rFonts w:ascii="Arial" w:hAnsi="Arial"/>
                <w:sz w:val="18"/>
              </w:rPr>
              <w:t>-4.836e-04</w:t>
            </w:r>
          </w:p>
        </w:tc>
        <w:tc>
          <w:tcPr>
            <w:tcW w:type="dxa" w:w="1134"/>
          </w:tcPr>
          <w:p>
            <w:pPr>
              <w:spacing w:line="276" w:lineRule="auto"/>
            </w:pPr>
            <w:r>
              <w:rPr>
                <w:rFonts w:ascii="Arial" w:hAnsi="Arial"/>
                <w:sz w:val="18"/>
              </w:rPr>
              <w:t>-0.0069</w:t>
            </w:r>
          </w:p>
        </w:tc>
        <w:tc>
          <w:tcPr>
            <w:tcW w:type="dxa" w:w="1134"/>
          </w:tcPr>
          <w:p>
            <w:pPr>
              <w:spacing w:line="276" w:lineRule="auto"/>
            </w:pPr>
            <w:r>
              <w:rPr>
                <w:rFonts w:ascii="Arial" w:hAnsi="Arial"/>
                <w:sz w:val="18"/>
              </w:rPr>
              <w:t>-0.0023</w:t>
            </w:r>
          </w:p>
        </w:tc>
        <w:tc>
          <w:tcPr>
            <w:tcW w:type="dxa" w:w="1134"/>
          </w:tcPr>
          <w:p>
            <w:pPr>
              <w:spacing w:line="276" w:lineRule="auto"/>
            </w:pPr>
            <w:r>
              <w:rPr>
                <w:rFonts w:ascii="Arial" w:hAnsi="Arial"/>
                <w:sz w:val="18"/>
              </w:rPr>
              <w:t>-0.0014</w:t>
            </w:r>
          </w:p>
        </w:tc>
        <w:tc>
          <w:tcPr>
            <w:tcW w:type="dxa" w:w="1134"/>
          </w:tcPr>
          <w:p>
            <w:pPr>
              <w:spacing w:line="276" w:lineRule="auto"/>
            </w:pPr>
            <w:r>
              <w:rPr>
                <w:rFonts w:ascii="Arial" w:hAnsi="Arial"/>
                <w:sz w:val="18"/>
              </w:rPr>
              <w:t>-2.786e-04</w:t>
            </w:r>
          </w:p>
        </w:tc>
      </w:tr>
    </w:tbl>
    <w:p>
      <w:r>
        <w:rPr>
          <w:sz w:val="12"/>
        </w:rPr>
        <w:br/>
      </w:r>
    </w:p>
    <w:p>
      <w:pPr>
        <w:pStyle w:val="Heading2"/>
      </w:pPr>
      <w:r>
        <w:rPr>
          <w:rFonts w:ascii="Arial" w:hAnsi="Arial"/>
        </w:rPr>
        <w:t>Table S13a — Odisha per-district cyclone-flood pixel share</w:t>
      </w:r>
    </w:p>
    <w:p>
      <w:pPr>
        <w:spacing w:line="276" w:lineRule="auto" w:after="120"/>
      </w:pPr>
      <w:r>
        <w:rPr>
          <w:rFonts w:ascii="Arial" w:hAnsi="Arial"/>
          <w:i/>
          <w:sz w:val="20"/>
        </w:rPr>
        <w:t>Table S13a.  Per-district share of pixels classified as cyclone-flood by the v0.3.0 classifier for the three identification cyclones (Fani 2019, Amphan 2020, Yaas 2021). Columns: share_&lt;cyclone&gt; = flood pixels / district area; area_km²_&lt;cyclone&gt; = absolute flooded area. Bhadrak (Yaas, 7.21 %) and Puri (Fani, 2.52 %) are the dominant signals; Angul and Dhenkanal (inland controls) carry essentially zero pixel share, as expected.</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76" w:lineRule="auto"/>
            </w:pPr>
            <w:r>
              <w:rPr>
                <w:rFonts w:ascii="Arial" w:hAnsi="Arial"/>
                <w:b/>
                <w:sz w:val="18"/>
              </w:rPr>
              <w:t>district</w:t>
            </w:r>
          </w:p>
        </w:tc>
        <w:tc>
          <w:tcPr>
            <w:tcW w:type="dxa" w:w="1296"/>
          </w:tcPr>
          <w:p>
            <w:pPr>
              <w:spacing w:line="276" w:lineRule="auto"/>
            </w:pPr>
            <w:r>
              <w:rPr>
                <w:rFonts w:ascii="Arial" w:hAnsi="Arial"/>
                <w:b/>
                <w:sz w:val="18"/>
              </w:rPr>
              <w:t>share_Amphan</w:t>
            </w:r>
          </w:p>
        </w:tc>
        <w:tc>
          <w:tcPr>
            <w:tcW w:type="dxa" w:w="1296"/>
          </w:tcPr>
          <w:p>
            <w:pPr>
              <w:spacing w:line="276" w:lineRule="auto"/>
            </w:pPr>
            <w:r>
              <w:rPr>
                <w:rFonts w:ascii="Arial" w:hAnsi="Arial"/>
                <w:b/>
                <w:sz w:val="18"/>
              </w:rPr>
              <w:t>share_Fani</w:t>
            </w:r>
          </w:p>
        </w:tc>
        <w:tc>
          <w:tcPr>
            <w:tcW w:type="dxa" w:w="1296"/>
          </w:tcPr>
          <w:p>
            <w:pPr>
              <w:spacing w:line="276" w:lineRule="auto"/>
            </w:pPr>
            <w:r>
              <w:rPr>
                <w:rFonts w:ascii="Arial" w:hAnsi="Arial"/>
                <w:b/>
                <w:sz w:val="18"/>
              </w:rPr>
              <w:t>share_Yaas</w:t>
            </w:r>
          </w:p>
        </w:tc>
        <w:tc>
          <w:tcPr>
            <w:tcW w:type="dxa" w:w="1296"/>
          </w:tcPr>
          <w:p>
            <w:pPr>
              <w:spacing w:line="276" w:lineRule="auto"/>
            </w:pPr>
            <w:r>
              <w:rPr>
                <w:rFonts w:ascii="Arial" w:hAnsi="Arial"/>
                <w:b/>
                <w:sz w:val="18"/>
              </w:rPr>
              <w:t>area_km2_Amphan</w:t>
            </w:r>
          </w:p>
        </w:tc>
        <w:tc>
          <w:tcPr>
            <w:tcW w:type="dxa" w:w="1296"/>
          </w:tcPr>
          <w:p>
            <w:pPr>
              <w:spacing w:line="276" w:lineRule="auto"/>
            </w:pPr>
            <w:r>
              <w:rPr>
                <w:rFonts w:ascii="Arial" w:hAnsi="Arial"/>
                <w:b/>
                <w:sz w:val="18"/>
              </w:rPr>
              <w:t>area_km2_Fani</w:t>
            </w:r>
          </w:p>
        </w:tc>
        <w:tc>
          <w:tcPr>
            <w:tcW w:type="dxa" w:w="1296"/>
          </w:tcPr>
          <w:p>
            <w:pPr>
              <w:spacing w:line="276" w:lineRule="auto"/>
            </w:pPr>
            <w:r>
              <w:rPr>
                <w:rFonts w:ascii="Arial" w:hAnsi="Arial"/>
                <w:b/>
                <w:sz w:val="18"/>
              </w:rPr>
              <w:t>area_km2_Yaas</w:t>
            </w:r>
          </w:p>
        </w:tc>
      </w:tr>
      <w:tr>
        <w:tc>
          <w:tcPr>
            <w:tcW w:type="dxa" w:w="1296"/>
          </w:tcPr>
          <w:p>
            <w:pPr>
              <w:spacing w:line="276" w:lineRule="auto"/>
            </w:pPr>
            <w:r>
              <w:rPr>
                <w:rFonts w:ascii="Arial" w:hAnsi="Arial"/>
                <w:sz w:val="18"/>
              </w:rPr>
              <w:t>Angul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7.321e-06</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0.04679</w:t>
            </w:r>
          </w:p>
        </w:tc>
      </w:tr>
      <w:tr>
        <w:tc>
          <w:tcPr>
            <w:tcW w:type="dxa" w:w="1296"/>
          </w:tcPr>
          <w:p>
            <w:pPr>
              <w:spacing w:line="276" w:lineRule="auto"/>
            </w:pPr>
            <w:r>
              <w:rPr>
                <w:rFonts w:ascii="Arial" w:hAnsi="Arial"/>
                <w:sz w:val="18"/>
              </w:rPr>
              <w:t>Baleshwar</w:t>
            </w:r>
          </w:p>
        </w:tc>
        <w:tc>
          <w:tcPr>
            <w:tcW w:type="dxa" w:w="1296"/>
          </w:tcPr>
          <w:p>
            <w:pPr>
              <w:spacing w:line="276" w:lineRule="auto"/>
            </w:pPr>
            <w:r>
              <w:rPr>
                <w:rFonts w:ascii="Arial" w:hAnsi="Arial"/>
                <w:sz w:val="18"/>
              </w:rPr>
              <w:t>0.00334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0.00529</w:t>
            </w:r>
          </w:p>
        </w:tc>
        <w:tc>
          <w:tcPr>
            <w:tcW w:type="dxa" w:w="1296"/>
          </w:tcPr>
          <w:p>
            <w:pPr>
              <w:spacing w:line="276" w:lineRule="auto"/>
            </w:pPr>
            <w:r>
              <w:rPr>
                <w:rFonts w:ascii="Arial" w:hAnsi="Arial"/>
                <w:sz w:val="18"/>
              </w:rPr>
              <w:t>12.35114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19.56558</w:t>
            </w:r>
          </w:p>
        </w:tc>
      </w:tr>
      <w:tr>
        <w:tc>
          <w:tcPr>
            <w:tcW w:type="dxa" w:w="1296"/>
          </w:tcPr>
          <w:p>
            <w:pPr>
              <w:spacing w:line="276" w:lineRule="auto"/>
            </w:pPr>
            <w:r>
              <w:rPr>
                <w:rFonts w:ascii="Arial" w:hAnsi="Arial"/>
                <w:sz w:val="18"/>
              </w:rPr>
              <w:t>Bhadrak</w:t>
            </w:r>
          </w:p>
        </w:tc>
        <w:tc>
          <w:tcPr>
            <w:tcW w:type="dxa" w:w="1296"/>
          </w:tcPr>
          <w:p>
            <w:pPr>
              <w:spacing w:line="276" w:lineRule="auto"/>
            </w:pPr>
            <w:r>
              <w:rPr>
                <w:rFonts w:ascii="Arial" w:hAnsi="Arial"/>
                <w:sz w:val="18"/>
              </w:rPr>
              <w:t>0.00785</w:t>
            </w:r>
          </w:p>
        </w:tc>
        <w:tc>
          <w:tcPr>
            <w:tcW w:type="dxa" w:w="1296"/>
          </w:tcPr>
          <w:p>
            <w:pPr>
              <w:spacing w:line="276" w:lineRule="auto"/>
            </w:pPr>
            <w:r>
              <w:rPr>
                <w:rFonts w:ascii="Arial" w:hAnsi="Arial"/>
                <w:sz w:val="18"/>
              </w:rPr>
              <w:t>9.910e-04</w:t>
            </w:r>
          </w:p>
        </w:tc>
        <w:tc>
          <w:tcPr>
            <w:tcW w:type="dxa" w:w="1296"/>
          </w:tcPr>
          <w:p>
            <w:pPr>
              <w:spacing w:line="276" w:lineRule="auto"/>
            </w:pPr>
            <w:r>
              <w:rPr>
                <w:rFonts w:ascii="Arial" w:hAnsi="Arial"/>
                <w:sz w:val="18"/>
              </w:rPr>
              <w:t>0.07212</w:t>
            </w:r>
          </w:p>
        </w:tc>
        <w:tc>
          <w:tcPr>
            <w:tcW w:type="dxa" w:w="1296"/>
          </w:tcPr>
          <w:p>
            <w:pPr>
              <w:spacing w:line="276" w:lineRule="auto"/>
            </w:pPr>
            <w:r>
              <w:rPr>
                <w:rFonts w:ascii="Arial" w:hAnsi="Arial"/>
                <w:sz w:val="18"/>
              </w:rPr>
              <w:t>19.26695</w:t>
            </w:r>
          </w:p>
        </w:tc>
        <w:tc>
          <w:tcPr>
            <w:tcW w:type="dxa" w:w="1296"/>
          </w:tcPr>
          <w:p>
            <w:pPr>
              <w:spacing w:line="276" w:lineRule="auto"/>
            </w:pPr>
            <w:r>
              <w:rPr>
                <w:rFonts w:ascii="Arial" w:hAnsi="Arial"/>
                <w:sz w:val="18"/>
              </w:rPr>
              <w:t>2.42980</w:t>
            </w:r>
          </w:p>
        </w:tc>
        <w:tc>
          <w:tcPr>
            <w:tcW w:type="dxa" w:w="1296"/>
          </w:tcPr>
          <w:p>
            <w:pPr>
              <w:spacing w:line="276" w:lineRule="auto"/>
            </w:pPr>
            <w:r>
              <w:rPr>
                <w:rFonts w:ascii="Arial" w:hAnsi="Arial"/>
                <w:sz w:val="18"/>
              </w:rPr>
              <w:t>177.01010</w:t>
            </w:r>
          </w:p>
        </w:tc>
      </w:tr>
      <w:tr>
        <w:tc>
          <w:tcPr>
            <w:tcW w:type="dxa" w:w="1296"/>
          </w:tcPr>
          <w:p>
            <w:pPr>
              <w:spacing w:line="276" w:lineRule="auto"/>
            </w:pPr>
            <w:r>
              <w:rPr>
                <w:rFonts w:ascii="Arial" w:hAnsi="Arial"/>
                <w:sz w:val="18"/>
              </w:rPr>
              <w:t>Cuttack</w:t>
            </w:r>
          </w:p>
        </w:tc>
        <w:tc>
          <w:tcPr>
            <w:tcW w:type="dxa" w:w="1296"/>
          </w:tcPr>
          <w:p>
            <w:pPr>
              <w:spacing w:line="276" w:lineRule="auto"/>
            </w:pPr>
            <w:r>
              <w:rPr>
                <w:rFonts w:ascii="Arial" w:hAnsi="Arial"/>
                <w:sz w:val="18"/>
              </w:rPr>
              <w:t>4.616e-05</w:t>
            </w:r>
          </w:p>
        </w:tc>
        <w:tc>
          <w:tcPr>
            <w:tcW w:type="dxa" w:w="1296"/>
          </w:tcPr>
          <w:p>
            <w:pPr>
              <w:spacing w:line="276" w:lineRule="auto"/>
            </w:pPr>
            <w:r>
              <w:rPr>
                <w:rFonts w:ascii="Arial" w:hAnsi="Arial"/>
                <w:sz w:val="18"/>
              </w:rPr>
              <w:t>0.01311</w:t>
            </w:r>
          </w:p>
        </w:tc>
        <w:tc>
          <w:tcPr>
            <w:tcW w:type="dxa" w:w="1296"/>
          </w:tcPr>
          <w:p>
            <w:pPr>
              <w:spacing w:line="276" w:lineRule="auto"/>
            </w:pPr>
            <w:r>
              <w:rPr>
                <w:rFonts w:ascii="Arial" w:hAnsi="Arial"/>
                <w:sz w:val="18"/>
              </w:rPr>
              <w:t>1.771e-04</w:t>
            </w:r>
          </w:p>
        </w:tc>
        <w:tc>
          <w:tcPr>
            <w:tcW w:type="dxa" w:w="1296"/>
          </w:tcPr>
          <w:p>
            <w:pPr>
              <w:spacing w:line="276" w:lineRule="auto"/>
            </w:pPr>
            <w:r>
              <w:rPr>
                <w:rFonts w:ascii="Arial" w:hAnsi="Arial"/>
                <w:sz w:val="18"/>
              </w:rPr>
              <w:t>0.18261</w:t>
            </w:r>
          </w:p>
        </w:tc>
        <w:tc>
          <w:tcPr>
            <w:tcW w:type="dxa" w:w="1296"/>
          </w:tcPr>
          <w:p>
            <w:pPr>
              <w:spacing w:line="276" w:lineRule="auto"/>
            </w:pPr>
            <w:r>
              <w:rPr>
                <w:rFonts w:ascii="Arial" w:hAnsi="Arial"/>
                <w:sz w:val="18"/>
              </w:rPr>
              <w:t>51.70720</w:t>
            </w:r>
          </w:p>
        </w:tc>
        <w:tc>
          <w:tcPr>
            <w:tcW w:type="dxa" w:w="1296"/>
          </w:tcPr>
          <w:p>
            <w:pPr>
              <w:spacing w:line="276" w:lineRule="auto"/>
            </w:pPr>
            <w:r>
              <w:rPr>
                <w:rFonts w:ascii="Arial" w:hAnsi="Arial"/>
                <w:sz w:val="18"/>
              </w:rPr>
              <w:t>0.70065</w:t>
            </w:r>
          </w:p>
        </w:tc>
      </w:tr>
      <w:tr>
        <w:tc>
          <w:tcPr>
            <w:tcW w:type="dxa" w:w="1296"/>
          </w:tcPr>
          <w:p>
            <w:pPr>
              <w:spacing w:line="276" w:lineRule="auto"/>
            </w:pPr>
            <w:r>
              <w:rPr>
                <w:rFonts w:ascii="Arial" w:hAnsi="Arial"/>
                <w:sz w:val="18"/>
              </w:rPr>
              <w:t>Dhenkanal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1.082e-05</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0.04864</w:t>
            </w:r>
          </w:p>
        </w:tc>
      </w:tr>
      <w:tr>
        <w:tc>
          <w:tcPr>
            <w:tcW w:type="dxa" w:w="1296"/>
          </w:tcPr>
          <w:p>
            <w:pPr>
              <w:spacing w:line="276" w:lineRule="auto"/>
            </w:pPr>
            <w:r>
              <w:rPr>
                <w:rFonts w:ascii="Arial" w:hAnsi="Arial"/>
                <w:sz w:val="18"/>
              </w:rPr>
              <w:t>Jagatsinghpur</w:t>
            </w:r>
          </w:p>
        </w:tc>
        <w:tc>
          <w:tcPr>
            <w:tcW w:type="dxa" w:w="1296"/>
          </w:tcPr>
          <w:p>
            <w:pPr>
              <w:spacing w:line="276" w:lineRule="auto"/>
            </w:pPr>
            <w:r>
              <w:rPr>
                <w:rFonts w:ascii="Arial" w:hAnsi="Arial"/>
                <w:sz w:val="18"/>
              </w:rPr>
              <w:t>0.01921</w:t>
            </w:r>
          </w:p>
        </w:tc>
        <w:tc>
          <w:tcPr>
            <w:tcW w:type="dxa" w:w="1296"/>
          </w:tcPr>
          <w:p>
            <w:pPr>
              <w:spacing w:line="276" w:lineRule="auto"/>
            </w:pPr>
            <w:r>
              <w:rPr>
                <w:rFonts w:ascii="Arial" w:hAnsi="Arial"/>
                <w:sz w:val="18"/>
              </w:rPr>
              <w:t>0.00291</w:t>
            </w:r>
          </w:p>
        </w:tc>
        <w:tc>
          <w:tcPr>
            <w:tcW w:type="dxa" w:w="1296"/>
          </w:tcPr>
          <w:p>
            <w:pPr>
              <w:spacing w:line="276" w:lineRule="auto"/>
            </w:pPr>
            <w:r>
              <w:rPr>
                <w:rFonts w:ascii="Arial" w:hAnsi="Arial"/>
                <w:sz w:val="18"/>
              </w:rPr>
              <w:t>0.03256</w:t>
            </w:r>
          </w:p>
        </w:tc>
        <w:tc>
          <w:tcPr>
            <w:tcW w:type="dxa" w:w="1296"/>
          </w:tcPr>
          <w:p>
            <w:pPr>
              <w:spacing w:line="276" w:lineRule="auto"/>
            </w:pPr>
            <w:r>
              <w:rPr>
                <w:rFonts w:ascii="Arial" w:hAnsi="Arial"/>
                <w:sz w:val="18"/>
              </w:rPr>
              <w:t>32.49060</w:t>
            </w:r>
          </w:p>
        </w:tc>
        <w:tc>
          <w:tcPr>
            <w:tcW w:type="dxa" w:w="1296"/>
          </w:tcPr>
          <w:p>
            <w:pPr>
              <w:spacing w:line="276" w:lineRule="auto"/>
            </w:pPr>
            <w:r>
              <w:rPr>
                <w:rFonts w:ascii="Arial" w:hAnsi="Arial"/>
                <w:sz w:val="18"/>
              </w:rPr>
              <w:t>4.86000</w:t>
            </w:r>
          </w:p>
        </w:tc>
        <w:tc>
          <w:tcPr>
            <w:tcW w:type="dxa" w:w="1296"/>
          </w:tcPr>
          <w:p>
            <w:pPr>
              <w:spacing w:line="276" w:lineRule="auto"/>
            </w:pPr>
            <w:r>
              <w:rPr>
                <w:rFonts w:ascii="Arial" w:hAnsi="Arial"/>
                <w:sz w:val="18"/>
              </w:rPr>
              <w:t>55.06754</w:t>
            </w:r>
          </w:p>
        </w:tc>
      </w:tr>
      <w:tr>
        <w:tc>
          <w:tcPr>
            <w:tcW w:type="dxa" w:w="1296"/>
          </w:tcPr>
          <w:p>
            <w:pPr>
              <w:spacing w:line="276" w:lineRule="auto"/>
            </w:pPr>
            <w:r>
              <w:rPr>
                <w:rFonts w:ascii="Arial" w:hAnsi="Arial"/>
                <w:sz w:val="18"/>
              </w:rPr>
              <w:t>Kendrapara</w:t>
            </w:r>
          </w:p>
        </w:tc>
        <w:tc>
          <w:tcPr>
            <w:tcW w:type="dxa" w:w="1296"/>
          </w:tcPr>
          <w:p>
            <w:pPr>
              <w:spacing w:line="276" w:lineRule="auto"/>
            </w:pPr>
            <w:r>
              <w:rPr>
                <w:rFonts w:ascii="Arial" w:hAnsi="Arial"/>
                <w:sz w:val="18"/>
              </w:rPr>
              <w:t>0.00790</w:t>
            </w:r>
          </w:p>
        </w:tc>
        <w:tc>
          <w:tcPr>
            <w:tcW w:type="dxa" w:w="1296"/>
          </w:tcPr>
          <w:p>
            <w:pPr>
              <w:spacing w:line="276" w:lineRule="auto"/>
            </w:pPr>
            <w:r>
              <w:rPr>
                <w:rFonts w:ascii="Arial" w:hAnsi="Arial"/>
                <w:sz w:val="18"/>
              </w:rPr>
              <w:t>0.00535</w:t>
            </w:r>
          </w:p>
        </w:tc>
        <w:tc>
          <w:tcPr>
            <w:tcW w:type="dxa" w:w="1296"/>
          </w:tcPr>
          <w:p>
            <w:pPr>
              <w:spacing w:line="276" w:lineRule="auto"/>
            </w:pPr>
            <w:r>
              <w:rPr>
                <w:rFonts w:ascii="Arial" w:hAnsi="Arial"/>
                <w:sz w:val="18"/>
              </w:rPr>
              <w:t>0.02903</w:t>
            </w:r>
          </w:p>
        </w:tc>
        <w:tc>
          <w:tcPr>
            <w:tcW w:type="dxa" w:w="1296"/>
          </w:tcPr>
          <w:p>
            <w:pPr>
              <w:spacing w:line="276" w:lineRule="auto"/>
            </w:pPr>
            <w:r>
              <w:rPr>
                <w:rFonts w:ascii="Arial" w:hAnsi="Arial"/>
                <w:sz w:val="18"/>
              </w:rPr>
              <w:t>19.61493</w:t>
            </w:r>
          </w:p>
        </w:tc>
        <w:tc>
          <w:tcPr>
            <w:tcW w:type="dxa" w:w="1296"/>
          </w:tcPr>
          <w:p>
            <w:pPr>
              <w:spacing w:line="276" w:lineRule="auto"/>
            </w:pPr>
            <w:r>
              <w:rPr>
                <w:rFonts w:ascii="Arial" w:hAnsi="Arial"/>
                <w:sz w:val="18"/>
              </w:rPr>
              <w:t>13.27270</w:t>
            </w:r>
          </w:p>
        </w:tc>
        <w:tc>
          <w:tcPr>
            <w:tcW w:type="dxa" w:w="1296"/>
          </w:tcPr>
          <w:p>
            <w:pPr>
              <w:spacing w:line="276" w:lineRule="auto"/>
            </w:pPr>
            <w:r>
              <w:rPr>
                <w:rFonts w:ascii="Arial" w:hAnsi="Arial"/>
                <w:sz w:val="18"/>
              </w:rPr>
              <w:t>72.05006</w:t>
            </w:r>
          </w:p>
        </w:tc>
      </w:tr>
      <w:tr>
        <w:tc>
          <w:tcPr>
            <w:tcW w:type="dxa" w:w="1296"/>
          </w:tcPr>
          <w:p>
            <w:pPr>
              <w:spacing w:line="276" w:lineRule="auto"/>
            </w:pPr>
            <w:r>
              <w:rPr>
                <w:rFonts w:ascii="Arial" w:hAnsi="Arial"/>
                <w:sz w:val="18"/>
              </w:rPr>
              <w:t>Puri</w:t>
            </w:r>
          </w:p>
        </w:tc>
        <w:tc>
          <w:tcPr>
            <w:tcW w:type="dxa" w:w="1296"/>
          </w:tcPr>
          <w:p>
            <w:pPr>
              <w:spacing w:line="276" w:lineRule="auto"/>
            </w:pPr>
            <w:r>
              <w:rPr>
                <w:rFonts w:ascii="Arial" w:hAnsi="Arial"/>
                <w:sz w:val="18"/>
              </w:rPr>
              <w:t>3.970e-04</w:t>
            </w:r>
          </w:p>
        </w:tc>
        <w:tc>
          <w:tcPr>
            <w:tcW w:type="dxa" w:w="1296"/>
          </w:tcPr>
          <w:p>
            <w:pPr>
              <w:spacing w:line="276" w:lineRule="auto"/>
            </w:pPr>
            <w:r>
              <w:rPr>
                <w:rFonts w:ascii="Arial" w:hAnsi="Arial"/>
                <w:sz w:val="18"/>
              </w:rPr>
              <w:t>0.02519</w:t>
            </w:r>
          </w:p>
        </w:tc>
        <w:tc>
          <w:tcPr>
            <w:tcW w:type="dxa" w:w="1296"/>
          </w:tcPr>
          <w:p>
            <w:pPr>
              <w:spacing w:line="276" w:lineRule="auto"/>
            </w:pPr>
            <w:r>
              <w:rPr>
                <w:rFonts w:ascii="Arial" w:hAnsi="Arial"/>
                <w:sz w:val="18"/>
              </w:rPr>
              <w:t>0.00418</w:t>
            </w:r>
          </w:p>
        </w:tc>
        <w:tc>
          <w:tcPr>
            <w:tcW w:type="dxa" w:w="1296"/>
          </w:tcPr>
          <w:p>
            <w:pPr>
              <w:spacing w:line="276" w:lineRule="auto"/>
            </w:pPr>
            <w:r>
              <w:rPr>
                <w:rFonts w:ascii="Arial" w:hAnsi="Arial"/>
                <w:sz w:val="18"/>
              </w:rPr>
              <w:t>1.39422</w:t>
            </w:r>
          </w:p>
        </w:tc>
        <w:tc>
          <w:tcPr>
            <w:tcW w:type="dxa" w:w="1296"/>
          </w:tcPr>
          <w:p>
            <w:pPr>
              <w:spacing w:line="276" w:lineRule="auto"/>
            </w:pPr>
            <w:r>
              <w:rPr>
                <w:rFonts w:ascii="Arial" w:hAnsi="Arial"/>
                <w:sz w:val="18"/>
              </w:rPr>
              <w:t>88.18240</w:t>
            </w:r>
          </w:p>
        </w:tc>
        <w:tc>
          <w:tcPr>
            <w:tcW w:type="dxa" w:w="1296"/>
          </w:tcPr>
          <w:p>
            <w:pPr>
              <w:spacing w:line="276" w:lineRule="auto"/>
            </w:pPr>
            <w:r>
              <w:rPr>
                <w:rFonts w:ascii="Arial" w:hAnsi="Arial"/>
                <w:sz w:val="18"/>
              </w:rPr>
              <w:t>14.68012</w:t>
            </w:r>
          </w:p>
        </w:tc>
      </w:tr>
    </w:tbl>
    <w:p>
      <w:r>
        <w:rPr>
          <w:sz w:val="12"/>
        </w:rPr>
        <w:br/>
      </w:r>
    </w:p>
    <w:p>
      <w:pPr>
        <w:pStyle w:val="Heading2"/>
      </w:pPr>
      <w:r>
        <w:rPr>
          <w:rFonts w:ascii="Arial" w:hAnsi="Arial"/>
        </w:rPr>
        <w:t>Table S13b — Hudhud (Andhra Pradesh) transferability</w:t>
      </w:r>
    </w:p>
    <w:p>
      <w:pPr>
        <w:spacing w:line="276" w:lineRule="auto" w:after="120"/>
      </w:pPr>
      <w:r>
        <w:rPr>
          <w:rFonts w:ascii="Arial" w:hAnsi="Arial"/>
          <w:i/>
          <w:sz w:val="20"/>
        </w:rPr>
        <w:t>Table S13b.  Structural transferability assessment for Cyclone Hudhud (Andhra Pradesh, 12 October 2014). The v0.3.0 classifier was trained on the Odisha cohort only; this table documents the published damage benchmarks, Copernicus EMS EMSR104 activation, and the recommended Stage-2 retraining protocol. Hudhud transferability is reported as a methodological extension and a §5.4 limitation, not as an in-distribution evaluation.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76" w:lineRule="auto"/>
            </w:pPr>
            <w:r>
              <w:rPr>
                <w:rFonts w:ascii="Arial" w:hAnsi="Arial"/>
                <w:b/>
                <w:sz w:val="18"/>
              </w:rPr>
              <w:t>metric</w:t>
            </w:r>
          </w:p>
        </w:tc>
        <w:tc>
          <w:tcPr>
            <w:tcW w:type="dxa" w:w="3024"/>
          </w:tcPr>
          <w:p>
            <w:pPr>
              <w:spacing w:line="276" w:lineRule="auto"/>
            </w:pPr>
            <w:r>
              <w:rPr>
                <w:rFonts w:ascii="Arial" w:hAnsi="Arial"/>
                <w:b/>
                <w:sz w:val="18"/>
              </w:rPr>
              <w:t>value</w:t>
            </w:r>
          </w:p>
        </w:tc>
        <w:tc>
          <w:tcPr>
            <w:tcW w:type="dxa" w:w="3024"/>
          </w:tcPr>
          <w:p>
            <w:pPr>
              <w:spacing w:line="276" w:lineRule="auto"/>
            </w:pPr>
            <w:r>
              <w:rPr>
                <w:rFonts w:ascii="Arial" w:hAnsi="Arial"/>
                <w:b/>
                <w:sz w:val="18"/>
              </w:rPr>
              <w:t>source</w:t>
            </w:r>
          </w:p>
        </w:tc>
      </w:tr>
      <w:tr>
        <w:tc>
          <w:tcPr>
            <w:tcW w:type="dxa" w:w="3024"/>
          </w:tcPr>
          <w:p>
            <w:pPr>
              <w:spacing w:line="276" w:lineRule="auto"/>
            </w:pPr>
            <w:r>
              <w:rPr>
                <w:rFonts w:ascii="Arial" w:hAnsi="Arial"/>
                <w:sz w:val="18"/>
              </w:rPr>
              <w:t>Training cohort (n cyclones)</w:t>
            </w:r>
          </w:p>
        </w:tc>
        <w:tc>
          <w:tcPr>
            <w:tcW w:type="dxa" w:w="3024"/>
          </w:tcPr>
          <w:p>
            <w:pPr>
              <w:spacing w:line="276" w:lineRule="auto"/>
            </w:pPr>
            <w:r>
              <w:rPr>
                <w:rFonts w:ascii="Arial" w:hAnsi="Arial"/>
                <w:sz w:val="18"/>
              </w:rPr>
              <w:t>3 (Fani 2019, Amphan 2020, Yaas 2021)</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Training labels (n)</w:t>
            </w:r>
          </w:p>
        </w:tc>
        <w:tc>
          <w:tcPr>
            <w:tcW w:type="dxa" w:w="3024"/>
          </w:tcPr>
          <w:p>
            <w:pPr>
              <w:spacing w:line="276" w:lineRule="auto"/>
            </w:pPr>
            <w:r>
              <w:rPr>
                <w:rFonts w:ascii="Arial" w:hAnsi="Arial"/>
                <w:sz w:val="18"/>
              </w:rPr>
              <w:t>480</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Hold-out OA (in-distribution, Odisha)</w:t>
            </w:r>
          </w:p>
        </w:tc>
        <w:tc>
          <w:tcPr>
            <w:tcW w:type="dxa" w:w="3024"/>
          </w:tcPr>
          <w:p>
            <w:pPr>
              <w:spacing w:line="276" w:lineRule="auto"/>
            </w:pPr>
            <w:r>
              <w:rPr>
                <w:rFonts w:ascii="Arial" w:hAnsi="Arial"/>
                <w:sz w:val="18"/>
              </w:rPr>
              <w:t>0.9896</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5-fold CV OA (in-distribution, Odisha)</w:t>
            </w:r>
          </w:p>
        </w:tc>
        <w:tc>
          <w:tcPr>
            <w:tcW w:type="dxa" w:w="3024"/>
          </w:tcPr>
          <w:p>
            <w:pPr>
              <w:spacing w:line="276" w:lineRule="auto"/>
            </w:pPr>
            <w:r>
              <w:rPr>
                <w:rFonts w:ascii="Arial" w:hAnsi="Arial"/>
                <w:sz w:val="18"/>
              </w:rPr>
              <w:t>0.9958</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Cyclone Hudhud (Oct 2014) landfall</w:t>
            </w:r>
          </w:p>
        </w:tc>
        <w:tc>
          <w:tcPr>
            <w:tcW w:type="dxa" w:w="3024"/>
          </w:tcPr>
          <w:p>
            <w:pPr>
              <w:spacing w:line="276" w:lineRule="auto"/>
            </w:pPr>
            <w:r>
              <w:rPr>
                <w:rFonts w:ascii="Arial" w:hAnsi="Arial"/>
                <w:sz w:val="18"/>
              </w:rPr>
              <w:t>Pudimadaka, ~50 km from Visakhapatnam</w:t>
            </w:r>
          </w:p>
        </w:tc>
        <w:tc>
          <w:tcPr>
            <w:tcW w:type="dxa" w:w="3024"/>
          </w:tcPr>
          <w:p>
            <w:pPr>
              <w:spacing w:line="276" w:lineRule="auto"/>
            </w:pPr>
            <w:r>
              <w:rPr>
                <w:rFonts w:ascii="Arial" w:hAnsi="Arial"/>
                <w:sz w:val="18"/>
              </w:rPr>
              <w:t>NDMA 2014; Red Cross AAR 2015</w:t>
            </w:r>
          </w:p>
        </w:tc>
      </w:tr>
      <w:tr>
        <w:tc>
          <w:tcPr>
            <w:tcW w:type="dxa" w:w="3024"/>
          </w:tcPr>
          <w:p>
            <w:pPr>
              <w:spacing w:line="276" w:lineRule="auto"/>
            </w:pPr>
            <w:r>
              <w:rPr>
                <w:rFonts w:ascii="Arial" w:hAnsi="Arial"/>
                <w:sz w:val="18"/>
              </w:rPr>
              <w:t>Hudhud worst-hit districts</w:t>
            </w:r>
          </w:p>
        </w:tc>
        <w:tc>
          <w:tcPr>
            <w:tcW w:type="dxa" w:w="3024"/>
          </w:tcPr>
          <w:p>
            <w:pPr>
              <w:spacing w:line="276" w:lineRule="auto"/>
            </w:pPr>
            <w:r>
              <w:rPr>
                <w:rFonts w:ascii="Arial" w:hAnsi="Arial"/>
                <w:sz w:val="18"/>
              </w:rPr>
              <w:t>Visakhapatnam, Vizianagaram, Srikakulam, East Godavari</w:t>
            </w:r>
          </w:p>
        </w:tc>
        <w:tc>
          <w:tcPr>
            <w:tcW w:type="dxa" w:w="3024"/>
          </w:tcPr>
          <w:p>
            <w:pPr>
              <w:spacing w:line="276" w:lineRule="auto"/>
            </w:pPr>
            <w:r>
              <w:rPr>
                <w:rFonts w:ascii="Arial" w:hAnsi="Arial"/>
                <w:sz w:val="18"/>
              </w:rPr>
              <w:t>NDMA 2014; IFRC Oct 2014</w:t>
            </w:r>
          </w:p>
        </w:tc>
      </w:tr>
      <w:tr>
        <w:tc>
          <w:tcPr>
            <w:tcW w:type="dxa" w:w="3024"/>
          </w:tcPr>
          <w:p>
            <w:pPr>
              <w:spacing w:line="276" w:lineRule="auto"/>
            </w:pPr>
            <w:r>
              <w:rPr>
                <w:rFonts w:ascii="Arial" w:hAnsi="Arial"/>
                <w:sz w:val="18"/>
              </w:rPr>
              <w:t>Copernicus EMS Hudhud activation</w:t>
            </w:r>
          </w:p>
        </w:tc>
        <w:tc>
          <w:tcPr>
            <w:tcW w:type="dxa" w:w="3024"/>
          </w:tcPr>
          <w:p>
            <w:pPr>
              <w:spacing w:line="276" w:lineRule="auto"/>
            </w:pPr>
            <w:r>
              <w:rPr>
                <w:rFonts w:ascii="Arial" w:hAnsi="Arial"/>
                <w:sz w:val="18"/>
              </w:rPr>
              <w:t>EMSR104 (14 Oct 2014); 9 reference + 9 delineation maps</w:t>
            </w:r>
          </w:p>
        </w:tc>
        <w:tc>
          <w:tcPr>
            <w:tcW w:type="dxa" w:w="3024"/>
          </w:tcPr>
          <w:p>
            <w:pPr>
              <w:spacing w:line="276" w:lineRule="auto"/>
            </w:pPr>
            <w:r>
              <w:rPr>
                <w:rFonts w:ascii="Arial" w:hAnsi="Arial"/>
                <w:sz w:val="18"/>
              </w:rPr>
              <w:t>Copernicus EMS; gisresources.com 2014</w:t>
            </w:r>
          </w:p>
        </w:tc>
      </w:tr>
      <w:tr>
        <w:tc>
          <w:tcPr>
            <w:tcW w:type="dxa" w:w="3024"/>
          </w:tcPr>
          <w:p>
            <w:pPr>
              <w:spacing w:line="276" w:lineRule="auto"/>
            </w:pPr>
            <w:r>
              <w:rPr>
                <w:rFonts w:ascii="Arial" w:hAnsi="Arial"/>
                <w:sz w:val="18"/>
              </w:rPr>
              <w:t>Visakhapatnam pre-Hudhud water (4 Oct 2014)</w:t>
            </w:r>
          </w:p>
        </w:tc>
        <w:tc>
          <w:tcPr>
            <w:tcW w:type="dxa" w:w="3024"/>
          </w:tcPr>
          <w:p>
            <w:pPr>
              <w:spacing w:line="276" w:lineRule="auto"/>
            </w:pPr>
            <w:r>
              <w:rPr>
                <w:rFonts w:ascii="Arial" w:hAnsi="Arial"/>
                <w:sz w:val="18"/>
              </w:rPr>
              <w:t>176.27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Visakhapatnam pre-Hudhud cropland+sparse veg</w:t>
            </w:r>
          </w:p>
        </w:tc>
        <w:tc>
          <w:tcPr>
            <w:tcW w:type="dxa" w:w="3024"/>
          </w:tcPr>
          <w:p>
            <w:pPr>
              <w:spacing w:line="276" w:lineRule="auto"/>
            </w:pPr>
            <w:r>
              <w:rPr>
                <w:rFonts w:ascii="Arial" w:hAnsi="Arial"/>
                <w:sz w:val="18"/>
              </w:rPr>
              <w:t>275.01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Damage assessment (Andhra Pradesh)</w:t>
            </w:r>
          </w:p>
        </w:tc>
        <w:tc>
          <w:tcPr>
            <w:tcW w:type="dxa" w:w="3024"/>
          </w:tcPr>
          <w:p>
            <w:pPr>
              <w:spacing w:line="276" w:lineRule="auto"/>
            </w:pPr>
            <w:r>
              <w:rPr>
                <w:rFonts w:ascii="Arial" w:hAnsi="Arial"/>
                <w:sz w:val="18"/>
              </w:rPr>
              <w:t>₹13,263 crore (~USD 2.16 B); 7,52,540 ag households</w:t>
            </w:r>
          </w:p>
        </w:tc>
        <w:tc>
          <w:tcPr>
            <w:tcW w:type="dxa" w:w="3024"/>
          </w:tcPr>
          <w:p>
            <w:pPr>
              <w:spacing w:line="276" w:lineRule="auto"/>
            </w:pPr>
            <w:r>
              <w:rPr>
                <w:rFonts w:ascii="Arial" w:hAnsi="Arial"/>
                <w:sz w:val="18"/>
              </w:rPr>
              <w:t>World Bank rapid assessment; NDMA 2014</w:t>
            </w:r>
          </w:p>
        </w:tc>
      </w:tr>
      <w:tr>
        <w:tc>
          <w:tcPr>
            <w:tcW w:type="dxa" w:w="3024"/>
          </w:tcPr>
          <w:p>
            <w:pPr>
              <w:spacing w:line="276" w:lineRule="auto"/>
            </w:pPr>
            <w:r>
              <w:rPr>
                <w:rFonts w:ascii="Arial" w:hAnsi="Arial"/>
                <w:sz w:val="18"/>
              </w:rPr>
              <w:t>Andhra-Odisha cropping calendar offset</w:t>
            </w:r>
          </w:p>
        </w:tc>
        <w:tc>
          <w:tcPr>
            <w:tcW w:type="dxa" w:w="3024"/>
          </w:tcPr>
          <w:p>
            <w:pPr>
              <w:spacing w:line="276" w:lineRule="auto"/>
            </w:pPr>
            <w:r>
              <w:rPr>
                <w:rFonts w:ascii="Arial" w:hAnsi="Arial"/>
                <w:sz w:val="18"/>
              </w:rPr>
              <w:t>~10–15 d lag (Andhra coastal kharif onset)</w:t>
            </w:r>
          </w:p>
        </w:tc>
        <w:tc>
          <w:tcPr>
            <w:tcW w:type="dxa" w:w="3024"/>
          </w:tcPr>
          <w:p>
            <w:pPr>
              <w:spacing w:line="276" w:lineRule="auto"/>
            </w:pPr>
            <w:r>
              <w:rPr>
                <w:rFonts w:ascii="Arial" w:hAnsi="Arial"/>
                <w:sz w:val="18"/>
              </w:rPr>
              <w:t>IMD agromet bulletins; ICAR-CRIDA</w:t>
            </w:r>
          </w:p>
        </w:tc>
      </w:tr>
      <w:tr>
        <w:tc>
          <w:tcPr>
            <w:tcW w:type="dxa" w:w="3024"/>
          </w:tcPr>
          <w:p>
            <w:pPr>
              <w:spacing w:line="276" w:lineRule="auto"/>
            </w:pPr>
            <w:r>
              <w:rPr>
                <w:rFonts w:ascii="Arial" w:hAnsi="Arial"/>
                <w:sz w:val="18"/>
              </w:rPr>
              <w:t>Expected OA penalty under domain shift</w:t>
            </w:r>
          </w:p>
        </w:tc>
        <w:tc>
          <w:tcPr>
            <w:tcW w:type="dxa" w:w="3024"/>
          </w:tcPr>
          <w:p>
            <w:pPr>
              <w:spacing w:line="276" w:lineRule="auto"/>
            </w:pPr>
            <w:r>
              <w:rPr>
                <w:rFonts w:ascii="Arial" w:hAnsi="Arial"/>
                <w:sz w:val="18"/>
              </w:rPr>
              <w:t>≤6 pp (label-source variance, training cohort size)</w:t>
            </w:r>
          </w:p>
        </w:tc>
        <w:tc>
          <w:tcPr>
            <w:tcW w:type="dxa" w:w="3024"/>
          </w:tcPr>
          <w:p>
            <w:pPr>
              <w:spacing w:line="276" w:lineRule="auto"/>
            </w:pPr>
            <w:r>
              <w:rPr>
                <w:rFonts w:ascii="Arial" w:hAnsi="Arial"/>
                <w:sz w:val="18"/>
              </w:rPr>
              <w:t>v0.3.0 model card limitations §; this study</w:t>
            </w:r>
          </w:p>
        </w:tc>
      </w:tr>
      <w:tr>
        <w:tc>
          <w:tcPr>
            <w:tcW w:type="dxa" w:w="3024"/>
          </w:tcPr>
          <w:p>
            <w:pPr>
              <w:spacing w:line="276" w:lineRule="auto"/>
            </w:pPr>
            <w:r>
              <w:rPr>
                <w:rFonts w:ascii="Arial" w:hAnsi="Arial"/>
                <w:sz w:val="18"/>
              </w:rPr>
              <w:t>Recommended transferability protocol</w:t>
            </w:r>
          </w:p>
        </w:tc>
        <w:tc>
          <w:tcPr>
            <w:tcW w:type="dxa" w:w="3024"/>
          </w:tcPr>
          <w:p>
            <w:pPr>
              <w:spacing w:line="276" w:lineRule="auto"/>
            </w:pPr>
            <w:r>
              <w:rPr>
                <w:rFonts w:ascii="Arial" w:hAnsi="Arial"/>
                <w:sz w:val="18"/>
              </w:rPr>
              <w:t>5 % stratified Hudhud labels from EMSR104 + retrain v0.4 in Stage 2</w:t>
            </w:r>
          </w:p>
        </w:tc>
        <w:tc>
          <w:tcPr>
            <w:tcW w:type="dxa" w:w="3024"/>
          </w:tcPr>
          <w:p>
            <w:pPr>
              <w:spacing w:line="276" w:lineRule="auto"/>
            </w:pPr>
            <w:r>
              <w:rPr>
                <w:rFonts w:ascii="Arial" w:hAnsi="Arial"/>
                <w:sz w:val="18"/>
              </w:rPr>
              <w:t>this study, §4.6 limitations</w:t>
            </w:r>
          </w:p>
        </w:tc>
      </w:tr>
    </w:tbl>
    <w:p>
      <w:pPr>
        <w:spacing w:before="0" w:after="120" w:line="276" w:lineRule="auto"/>
      </w:pPr>
      <w:r>
        <w:rPr>
          <w:rFonts w:ascii="Arial" w:hAnsi="Arial"/>
          <w:i/>
          <w:sz w:val="19"/>
          <w:szCs w:val="19"/>
          <w:color w:val="595959"/>
        </w:rPr>
        <w:t xml:space="preserve">Abbreviations: AAR = Agricultural Activities Restoration; CRIDA = Central Research Institute for Dryland Agriculture; CV = Cross-Validation; EMS = Emergency Management Service (Copernicus); ICAR = Indian Council of Agricultural Research; IFRC = International Federation of Red Cross and Red Crescent Societies; IMD = India Meteorological Department; ISPRS = International Society for Photogrammetry and Remote Sensing; NDMA = National Disaster Management Authority (India); OA = Overall Accuracy; USD = United States Dollar.</w:t>
      </w:r>
    </w:p>
    <w:p>
      <w:r>
        <w:rPr>
          <w:sz w:val="12"/>
        </w:rPr>
        <w:br/>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20" Type="http://schemas.openxmlformats.org/officeDocument/2006/relationships/hyperlink" Target="https://osf.io/c4mp8/" TargetMode="External"/><Relationship Id="rId27" Type="http://schemas.openxmlformats.org/officeDocument/2006/relationships/hyperlink" Target="https://doi.org/10.1257/jep.31.2.3" TargetMode="External"/><Relationship Id="rId28" Type="http://schemas.openxmlformats.org/officeDocument/2006/relationships/hyperlink" Target="https://rsmcnewdelhi.imd.gov.in" TargetMode="External"/><Relationship Id="rId29" Type="http://schemas.openxmlformats.org/officeDocument/2006/relationships/hyperlink" Target="https://doi.org/10.1175/2009BAMS2755.1" TargetMode="External"/><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