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rFonts w:ascii="Arial" w:hAnsi="Arial"/>
          <w:b/>
          <w:bCs/>
        </w:rPr>
        <w:t xml:space="preserve">Word count (abstract): 300</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 Sample construction; §5.4).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≥7 d in cyclone years; TWFE-DiD quantifies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keepNext/>
        <w:keepLines/>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keepNext w:val="0"/>
        <w:keepLines/>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keepNext/>
        <w:keepLines/>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keepNext w:val="0"/>
        <w:keepLines/>
        <w:jc w:val="center"/>
      </w:pPr>
      <w:r>
        <w:drawing>
          <wp:inline>
            <wp:extent cx="5760000" cy="354988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49885"/>
                    </a:xfrm>
                    <a:prstGeom prst="rect"/>
                  </pic:spPr>
                </pic:pic>
              </a:graphicData>
            </a:graphic>
          </wp:inline>
        </w:drawing>
      </w:r>
    </w:p>
    <w:p>
      <w:pPr>
        <w:keepNext/>
        <w:keepLines/>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p>
      <w:pPr>
        <w:keepNext w:val="0"/>
        <w:keepLines/>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(stable unit treatment value assumption)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keepNext/>
        <w:keepLines/>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keepNext w:val="0"/>
        <w:keepLines/>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Goodman-Bacon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Goodman-Bacon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have median pseudo-effects of</w:t>
      </w:r>
      <w:r>
        <w:rPr>
          <w:rFonts w:ascii="Arial" w:hAnsi="Arial"/>
        </w:rPr>
        <w:t xml:space="preserve"> </w:t>
      </w:r>
      <m:oMath>
        <m:sSubSup>
          <m:e>
            <m:acc>
              <m:accPr>
                <m:chr m:val="̂"/>
              </m:accPr>
              <m:e>
                <m:r>
                  <m:t>τ</m:t>
                </m:r>
              </m:e>
            </m:acc>
          </m:e>
          <m:sub>
            <m:r>
              <m:t>p</m:t>
            </m:r>
          </m:sub>
          <m:sup>
            <m:r>
              <m:rPr>
                <m:sty m:val="p"/>
              </m:rPr>
              <m:t>m</m:t>
            </m:r>
            <m:r>
              <m:rPr>
                <m:sty m:val="p"/>
              </m:rPr>
              <m:t>e</m:t>
            </m:r>
            <m:r>
              <m:rPr>
                <m:sty m:val="p"/>
              </m:rPr>
              <m:t>d</m:t>
            </m:r>
          </m:sup>
        </m:sSubSup>
      </m:oMath>
      <w:r>
        <w:rPr>
          <w:rFonts w:ascii="Arial" w:hAnsi="Arial"/>
        </w:rPr>
        <w:t xml:space="preserve"> </w:t>
      </w:r>
      <w:r>
        <w:rPr>
          <w:rFonts w:ascii="Arial" w:hAnsi="Arial"/>
        </w:rPr>
        <w:t xml:space="preserve">= −1.14 d (raw/SOS), −1.16 d (corrected/SOS), −0.28 d (raw/POS), and −0.29 d (corrected/POS),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for both SOS pipelines, 0.286 (raw/POS) and 0.268 (corrected/POS),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On the real v2.1 panel the SOS pseudo-coefficient is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keepNext/>
        <w:keepLines/>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p>
      <w:pPr>
        <w:keepNext w:val="0"/>
        <w:keepLines/>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w:t>
      </w:r>
      <w:r>
        <w:rPr>
          <w:rFonts w:ascii="Arial" w:hAnsi="Arial"/>
        </w:rPr>
        <w:t xml:space="preserve"> </w:t>
      </w:r>
      <m:oMath>
        <m:r>
          <m:t>Δ</m:t>
        </m:r>
        <m:acc>
          <m:accPr>
            <m:chr m:val="̂"/>
          </m:accPr>
          <m:e>
            <m:r>
              <m:t>τ</m:t>
            </m:r>
          </m:e>
        </m:acc>
      </m:oMath>
      <w:r>
        <w:rPr>
          <w:rFonts w:ascii="Arial" w:hAnsi="Arial"/>
        </w:rPr>
        <w:t xml:space="preserve"> </w:t>
      </w:r>
      <w:r>
        <w:rPr>
          <w:rFonts w:ascii="Arial" w:hAnsi="Arial"/>
        </w:rPr>
        <w:t xml:space="preserve">=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w:t>
      </w:r>
      <w:r>
        <w:rPr>
          <w:rFonts w:ascii="Arial" w:hAnsi="Arial"/>
        </w:rPr>
        <w:t xml:space="preserve"> </w:t>
      </w:r>
      <m:oMath>
        <m:r>
          <m:t>Δ</m:t>
        </m:r>
        <m:acc>
          <m:accPr>
            <m:chr m:val="̂"/>
          </m:accPr>
          <m:e>
            <m:r>
              <m:t>τ</m:t>
            </m:r>
          </m:e>
        </m:acc>
      </m:oMath>
      <w:r>
        <w:rPr>
          <w:rFonts w:ascii="Arial" w:hAnsi="Arial"/>
        </w:rPr>
        <w:t xml:space="preserve"> </w:t>
      </w:r>
      <w:r>
        <w:rPr>
          <w:rFonts w:ascii="Arial" w:hAnsi="Arial"/>
        </w:rPr>
        <w:t xml:space="preserve">=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return pre-treatment leads at</w:t>
      </w:r>
      <w:r>
        <w:rPr>
          <w:rFonts w:ascii="Arial" w:hAnsi="Arial"/>
        </w:rPr>
        <w:t xml:space="preserve"> </w:t>
      </w:r>
      <m:oMath>
        <m:r>
          <m:t>k</m:t>
        </m:r>
        <m:r>
          <m:rPr>
            <m:sty m:val="p"/>
          </m:rPr>
          <m:t>=</m:t>
        </m:r>
        <m:r>
          <m:rPr>
            <m:sty m:val="p"/>
          </m:rPr>
          <m:t>−</m:t>
        </m:r>
        <m:r>
          <m:t>2</m:t>
        </m:r>
      </m:oMath>
      <w:r>
        <w:rPr>
          <w:rFonts w:ascii="Arial" w:hAnsi="Arial"/>
        </w:rPr>
        <w:t xml:space="preserve"> </w:t>
      </w:r>
      <w:r>
        <w:rPr>
          <w:rFonts w:ascii="Arial" w:hAnsi="Arial"/>
        </w:rPr>
        <w:t xml:space="preserve">of +63.6 d (SOS, 95% CI [−30.5, +157.7]), +2.4 d (POS, 95% CI [−25.2, +30.0]), and +33.5 d (EOS, point estimate exact-fit on the n = 2 pre-period). The POS lead is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the SOS lead is non-zero in magnitude but its 95% CI brackets zero on the n = 2 pre-period, and the SOS pre-trend regression coefficient (Table S2) is non-significant (</w:t>
      </w:r>
      <w:r>
        <w:rPr>
          <w:rFonts w:ascii="Arial" w:hAnsi="Arial"/>
          <w:i/>
          <w:iCs/>
        </w:rPr>
        <w:t xml:space="preserve">p</w:t>
      </w:r>
      <w:r>
        <w:rPr>
          <w:rFonts w:ascii="Arial" w:hAnsi="Arial"/>
        </w:rPr>
        <w:t xml:space="preserve"> </w:t>
      </w:r>
      <w:r>
        <w:rPr>
          <w:rFonts w:ascii="Arial" w:hAnsi="Arial"/>
        </w:rP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76.1 % and corrected/SOS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76.7 %; Cuttack removal shifts raw/POS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55.8 % and corrected/POS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54.7 %; Bhadrak removal shifts corrected/EOS</w:t>
      </w:r>
      <w:r>
        <w:rPr>
          <w:rFonts w:ascii="Arial" w:hAnsi="Arial"/>
        </w:rPr>
        <w:t xml:space="preserve"> </w:t>
      </w:r>
      <m:oMath>
        <m:acc>
          <m:accPr>
            <m:chr m:val="̂"/>
          </m:accPr>
          <m:e>
            <m:r>
              <m:t>τ</m:t>
            </m:r>
          </m:e>
        </m:acc>
      </m:oMath>
      <w:r>
        <w:rPr>
          <w:rFonts w:ascii="Arial" w:hAnsi="Arial"/>
        </w:rPr>
        <w:t xml:space="preserve"> </w:t>
      </w:r>
      <w:r>
        <w:rPr>
          <w:rFonts w:ascii="Arial" w:hAnsi="Arial"/>
        </w:rPr>
        <w:t xml:space="preserve">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(both SOS pipelines), 0.286 (raw/POS), and 0.268 (corrected/POS),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w:t>
      </w:r>
      <w:r>
        <w:rPr>
          <w:rFonts w:ascii="Arial" w:hAnsi="Arial"/>
        </w:rPr>
        <w:t xml:space="preserve"> </w:t>
      </w:r>
      <m:oMath>
        <m:sSub>
          <m:e>
            <m:acc>
              <m:accPr>
                <m:chr m:val="̂"/>
              </m:accPr>
              <m:e>
                <m:r>
                  <m:t>τ</m:t>
                </m:r>
              </m:e>
            </m:acc>
          </m:e>
          <m:sub>
            <m:r>
              <m:rPr>
                <m:nor/>
                <m:sty m:val="p"/>
              </m:rPr>
              <m:t>pseudo,SOS</m:t>
            </m:r>
          </m:sub>
        </m:sSub>
      </m:oMath>
      <w:r>
        <w:rPr>
          <w:rFonts w:ascii="Arial" w:hAnsi="Arial"/>
        </w:rPr>
        <w:t xml:space="preserve"> </w:t>
      </w:r>
      <w:r>
        <w:rPr>
          <w:rFonts w:ascii="Arial" w:hAnsi="Arial"/>
        </w:rPr>
        <w:t xml:space="preserve">= −76.5 d (SE 38.31) and</w:t>
      </w:r>
      <w:r>
        <w:rPr>
          <w:rFonts w:ascii="Arial" w:hAnsi="Arial"/>
        </w:rPr>
        <w:t xml:space="preserve"> </w:t>
      </w:r>
      <m:oMath>
        <m:sSub>
          <m:e>
            <m:acc>
              <m:accPr>
                <m:chr m:val="̂"/>
              </m:accPr>
              <m:e>
                <m:r>
                  <m:t>τ</m:t>
                </m:r>
              </m:e>
            </m:acc>
          </m:e>
          <m:sub>
            <m:r>
              <m:rPr>
                <m:nor/>
                <m:sty m:val="p"/>
              </m:rPr>
              <m:t>pseudo,POS</m:t>
            </m:r>
          </m:sub>
        </m:sSub>
      </m:oMath>
      <w:r>
        <w:rPr>
          <w:rFonts w:ascii="Arial" w:hAnsi="Arial"/>
        </w:rPr>
        <w:t xml:space="preserve"> </w:t>
      </w:r>
      <w:r>
        <w:rPr>
          <w:rFonts w:ascii="Arial" w:hAnsi="Arial"/>
        </w:rPr>
        <w:t xml:space="preserve">=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w:t>
      </w:r>
      <w:r>
        <w:rPr>
          <w:rFonts w:ascii="Arial" w:hAnsi="Arial"/>
        </w:rPr>
        <w:t xml:space="preserve"> </w:t>
      </w:r>
      <m:oMath>
        <m:d>
          <m:dPr>
            <m:begChr m:val="|"/>
            <m:endChr m:val="|"/>
            <m:sepChr m:val=""/>
            <m:grow/>
          </m:dPr>
          <m:e>
            <m:acc>
              <m:accPr>
                <m:chr m:val="̂"/>
              </m:accPr>
              <m:e>
                <m:r>
                  <m:t>τ</m:t>
                </m:r>
              </m:e>
            </m:acc>
          </m:e>
        </m:d>
      </m:oMath>
      <w:r>
        <w:rPr>
          <w:rFonts w:ascii="Arial" w:hAnsi="Arial"/>
        </w:rP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w:t>
      </w:r>
      <w:r>
        <w:rPr>
          <w:rFonts w:ascii="Arial" w:hAnsi="Arial"/>
        </w:rPr>
        <w:t xml:space="preserve"> </w:t>
      </w:r>
      <m:oMath>
        <m:d>
          <m:dPr>
            <m:begChr m:val="|"/>
            <m:endChr m:val="|"/>
            <m:sepChr m:val=""/>
            <m:grow/>
          </m:dPr>
          <m:e>
            <m:acc>
              <m:accPr>
                <m:chr m:val="̂"/>
              </m:accPr>
              <m:e>
                <m:r>
                  <m:t>τ</m:t>
                </m:r>
              </m:e>
            </m:acc>
          </m:e>
        </m:d>
      </m:oMath>
      <w:r>
        <w:rPr>
          <w:rFonts w:ascii="Arial" w:hAnsi="Arial"/>
        </w:rP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keepNext/>
        <w:keepLines/>
        <w:jc w:val="center"/>
      </w:pPr>
      <w:r>
        <w:rPr>
          <w:rFonts w:ascii="Arial" w:hAnsi="Arial"/>
          <w:i/>
          <w:sz w:val="18"/>
        </w:rPr>
        <w:t>Figure 6. In-space placebo distribution from donor-swap permutation (56 reassignments of treatment status to inland-control districts). Real τ-hat marked by red dashed line. Corrected/EOS cell hits the design-floor p_perm = 0.018 at G = 8.</w:t>
      </w:r>
    </w:p>
    <w:p>
      <w:pPr>
        <w:keepNext w:val="0"/>
        <w:keepLines/>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w:t>
      </w:r>
      <w:r>
        <w:rPr>
          <w:rFonts w:ascii="Arial" w:hAnsi="Arial"/>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rPr>
        <w:t xml:space="preserve"> </w:t>
      </w:r>
      <w:r>
        <w:rPr>
          <w:rFonts w:ascii="Arial" w:hAnsi="Arial"/>
        </w:rPr>
        <w:t xml:space="preserve">=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m:oMath>
        <m:r>
          <m:t>Δ</m:t>
        </m:r>
        <m:acc>
          <m:accPr>
            <m:chr m:val="̂"/>
          </m:accPr>
          <m:e>
            <m:r>
              <m:t>τ</m:t>
            </m:r>
          </m:e>
        </m:acc>
      </m:oMath>
      <w:r>
        <w:rPr>
          <w:rFonts w:ascii="Arial" w:hAnsi="Arial"/>
        </w:rPr>
        <w:t xml:space="preserve"> </w:t>
      </w:r>
      <w:r>
        <w:rPr>
          <w:rFonts w:ascii="Arial" w:hAnsi="Arial"/>
        </w:rPr>
        <w:t xml:space="preserve">=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w:t>
      </w:r>
      <w:r>
        <w:rPr>
          <w:rFonts w:ascii="Arial" w:hAnsi="Arial"/>
        </w:rPr>
        <w:t xml:space="preserve"> </w:t>
      </w:r>
      <m:oMath>
        <m:r>
          <m:t>Δ</m:t>
        </m:r>
        <m:acc>
          <m:accPr>
            <m:chr m:val="̂"/>
          </m:accPr>
          <m:e>
            <m:r>
              <m:t>τ</m:t>
            </m:r>
          </m:e>
        </m:acc>
      </m:oMath>
      <w:r>
        <w:rPr>
          <w:rFonts w:ascii="Arial" w:hAnsi="Arial"/>
        </w:rPr>
        <w:t xml:space="preserve"> </w:t>
      </w:r>
      <w:r>
        <w:rPr>
          <w:rFonts w:ascii="Arial" w:hAnsi="Arial"/>
        </w:rPr>
        <w:t xml:space="preserve">=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279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rPr>
                <w:rFonts w:ascii="Arial" w:hAnsi="Arial"/>
                <w:sz w:val="18"/>
              </w:rPr>
              <w:t xml:space="preserve">Contribution (CRediT taxonomy)</w:t>
            </w:r>
          </w:p>
        </w:tc>
        <w:tc>
          <w:tcPr/>
          <w:p>
            <w:pPr>
              <w:pStyle w:val="Compact"/>
              <w:jc w:val="left"/>
            </w:pPr>
            <w:r>
              <w:rPr>
                <w:rFonts w:ascii="Arial" w:hAnsi="Arial"/>
                <w:sz w:val="18"/>
              </w:rPr>
              <w:t xml:space="preserve">Supranab Panda</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Software (GEE code, Python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w:t>
            </w:r>
          </w:p>
        </w:tc>
        <w:tc>
          <w:tcPr/>
          <w:p>
            <w:pPr>
              <w:pStyle w:val="Compact"/>
              <w:jc w:val="left"/>
            </w:pPr>
            <w:r>
              <w:rPr>
                <w:rFonts w:ascii="Arial" w:hAnsi="Arial"/>
                <w:sz w:val="18"/>
              </w:rPr>
              <w:t xml:space="preserve">Lead</w:t>
            </w:r>
          </w:p>
        </w:tc>
      </w:tr>
    </w:tbl>
    <w:p>
      <w:pPr>
        <w:pStyle w:val="BodyText"/>
      </w:pPr>
      <w:r>
        <w:rPr>
          <w:rFonts w:ascii="Arial" w:hAnsi="Arial"/>
          <w:i/>
          <w:iCs/>
        </w:rPr>
        <w:t xml:space="preserve">Author affiliations and full contact details are listed in the title block; additional contributors, if any, will be reflected in this matrix prior to journal submission.</w:t>
      </w:r>
    </w:p>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Friedl, M.A., Sulla-Menashe, D., Tan, B., Schneider, A., Ramankutty, N., Sibley, A., Huang, X., 2010. MODIS Collection 5 global land cover: algorithm refinements and characterization of new datasets.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114, 168–182. https://doi.org/10.1016/j.rse.2009.08.016</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Gray, J., Sulla-Menashe, D., Friedl, M.A., 2019.</w:t>
      </w:r>
      <w:r>
        <w:rPr>
          <w:rFonts w:ascii="Arial" w:hAnsi="Arial"/>
        </w:rPr>
        <w:t xml:space="preserve"> </w:t>
      </w:r>
      <w:r>
        <w:rPr>
          <w:rFonts w:ascii="Arial" w:hAnsi="Arial"/>
          <w:i/>
          <w:iCs/>
        </w:rPr>
        <w:t xml:space="preserve">User Guide to Collection 6 MODIS Land Cover Dynamics (MCD12Q2) Product</w:t>
      </w:r>
      <w:r>
        <w:rPr>
          <w:rFonts w:ascii="Arial" w:hAnsi="Arial"/>
        </w:rPr>
        <w:t xml:space="preserve">, Version 6.0. NASA EOSDIS Land Processes Distributed Active Archive Center, Sioux Falls, SD. https://lpdaac.usgs.gov/documents/465/MCD12Q2_User_Guide_V6.pdf</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Pandey, V.L., 2018.</w:t>
      </w:r>
      <w:r>
        <w:rPr>
          <w:rFonts w:ascii="Arial" w:hAnsi="Arial"/>
        </w:rPr>
        <w:t xml:space="preserve"> </w:t>
      </w:r>
      <w:r>
        <w:rPr>
          <w:rFonts w:ascii="Arial" w:hAnsi="Arial"/>
          <w:i/>
          <w:iCs/>
        </w:rPr>
        <w:t xml:space="preserve">Smallholders’ Dairy Farming and Markets: Productivity and Performance in India—ICRISAT Village Dynamics in South Asia (VDSA) Bulletin Series</w:t>
      </w:r>
      <w:r>
        <w:rPr>
          <w:rFonts w:ascii="Arial" w:hAnsi="Arial"/>
        </w:rPr>
        <w:t xml:space="preserve">. International Crops Research Institute for the Semi-Arid Tropics (ICRISAT), Patancheru, India. http://vdsa.icrisat.org</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Twele, A., Cao, W., Plank, S., Martinis, S., 2016. Sentinel-1-based flood mapping: a fully automated processing chain.</w:t>
      </w:r>
      <w:r>
        <w:rPr>
          <w:rFonts w:ascii="Arial" w:hAnsi="Arial"/>
        </w:rPr>
        <w:t xml:space="preserve"> </w:t>
      </w:r>
      <w:r>
        <w:rPr>
          <w:rFonts w:ascii="Arial" w:hAnsi="Arial"/>
          <w:i/>
          <w:iCs/>
        </w:rPr>
        <w:t xml:space="preserve">International Journal of Remote Sensing</w:t>
      </w:r>
      <w:r>
        <w:rPr>
          <w:rFonts w:ascii="Arial" w:hAnsi="Arial"/>
        </w:rPr>
        <w:t xml:space="preserve"> </w:t>
      </w:r>
      <w:r>
        <w:rPr>
          <w:rFonts w:ascii="Arial" w:hAnsi="Arial"/>
        </w:rPr>
        <w:t xml:space="preserve">37, 2990–3004. https://doi.org/10.1080/01431161.2016.1192304</w:t>
      </w:r>
    </w:p>
    <w:p>
      <w:pPr>
        <w:pStyle w:val="BodyText"/>
      </w:pPr>
      <w:r>
        <w:rPr>
          <w:rFonts w:ascii="Arial" w:hAnsi="Arial"/>
        </w:rPr>
        <w:t xml:space="preserve">UN-SPIDER, 2019.</w:t>
      </w:r>
      <w:r>
        <w:rPr>
          <w:rFonts w:ascii="Arial" w:hAnsi="Arial"/>
        </w:rPr>
        <w:t xml:space="preserve"> </w:t>
      </w:r>
      <w:r>
        <w:rPr>
          <w:rFonts w:ascii="Arial" w:hAnsi="Arial"/>
          <w:i/>
          <w:iCs/>
        </w:rPr>
        <w:t xml:space="preserve">Recommended Practice: Flood Mapping and Damage Assessment Using Sentinel-1 SAR Data in Google Earth Engine</w:t>
      </w:r>
      <w:r>
        <w:rPr>
          <w:rFonts w:ascii="Arial" w:hAnsi="Arial"/>
        </w:rPr>
        <w:t xml:space="preserve">. United Nations Platform for Space-based Information for Disaster Management and Emergency Response, Vienna. https://www.un-spider.org/advisory-support/recommended-practices/recommended-practice-google-earth-engine-flood-mapping</w:t>
      </w:r>
    </w:p>
    <w:p>
      <w:pPr>
        <w:pStyle w:val="BodyText"/>
      </w:pPr>
      <w:r>
        <w:rPr>
          <w:rFonts w:ascii="Arial" w:hAnsi="Arial"/>
        </w:rPr>
        <w:t xml:space="preserve">Voigt, S., Kemper, T., Riedlinger, T., Kiefl, R., Scholte, K., Mehl, H., 2007. Satellite image analysis for disaster and crisis-management support.</w:t>
      </w:r>
      <w:r>
        <w:rPr>
          <w:rFonts w:ascii="Arial" w:hAnsi="Arial"/>
        </w:rPr>
        <w:t xml:space="preserve"> </w:t>
      </w:r>
      <w:r>
        <w:rPr>
          <w:rFonts w:ascii="Arial" w:hAnsi="Arial"/>
          <w:i/>
          <w:iCs/>
        </w:rPr>
        <w:t xml:space="preserve">IEEE Transactions on Geoscience and Remote Sensing</w:t>
      </w:r>
      <w:r>
        <w:rPr>
          <w:rFonts w:ascii="Arial" w:hAnsi="Arial"/>
        </w:rPr>
        <w:t xml:space="preserve"> </w:t>
      </w:r>
      <w:r>
        <w:rPr>
          <w:rFonts w:ascii="Arial" w:hAnsi="Arial"/>
        </w:rPr>
        <w:t xml:space="preserve">45, 1520–1528. https://doi.org/10.1109/TGRS.2007.895830</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r>
        <w:rPr>
          <w:rFonts w:ascii="Arial" w:hAnsi="Arial"/>
        </w:rPr>
        <w:pict>
          <v:rect style="width:0;height:1.5pt" o:hralign="center" o:hrstd="t" o:hr="t"/>
        </w:pict>
      </w:r>
    </w:p>
    <w:p>
      <w:pPr>
        <w:pStyle w:val="FirstParagraph"/>
      </w:pPr>
      <w:r>
        <w:rPr>
          <w:rFonts w:ascii="Arial" w:hAnsi="Arial"/>
          <w:i/>
          <w:iCs/>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m:oMath>
        <m:sSub>
          <m:e>
            <m:acc>
              <m:accPr>
                <m:chr m:val="̂"/>
              </m:accPr>
              <m:e>
                <m:r>
                  <m:t>τ</m:t>
                </m:r>
              </m:e>
            </m:acc>
          </m:e>
          <m:sub>
            <m:r>
              <m:rPr>
                <m:sty m:val="p"/>
              </m:rPr>
              <m:t>S</m:t>
            </m:r>
            <m:r>
              <m:rPr>
                <m:sty m:val="p"/>
              </m:rPr>
              <m:t>O</m:t>
            </m:r>
            <m:r>
              <m:rPr>
                <m:sty m:val="p"/>
              </m:rPr>
              <m:t>S</m:t>
            </m:r>
          </m:sub>
        </m:sSub>
      </m:oMath>
      <w:r>
        <w:rPr>
          <w:rFonts w:ascii="Arial" w:hAnsi="Arial"/>
          <w:i/>
          <w:iCs/>
        </w:rPr>
        <w:t xml:space="preserve">: 15.289 → 15.108 d,</w:t>
      </w:r>
      <w:r>
        <w:rPr>
          <w:rFonts w:ascii="Arial" w:hAnsi="Arial"/>
          <w:i/>
          <w:iCs/>
        </w:rPr>
        <w:t xml:space="preserve"> </w:t>
      </w:r>
      <m:oMath>
        <m:r>
          <m:t>Δ</m:t>
        </m:r>
        <m:acc>
          <m:accPr>
            <m:chr m:val="̂"/>
          </m:accPr>
          <m:e>
            <m:r>
              <m:t>τ</m:t>
            </m:r>
          </m:e>
        </m:acc>
      </m:oMath>
      <w:r>
        <w:rPr>
          <w:rFonts w:ascii="Arial" w:hAnsi="Arial"/>
          <w:i/>
          <w:iCs/>
        </w:rPr>
        <w:t xml:space="preserve"> </w:t>
      </w:r>
      <w:r>
        <w:rPr>
          <w:rFonts w:ascii="Arial" w:hAnsi="Arial"/>
          <w:i/>
          <w:iCs/>
        </w:rPr>
        <w:t xml:space="preserve">= −0.181 d;</w:t>
      </w:r>
      <w:r>
        <w:rPr>
          <w:rFonts w:ascii="Arial" w:hAnsi="Arial"/>
          <w:i/>
          <w:iCs/>
        </w:rPr>
        <w:t xml:space="preserve"> </w:t>
      </w:r>
      <m:oMath>
        <m:sSub>
          <m:e>
            <m:acc>
              <m:accPr>
                <m:chr m:val="̂"/>
              </m:accPr>
              <m:e>
                <m:r>
                  <m:t>τ</m:t>
                </m:r>
              </m:e>
            </m:acc>
          </m:e>
          <m:sub>
            <m:r>
              <m:rPr>
                <m:sty m:val="p"/>
              </m:rPr>
              <m:t>P</m:t>
            </m:r>
            <m:r>
              <m:rPr>
                <m:sty m:val="p"/>
              </m:rPr>
              <m:t>O</m:t>
            </m:r>
            <m:r>
              <m:rPr>
                <m:sty m:val="p"/>
              </m:rPr>
              <m:t>S</m:t>
            </m:r>
          </m:sub>
        </m:sSub>
      </m:oMath>
      <w:r>
        <w:rPr>
          <w:rFonts w:ascii="Arial" w:hAnsi="Arial"/>
          <w:i/>
          <w:iCs/>
        </w:rPr>
        <w:t xml:space="preserve">: −3.587 → −3.677 d,</w:t>
      </w:r>
      <w:r>
        <w:rPr>
          <w:rFonts w:ascii="Arial" w:hAnsi="Arial"/>
          <w:i/>
          <w:iCs/>
        </w:rPr>
        <w:t xml:space="preserve"> </w:t>
      </w:r>
      <m:oMath>
        <m:r>
          <m:t>Δ</m:t>
        </m:r>
        <m:acc>
          <m:accPr>
            <m:chr m:val="̂"/>
          </m:accPr>
          <m:e>
            <m:r>
              <m:t>τ</m:t>
            </m:r>
          </m:e>
        </m:acc>
      </m:oMath>
      <w:r>
        <w:rPr>
          <w:rFonts w:ascii="Arial" w:hAnsi="Arial"/>
          <w:i/>
          <w:iCs/>
        </w:rPr>
        <w:t xml:space="preserve"> </w:t>
      </w:r>
      <w:r>
        <w:rPr>
          <w:rFonts w:ascii="Arial" w:hAnsi="Arial"/>
          <w:i/>
          <w:iCs/>
        </w:rPr>
        <w:t xml:space="preserve">= −0.090 d;</w:t>
      </w:r>
      <w:r>
        <w:rPr>
          <w:rFonts w:ascii="Arial" w:hAnsi="Arial"/>
          <w:i/>
          <w:iCs/>
        </w:rPr>
        <w:t xml:space="preserve"> </w:t>
      </w:r>
      <m:oMath>
        <m:sSub>
          <m:e>
            <m:acc>
              <m:accPr>
                <m:chr m:val="̂"/>
              </m:accPr>
              <m:e>
                <m:r>
                  <m:t>τ</m:t>
                </m:r>
              </m:e>
            </m:acc>
          </m:e>
          <m:sub>
            <m:r>
              <m:rPr>
                <m:sty m:val="p"/>
              </m:rPr>
              <m:t>E</m:t>
            </m:r>
            <m:r>
              <m:rPr>
                <m:sty m:val="p"/>
              </m:rPr>
              <m:t>O</m:t>
            </m:r>
            <m:r>
              <m:rPr>
                <m:sty m:val="p"/>
              </m:rPr>
              <m:t>S</m:t>
            </m:r>
          </m:sub>
        </m:sSub>
      </m:oMath>
      <w:r>
        <w:rPr>
          <w:rFonts w:ascii="Arial" w:hAnsi="Arial"/>
          <w:i/>
          <w:iCs/>
        </w:rP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2026-06-08T15:32:13Z</dcterms:created>
  <dcterms:modified xsi:type="dcterms:W3CDTF">2026-06-08T15:32:13Z</dcterms:modified>
</cp:coreProperties>
</file>

<file path=docProps/custom.xml><?xml version="1.0" encoding="utf-8"?>
<Properties xmlns="http://schemas.openxmlformats.org/officeDocument/2006/custom-properties" xmlns:vt="http://schemas.openxmlformats.org/officeDocument/2006/docPropsVTypes"/>
</file>