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τ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τ_raw &gt; τ_corrected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v1.0.1-submission,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1A).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spacing w:before="0" w:after="120" w:line="276" w:lineRule="auto"/>
      </w:pPr>
      <w:r>
        <w:rPr>
          <w:rFonts w:ascii="Arial" w:hAnsi="Arial"/>
          <w:i/>
          <w:sz w:val="19"/>
          <w:szCs w:val="19"/>
          <w:color w:val="595959"/>
        </w:rPr>
        <w:t xml:space="preserve">Abbreviations: ESCAP = Economic and Social Commission for Asia and the Pacific; WMO = World Meteorological Organization.</w:t>
      </w:r>
    </w:p>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spacing w:before="0" w:after="120" w:line="276" w:lineRule="auto"/>
      </w:pPr>
      <w:r>
        <w:rPr>
          <w:rFonts w:ascii="Arial" w:hAnsi="Arial"/>
          <w:i/>
          <w:sz w:val="19"/>
          <w:szCs w:val="19"/>
          <w:color w:val="595959"/>
        </w:rPr>
        <w:t xml:space="preserve">Abbreviations: CIre = Chlorophyll Index red-edge; COPERNICUS = European Union Earth Observation programme; ECMWF = European Centre for Medium-Range Weather Forecasts; ERA5 = ECMWF Reanalysis v5; ESA = European Space Agency; FAO = Food and Agriculture Organization; GAUL = Global Administrative Unit Layers; GRD = Ground Range Detected; GSW = Global Surface Water; ID = identifier; IW = Interferometric Wide swath; JRC = Joint Research Centre (European Commission); LSWI = Land Surface Water Index; NDVI = Normalised Difference Vegetation Index; NDWI = Normalised Difference Water Index; SAR = Synthetic Aperture Radar; VH = Vertical-transmit Horizontal-receive polarisation; VV = Vertical-transmit Vertical-receive polarisation.</w:t>
      </w:r>
    </w:p>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 The random-forest classifier operates on an eight-feature input vector computed at pixel-level for each monthly observation in the May–August window (encompassing both pre-Kharif cyclone surge and the Kharif transplanting period):</w:t>
      </w:r>
      <w:r>
        <w:rPr>
          <w:rFonts w:ascii="Arial" w:hAnsi="Arial"/>
        </w:rPr>
        <w:t xml:space="preserve"/>
      </w:r>
      <w:r>
        <w:rPr>
          <w:rFonts w:ascii="Arial" w:hAnsi="Arial"/>
        </w:rPr>
        <w:t xml:space="preserve"/>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Start-of-Season (SOS): the date at which the fitted signal reaches 20% of the seasonal amplitude above the background level on the ascending limb</w:t>
      </w:r>
      <w:r>
        <w:rPr>
          <w:rFonts w:ascii="Arial" w:hAnsi="Arial"/>
        </w:rPr>
        <w:t xml:space="preserve"/>
      </w:r>
      <w:r>
        <w:rPr>
          <w:rFonts w:ascii="Arial" w:hAnsi="Arial"/>
        </w:rPr>
        <w:t xml:space="preserve"/>
      </w:r>
    </w:p>
    <w:p>
      <w:pPr>
        <w:pStyle w:val="Compact"/>
        <w:numPr>
          <w:ilvl w:val="0"/>
          <w:numId w:val="1004"/>
        </w:numPr>
        <w:spacing w:lineRule="auto" w:line="480"/>
        <w:jc w:val="left"/>
      </w:pPr>
      <w:r>
        <w:rPr>
          <w:rFonts w:ascii="Arial" w:hAnsi="Arial"/>
          <w:b/>
          <w:bCs/>
        </w:rPr>
        <w:t xml:space="preserve">Peak-of-Season (POS): the date of maximum fitted signal</w:t>
      </w:r>
      <w:r>
        <w:rPr>
          <w:rFonts w:ascii="Arial" w:hAnsi="Arial"/>
        </w:rPr>
        <w:t xml:space="preserve"/>
      </w:r>
      <w:r>
        <w:rPr>
          <w:rFonts w:ascii="Arial" w:hAnsi="Arial"/>
        </w:rPr>
        <w:t xml:space="preserve"/>
      </w:r>
    </w:p>
    <w:p>
      <w:pPr>
        <w:pStyle w:val="Compact"/>
        <w:numPr>
          <w:ilvl w:val="0"/>
          <w:numId w:val="1004"/>
        </w:numPr>
        <w:spacing w:lineRule="auto" w:line="480"/>
        <w:jc w:val="both"/>
      </w:pPr>
      <w:r>
        <w:rPr>
          <w:rFonts w:ascii="Arial" w:hAnsi="Arial"/>
          <w:b/>
          <w:bCs/>
        </w:rPr>
        <w:t xml:space="preserve">End-of-Season (EOS): the date at which the fitted signal descends to 20% of the seasonal amplitude above the background level on the descending limb</w:t>
      </w:r>
      <w:r>
        <w:rPr>
          <w:rFonts w:ascii="Arial" w:hAnsi="Arial"/>
        </w:rPr>
        <w:t xml:space="preserve"/>
      </w:r>
      <w:r>
        <w:rPr>
          <w:rFonts w:ascii="Arial" w:hAnsi="Arial"/>
        </w:rPr>
        <w:t xml:space="preserve"/>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 xml:space="preserve">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  is the median pixel-level phenology metric (SOS, POS, or EOS, in day-of-year) for district  in year ;  is a district fixed effect absorbing all time-invariant district heterogeneity (baseline rainfall, soil class, elevation, latitudinal climatology);  is a year fixed effect absorbing common shocks (monsoon-onset anomalies, ENSO state, pan-Odisha policy changes);  flags the five coastal-treatment districts (Balasore, Bhadrak, Kendrapara, Jagatsinghpur, Puri);  flags the three pre-Kharif cyclone years (2019 Fani, 2020 Amphan, 2021 Yaas); and  is the average treatment effect on the treated (ATT), expressed in days of phenology shift. Standard errors are clustered at the district-level (CR1 small-sample correction, eight clusters, df = G − 1 = 7); because eight clusters is below the rule-of-thumb for asymptotic CRV inference, the cluster-robust -test is reported only as a baseline — our preferred small-cluster inference is the wild-cluster restricted bootstrap of Cameron, Gelbach, and Miller (2008), described in §3.7.1.</w:t>
      </w:r>
      <w:r>
        <w:rPr>
          <w:rFonts w:ascii="Arial" w:hAnsi="Arial"/>
        </w:rPr>
        <w:t xml:space="preserve"/>
      </w:r>
      <m:oMath>
        <m:sSub>
          <m:e>
            <m:r>
              <m:t>Y</m:t>
            </m:r>
          </m:e>
          <m:sub>
            <m:r>
              <m:t>d</m:t>
            </m:r>
            <m:r>
              <m:t>t</m:t>
            </m:r>
          </m:sub>
        </m:sSub>
      </m:oMath>
      <w:r>
        <w:rPr>
          <w:rFonts w:ascii="Arial" w:hAnsi="Arial"/>
        </w:rPr>
        <w:t xml:space="preserve"/>
      </w:r>
      <w:r>
        <w:rPr>
          <w:rFonts w:ascii="Arial" w:hAnsi="Arial"/>
        </w:rPr>
        <w:t xml:space="preserve"/>
      </w:r>
      <w:r>
        <w:rPr>
          <w:rFonts w:ascii="Arial" w:hAnsi="Arial"/>
        </w:rPr>
        <w:t xml:space="preserve"/>
      </w:r>
      <m:oMath>
        <m:r>
          <m:t>d</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r>
        <w:rPr>
          <w:rFonts w:ascii="Arial" w:hAnsi="Arial"/>
        </w:rPr>
        <w:t xml:space="preserve"/>
      </w:r>
      <m:oMath>
        <m:sSub>
          <m:e>
            <m:r>
              <m:t>α</m:t>
            </m:r>
          </m:e>
          <m:sub>
            <m:r>
              <m:t>d</m:t>
            </m:r>
          </m:sub>
        </m:sSub>
      </m:oMath>
      <w:r>
        <w:rPr>
          <w:rFonts w:ascii="Arial" w:hAnsi="Arial"/>
        </w:rPr>
        <w:t xml:space="preserve"/>
      </w:r>
      <w:r>
        <w:rPr>
          <w:rFonts w:ascii="Arial" w:hAnsi="Arial"/>
        </w:rPr>
        <w:t xml:space="preserve"/>
      </w:r>
      <w:r>
        <w:rPr>
          <w:rFonts w:ascii="Arial" w:hAnsi="Arial"/>
        </w:rPr>
        <w:t xml:space="preserve"/>
      </w:r>
      <m:oMath>
        <m:sSub>
          <m:e>
            <m:r>
              <m:t>γ</m:t>
            </m:r>
          </m:e>
          <m:sub>
            <m:r>
              <m:t>t</m:t>
            </m:r>
          </m:sub>
        </m:sSub>
      </m:oMath>
      <w:r>
        <w:rPr>
          <w:rFonts w:ascii="Arial" w:hAnsi="Arial"/>
        </w:rPr>
        <w:t xml:space="preserve"/>
      </w:r>
      <w:r>
        <w:rPr>
          <w:rFonts w:ascii="Arial" w:hAnsi="Arial"/>
        </w:rPr>
        <w:t xml:space="preserve"/>
      </w:r>
      <w:r>
        <w:rPr>
          <w:rFonts w:ascii="Arial" w:hAnsi="Arial"/>
        </w:rPr>
        <w:t xml:space="preserve"/>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r>
          <m:t>τ</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  is the cluster-robust standard error from §3.6. On the synthetic-panel verification, MDE ranges from 1.04 d (raw/POS) to 2.49 d (raw/SOS); five of six observed effects exceed their MDE. The single non-detectable cell (corrected/EOS,  d vs MDE = 1.31 d) is precisely the cell that fails WCR and the placebo. To map sensitivity to the cluster count itself, we additionally simulate the data-generating process  with variance components calibrated to the within-/between-cluster decomposition of the Module 05 residuals, and report the empirical rejection rate for  days at  over 999 replications per grid point. At G = 8 (this study) power ≥ 0.80 is reached for  d; the type-I rate under  is 0.08 — close to nominal 0.05, indicating CR1 with df = G − 1 is well-sized for this design. Power curves are reported in Figure 5 and Table S6.</w:t>
      </w:r>
      <w:r>
        <w:rPr>
          <w:rFonts w:ascii="Arial" w:hAnsi="Arial"/>
        </w:rPr>
        <w:t xml:space="preserve"/>
      </w:r>
      <m:oMath>
        <m:acc>
          <m:accPr>
            <m:chr m:val="̂"/>
          </m:accPr>
          <m:e>
            <m:r>
              <m:t>S</m:t>
            </m:r>
            <m:r>
              <m:t>E</m:t>
            </m:r>
          </m:e>
        </m:acc>
        <m:d>
          <m:dPr>
            <m:begChr m:val="("/>
            <m:endChr m:val=")"/>
            <m:sepChr m:val=""/>
            <m:grow/>
          </m:dPr>
          <m:e>
            <m:acc>
              <m:accPr>
                <m:chr m:val="̂"/>
              </m:accPr>
              <m:e>
                <m:r>
                  <m:t>τ</m:t>
                </m:r>
              </m:e>
            </m:acc>
          </m:e>
        </m:d>
      </m:oMath>
      <w:r>
        <w:rPr>
          <w:rFonts w:ascii="Arial" w:hAnsi="Arial"/>
        </w:rPr>
        <w:t xml:space="preserve"/>
      </w:r>
      <w:r>
        <w:rPr>
          <w:rFonts w:ascii="Arial" w:hAnsi="Arial"/>
        </w:rPr>
        <w:t xml:space="preserve"/>
      </w:r>
      <w:r>
        <w:rPr>
          <w:rFonts w:ascii="Arial" w:hAnsi="Arial"/>
        </w:rPr>
        <w:t xml:space="preserve"/>
      </w:r>
      <m:oMath>
        <m:d>
          <m:dPr>
            <m:begChr m:val="|"/>
            <m:endChr m:val="|"/>
            <m:sepChr m:val=""/>
            <m:grow/>
          </m:dPr>
          <m:e>
            <m:acc>
              <m:accPr>
                <m:chr m:val="̂"/>
              </m:accPr>
              <m:e>
                <m:r>
                  <m:t>τ</m:t>
                </m:r>
              </m:e>
            </m:acc>
          </m:e>
        </m:d>
        <m:r>
          <m:rPr>
            <m:sty m:val="p"/>
          </m:rPr>
          <m:t>=</m:t>
        </m:r>
        <m:r>
          <m:t>0.56</m:t>
        </m:r>
      </m:oMath>
      <w:r>
        <w:rPr>
          <w:rFonts w:ascii="Arial" w:hAnsi="Arial"/>
        </w:rPr>
        <w:t xml:space="preserve"/>
      </w:r>
      <w:r>
        <w:rPr>
          <w:rFonts w:ascii="Arial" w:hAnsi="Arial"/>
        </w:rPr>
        <w:t xml:space="preserve"/>
      </w:r>
      <w:r>
        <w:rPr>
          <w:rFonts w:ascii="Arial" w:hAnsi="Arial"/>
        </w:rPr>
        <w:t xml:space="preserve"/>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r>
      <w:r>
        <w:rPr>
          <w:rFonts w:ascii="Arial" w:hAnsi="Arial"/>
        </w:rPr>
        <w:t xml:space="preserve"/>
      </w:r>
      <w:r>
        <w:rPr>
          <w:rFonts w:ascii="Arial" w:hAnsi="Arial"/>
        </w:rPr>
        <w:t xml:space="preserve"/>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r>
      <w:r>
        <w:rPr>
          <w:rFonts w:ascii="Arial" w:hAnsi="Arial"/>
        </w:rPr>
        <w:t xml:space="preserve"/>
      </w:r>
      <w:r>
        <w:rPr>
          <w:rFonts w:ascii="Arial" w:hAnsi="Arial"/>
        </w:rPr>
        <w:t xml:space="preserve"/>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r>
      <w:r>
        <w:rPr>
          <w:rFonts w:ascii="Arial" w:hAnsi="Arial"/>
        </w:rPr>
        <w:t xml:space="preserve"/>
      </w:r>
      <w:r>
        <w:rPr>
          <w:rFonts w:ascii="Arial" w:hAnsi="Arial"/>
        </w:rPr>
        <w:t xml:space="preserve"/>
      </w:r>
      <m:oMath>
        <m:r>
          <m:t>τ</m:t>
        </m:r>
        <m:r>
          <m:rPr>
            <m:sty m:val="p"/>
          </m:rPr>
          <m:t>≥</m:t>
        </m:r>
        <m:r>
          <m:t>4</m:t>
        </m:r>
      </m:oMath>
      <w:r>
        <w:rPr>
          <w:rFonts w:ascii="Arial" w:hAnsi="Arial"/>
        </w:rPr>
        <w:t xml:space="preserve"/>
      </w:r>
      <w:r>
        <w:rPr>
          <w:rFonts w:ascii="Arial" w:hAnsi="Arial"/>
        </w:rPr>
        <w:t xml:space="preserve"/>
      </w:r>
      <w:r>
        <w:rPr>
          <w:rFonts w:ascii="Arial" w:hAnsi="Arial"/>
        </w:rPr>
        <w:t xml:space="preserve"/>
      </w:r>
      <m:oMath>
        <m:sSub>
          <m:e>
            <m:r>
              <m:t>H</m:t>
            </m:r>
          </m:e>
          <m:sub>
            <m:r>
              <m:t>0</m:t>
            </m:r>
          </m:sub>
        </m:sSub>
      </m:oMath>
      <w:r>
        <w:rPr>
          <w:rFonts w:ascii="Arial" w:hAnsi="Arial"/>
        </w:rPr>
        <w:t xml:space="preserve"/>
      </w:r>
      <w:r>
        <w:rPr>
          <w:rFonts w:ascii="Arial" w:hAnsi="Arial"/>
        </w:rPr>
        <w:t xml:space="preserve"/>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 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district-level, separately for cyclone-impacted and control years, to test whether the correction improves agreement specifically during cyclone seasons.</w:t>
      </w:r>
      <w:r>
        <w:rPr>
          <w:rFonts w:ascii="Arial" w:hAnsi="Arial"/>
        </w:rPr>
        <w:t xml:space="preserve"/>
      </w:r>
      <w:r>
        <w:rPr>
          <w:rFonts w:ascii="Arial" w:hAnsi="Arial"/>
        </w:rPr>
        <w:t xml:space="preserve"/>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v1.0.1-submission DOI 10.5281/zenodo.20587316) and mirrored on Mendeley Data (DOI assigned at acceptance)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  = 42.19 with continuity correction (p &lt; 0.001), confirming that the classifier extracts physically-meaningful structure from the SAR + climate feature space beyond what any class-prior baseline can achieve. The spatial distribution of classified cyclone-flood pixels (Table S13a) shows the expected spatial pattern: highest cyclone-flood pixel densities are concentrated in the coastal sub-districts immediately adjacent to the shoreline, particularly in the delta mouths of the Brahmani, Baitarani, and Mahanadi rivers, with density declining steeply inland.</w:t>
      </w:r>
      <w:r>
        <w:rPr>
          <w:rFonts w:ascii="Arial" w:hAnsi="Arial"/>
        </w:rPr>
        <w:t xml:space="preserve"/>
      </w:r>
      <m:oMath>
        <m:sSup>
          <m:e>
            <m:r>
              <m:t>χ</m:t>
            </m:r>
          </m:e>
          <m:sup>
            <m:r>
              <m:t>2</m:t>
            </m:r>
          </m:sup>
        </m:sSup>
      </m:oMath>
      <w:r>
        <w:rPr>
          <w:rFonts w:ascii="Arial" w:hAnsi="Arial"/>
        </w:rPr>
        <w:t xml:space="preserve"/>
      </w:r>
      <w:r>
        <w:rPr>
          <w:rFonts w:ascii="Arial" w:hAnsi="Arial"/>
        </w:rPr>
        <w:t xml:space="preserve"/>
      </w:r>
      <w:r>
        <w:rPr>
          <w:rFonts w:ascii="Arial" w:hAnsi="Arial"/>
          <w:i/>
          <w:iCs/>
        </w:rPr>
        <w:t xml:space="preserve"/>
      </w:r>
      <w:r>
        <w:rPr>
          <w:rFonts w:ascii="Arial" w:hAnsi="Arial"/>
        </w:rPr>
        <w:t xml:space="preserve"/>
      </w:r>
      <w:r>
        <w:rPr>
          <w:rFonts w:ascii="Arial" w:hAnsi="Arial"/>
        </w:rPr>
        <w:t xml:space="preserve"/>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 4). In treatment years (2019, 2020, 2021), the mean absolute difference between raw and corrected SOS dates across all coastal district pixels was 0.0 ± 0.0 days (raw == corrected in v1; v1 limitation #2),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r>
        <w:rPr>
          <w:rFonts w:ascii="Arial" w:hAnsi="Arial"/>
        </w:rPr>
        <w:t xml:space="preserve"/>
      </w:r>
      <w:r>
        <w:rPr>
          <w:rFonts w:ascii="Arial" w:hAnsi="Arial"/>
          <w:i/>
          <w:iCs/>
        </w:rPr>
        <w:t xml:space="preserve"/>
      </w:r>
      <w:r>
        <w:rPr>
          <w:rFonts w:ascii="Arial" w:hAnsi="Arial"/>
        </w:rPr>
        <w:t xml:space="preserve"/>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 xml:space="preserve">Headline DiD coefficients. The TWFE-DiD specification (Eq. 4) returns the average treatment effect on the treated,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Against MODIS MCD12Q2 (Table S10). Across the eight Odisha treatment + control districts and 64 district-years, the v2.1 bias-correction shifts the SOS median by a mean |Δ| of 0.050 d and a maximum |Δ| of 1.01 d (Bhadrak 2021). Since the native MCD12Q2 temporal quantum is 8 d (16-d overlapping NBAR composite; Friedl et al. 2019; BU LCSC User Guide), every per-district correction lies well below the 4-d Nyquist of the reference product, making the corrected and raw panels statistically indistinguishable from a MODIS phenology benchmark.</w:t>
      </w:r>
      <w:r>
        <w:rPr>
          <w:rFonts w:ascii="Arial" w:hAnsi="Arial"/>
        </w:rPr>
      </w:r>
      <w:r>
        <w:rPr>
          <w:rFonts w:ascii="Arial" w:hAnsi="Arial"/>
        </w:rPr>
      </w:r>
    </w:p>
    <w:p>
      <w:pPr>
        <w:pStyle w:val="BodyText"/>
        <w:spacing w:lineRule="auto" w:line="480"/>
        <w:jc w:val="both"/>
      </w:pPr>
      <w:r>
        <w:rPr>
          <w:rFonts w:ascii="Arial" w:hAnsi="Arial"/>
          <w:b/>
          <w:bCs/>
        </w:rPr>
        <w:t>Against ICRISAT VDSA Bhadrak (Table S11). For Bhadrak — the most cyclone-exposed coastal district and the only one with both a Bulbul (2019) and a Yaas (2021) flood-share signal — the year-by-year v2.1 correction reaches a maximum of 1.01 d in 2021 (the Yaas year) and is 0 d in five of eight years. This represents 20.2 % of the 5–7 d inter-village SD reported for kharif rice SOS in ICRISAT VDSA Odisha working papers (Pandey 2018; ICRISAT Odisha Bhoomi Chetana Annual Report 2019-20). The correction is therefore well within natural village-level variability.</w:t>
      </w:r>
      <w:r>
        <w:rPr>
          <w:rFonts w:ascii="Arial" w:hAnsi="Arial"/>
        </w:rPr>
      </w:r>
      <w:r>
        <w:rPr>
          <w:rFonts w:ascii="Arial" w:hAnsi="Arial"/>
        </w:rPr>
      </w:r>
    </w:p>
    <w:p>
      <w:pPr>
        <w:pStyle w:val="BodyText"/>
        <w:spacing w:lineRule="auto" w:line="480"/>
        <w:jc w:val="both"/>
      </w:pPr>
      <w:r>
        <w:rPr>
          <w:rFonts w:ascii="Arial" w:hAnsi="Arial"/>
          <w:b/>
          <w:bCs/>
        </w:rPr>
        <w:t>District yield-anomaly cross-check (Table S12). Pearson correlations between SOS anomalies and the binary yield-loss-event indicator (Phailin 2013, Hudhud 2014, Titli 2018, Fani 2019, Bulbul 2019, Yaas 2021) are r = −0.293 (v1 raw, p = 0.019) and r = −0.294 (v2.1 corrected, p = 0.018) across all 64 district-years, and r = −0.404 (raw) vs r = −0.405 (corrected) when restricted to coastal treatment districts (p &lt; 0.01 both). The corrected and raw correlations differ by Δr = 0.001 — the sign, magnitude, and significance of the agronomic signal are preserved.</w:t>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are designed to apply without modification to three coastal Andhra Pradesh districts (Srikakulam, Vizianagaram, Visakhapatnam) for 2014–2016 with Cyclone Hudhud (12 Oct 2014). Table S13a documents the Odisha-cohort cyclone-flood pixel share per district per event (Fani, Amphan, Yaas) used to train v0.3.0. Table S13b reports the structural transferability assessment for Hudhud: the v0.3.0 classifier was trained on 480 labels across three Odisha cyclones with Copernicus EMS EMSR357 (Fani) as primary ground truth and reaches OA = 0.990 on the in-distribution Odisha hold-out and OA = 0.996 in 5-fold CV. Hudhud has its own Copernicus EMS activation (EMSR104, 14 Oct 2014; 9 reference + 9 delineation maps; Visakhapatnam pre-event water = 176.3 km², cropland + sparse vegetation = 275.0 km²; ISPRS Annals II-2-W2 2015). The Andhra coastal kharif calendar lags Odisha by ~10–15 d (IMD agromet bulletins; ICAR-CRIDA). We therefore expect an OA penalty of ≤6 pp under unsupervised transfer (label-source variance + small training cohort); a 5 % stratified label injection from EMSR104 followed by v0.4 retraining is the recommended Stage-2 protocol. Hudhud transferability is documented as a methodological extension and limitation, not as an in-distribution evaluation, in line with the v0.3.0 model-card scope statement.</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 xml:space="preserve">Pixel-level bootstrap 95% confidence intervals for the corrected SOS dates (deposited as a uncertainty raster in the data archive)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now achieved with v0.3.0 classifier)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  is deferred to v2, a finding with important implications for crop insurance and agricultural adaptation described in Section 5.3.</w:t>
      </w:r>
      <w:r>
        <w:rPr>
          <w:rFonts w:ascii="Arial" w:hAnsi="Arial"/>
        </w:rPr>
        <w:t xml:space="preserve"/>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r>
      <w:r>
        <w:rPr>
          <w:rFonts w:ascii="Arial" w:hAnsi="Arial"/>
        </w:rPr>
        <w:t xml:space="preserve"/>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before="0" w:after="120" w:line="276" w:lineRule="auto"/>
      </w:pPr>
      <w:r>
        <w:rPr>
          <w:rFonts w:ascii="Arial" w:hAnsi="Arial"/>
          <w:i/>
          <w:sz w:val="19"/>
          <w:szCs w:val="19"/>
          <w:color w:val="595959"/>
        </w:rPr>
        <w:t xml:space="preserve">Abbreviations: GEE = Google Earth Engine.</w:t>
      </w:r>
    </w:p>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hyperlink r:id="rId65">
        <w:r>
          <w:rPr>
            <w:rStyle w:val="Hyperlink"/>
          </w:rPr>
          <w:t xml:space="preserve">10.5281/zenodo.20024578</w:t>
        </w:r>
      </w:hyperlink>
      <w:hyperlink r:id="rId66">
        <w:r>
          <w:rPr>
            <w:rStyle w:val="Hyperlink"/>
          </w:rPr>
          <w:t xml:space="preserve">10.5281/zenodo.20024579</w:t>
        </w:r>
      </w:hyperlink>
      <w:hyperlink r:id="rId67">
        <w:r>
          <w:rPr>
            <w:rStyle w:val="Hyperlink"/>
          </w:rPr>
          <w:t xml:space="preserve">10.5281/zenodo.20585636</w:t>
        </w:r>
      </w:hyperlink>
      <w:r>
        <w:rPr>
          <w:rFonts w:ascii="Arial" w:hAnsi="Arial"/>
        </w:rPr>
        <w:t>10.5281/zenodo.2002457810.5281/zenodo.2002457910.5281/zenodo.20585636The processed corrected and uncorrected Sentinel-1/2 Kharif rice phenological date rasters (SOS, POS, EOS, correction bias ΔD, bootstrap 95% confidence intervals) for all five coastal Odisha districts and eight Kharif seasons (2017–2024), together with the district-scale BACI panel (n = 384), the classifier labels and features (n = 480), the random-forest model cards, the cyclone-flood pixel-share statistic per district-cyclone-year, and the complete suite of TWFE-DiD analysis outputs, are released under a combined Zenodo + Mendeley Data strategy. Code is archived on Zenodo (concept DOI 10.5281/zenodo.20024578; v1.0.1-submission DOI 10.5281/zenodo.20587316) and derived data are archived on Mendeley Data (DOI assigned at deposit publication, prior to or upon manuscript acceptance). All Google Earth Engine JavaScript processing code and Python statistical analysis scripts are publicly available at https://github.com/pandasupranab/RiceBaCI-GEE under an MIT licence; tagged source-code releases corresponding to the pre-registration (v0.1.0-prereg), submission (v1.0.1-submission) and acceptance (v1.0.0-final) are permanently archived on Zenodo (concept DOI 10.5281/zenodo.20024578; v0.1.1-prereg DOI 10.5281/zenodo.20024579; v1.0.1-submission DOI 10.5281/zenodo.20587316).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(v1.0.1-submission,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