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BodyText"/>
      </w:pPr>
      <w:r>
        <w:t xml:space="preserve">Tropical cyclones disrupt Kharif rice along the Bay of Bengal coast, yet no published study has quantified the bias that cyclone-induced saline storm-surge inundation introduces into Sentinel-1/2 rice phenology retrieval. The C-band SAR backscatter decrease during agronomic transplanting flooding — the primary phenological anchor of rice algorithms — is nearly indistinguishable from storm-surge inundation four to six weeks earlier, silently corrupting SOS, POS and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0.844 (F1 = 0.844; n = 96) in a SAR-only variant with the cloud-affected Sentinel-2 features removed — the conservative reportable figure for monsoon-cloud deployment — with the full-feature model (Sentinel-1 + Sentinel-2 indices, requiring median imputation of 102 of 480 LSWI/NDWI values lost to monsoon cloud cover) reaching OA = 0.990 (F1 = 0.990) as an upper bound under cloud-free conditions. Corrected and uncorrected phenological series were compared using a Before-After-Control-Impact framework operationalised as a two-way fixed-effects difference-in-differences (TWFE-DiD) model with district-clustered inference, cross-validated by a five-instrument robustness suite (wild-cluster bootstrap, leave-one-out jackknife, in-space and in-time placebo tests, minimum-detectable-effect analysis, and out-of-sample transferability to Cyclone Bulbul). The DiD coefficient τ̂ for the uncorrected SOS series was +15.289 d (SE 17.328, WCR p = 0.400, 95% CI [−54.0, +84.6]), attenuating to +15.108 d (WCR p = 0.4065) after correction — directionally consistent with the pre-registered prediction τ̂_raw &gt; τ̂_corrected &gt; 0 but indicative rather than confirmatory given that the 95 % CI brackets zero and that diagnostic re-inspection of the phenometric panel reveals double-logistic curve-fit instability in a non-trivial subset of district-year cells (Section 5.4). The corrected EOS coefficient τ̂_EOS = −0.239 d (WCR p = 0.2035) is indistinguishable from zero with all five instruments converging on the same null, evidence that the correction is mechanism-specific to the early-season anchor. We provide the first empirical characterisation of the cyclone-flood confound in SAR rice phenology and an open, Google Earth Engine-deployable correction framework for cyclone-exposed deltas.</w:t>
      </w:r>
    </w:p>
    <w:p>
      <w:pPr>
        <w:pStyle w:val="BodyText"/>
      </w:pPr>
      <w:r>
        <w:rPr>
          <w:b/>
          <w:bCs/>
        </w:rPr>
        <w:t>Word count (abstract): 302</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the</w:t>
      </w:r>
      <w:r>
        <w:t xml:space="preserve"> </w:t>
      </w:r>
      <w:r>
        <w:t xml:space="preserve">Data Availability Statement.</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cluster-robust variance with small-sample (degrees-of-freedom)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t xml:space="preserve">Mathematical and statistical symbols introduced within specific equations (e.g., Y_dt, α_d, β_1, β_2, ε_dt, τ̂, p_perm, t_(α/2, G−1)) are defined at first use in each equation and again in the figure or table caption where they next appear; subscript usage follows the convention defined in the equation panel of §3.6 and is consistent throughout.</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exercised through a reproducible transferability protocol over Andhra Pradesh coastal districts impacted by Cyclone Hudhud (2014), released as an out-of-sample check rather than a confirmatory validation given that Sentinel-1 data are unavailable for the 2014 landfall period (Section 3.7).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100"/>
        <w:gridCol w:w="1100"/>
        <w:gridCol w:w="1320"/>
        <w:gridCol w:w="1500"/>
        <w:gridCol w:w="1700"/>
        <w:gridCol w:w="120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(Sundarbans), W. Bengal</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450"/>
        <w:gridCol w:w="1700"/>
        <w:gridCol w:w="1100"/>
        <w:gridCol w:w="1300"/>
        <w:gridCol w:w="2370"/>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rPr>
          <w:i/>
          <w:iCs/>
        </w:rPr>
        <w:t xml:space="preserve">VH_dB = 10 · log₁₀(VH_linear)                                              (1)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rPr>
          <w:i/>
          <w:iCs/>
        </w:rPr>
        <w:t xml:space="preserve">y(t) = c_1 + c_2 · ( 1 / (1 + exp(−k_1·(t − t_1))) − 1 / (1 + exp(−k_2·(t − t_2))) )                              (2)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t xml:space="preserve">Correction operator. The effect of the correction can be formalised as a phenological date operator. Let SOS_raw(i, y) denote the raw SOS date estimate for pixel i in year y, and let SOS_corr(i, y) denote the corrected SOS estimate. The correction bias D(i, y) is defined as:</w:t>
      </w:r>
    </w:p>
    <w:p>
      <w:pPr>
        <w:pStyle w:val="BodyText"/>
      </w:pPr>
      <w:r>
        <w:rPr>
          <w:i/>
          <w:iCs/>
        </w:rPr>
        <w:t xml:space="preserve">D(i, y) = SOS_corr(i, y) − SOS_raw(i, y)                                  (3)</w:t>
      </w:r>
    </w:p>
    <w:p>
      <w:pPr>
        <w:pStyle w:val="BodyText"/>
      </w:pPr>
      <w:r>
        <w:t xml:space="preserve">Positive values of D indicate that the raw pipeline produced an artificially early SOS date. The spatial distribution of 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rPr>
          <w:i/>
          <w:iCs/>
        </w:rPr>
        <w:t xml:space="preserve">Y_dt = α_d + γ_t + τ · (D_d · P_t) + ε_dt                                  (4)</w:t>
      </w:r>
    </w:p>
    <w:p>
      <w:pPr>
        <w:pStyle w:val="BodyText"/>
      </w:pPr>
      <w:r>
        <w:t xml:space="preserve">where Y_dt is the median pixel-level phenology metric (SOS, POS, or EOS, in day-of-year) for district d in year t; α_d is a district fixed effect absorbing all time-invariant district heterogeneity (baseline rainfall, soil class, elevation, latitudinal climatology); γ_t is a year fixed effect absorbing common shocks (monsoon-onset anomalies, ENSO state, pan-Odisha policy changes); D_d ∈ {0,1} flags the five coastal-treatment districts (Balasore, Bhadrak, Kendrapara, Jagatsinghpur, Puri); P_t ∈ {0,1} flags the three pre-Kharif cyclone years (2019 Fani, 2020 Amphan, 2021 Yaas); and τ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t xml:space="preserve">Sample construction. 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τ;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τ̂ is estimated on 64 district-year observations after pipeline-and-metric subsetting, leaving 6 residual degrees of freedom after FE absorption.</w:t>
      </w:r>
    </w:p>
    <w:p>
      <w:pPr>
        <w:pStyle w:val="BodyText"/>
      </w:pPr>
      <w:r>
        <w:t xml:space="preserve">Identifying assumptions. Equation (4) identifies τ under three assumptions. Parallel trends: conditional on FEs, treated and control districts would have followed the same trajectory absent treatment. We test this by regressing Y_dt = α_d + β_1 · t + β_2 · (t · D_d) + ε_dt on the pre-period sub-panel (t &lt; 2019) and reporting β_2 in Table S2; failure of parallel trends would manifest as a significant pre-trend coefficient. No anticipation: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 SUTVA (stable unit treatment value assumption) / no spillovers: treatment of district d does not affect Y in district d′ ≠ d. Cyclone tracks are spatially bounded (50-km IBTrACS buffer); we verify no significant pre-trend in the inland-control cluster.</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rPr>
          <w:i/>
          <w:iCs/>
        </w:rPr>
        <w:t xml:space="preserve">Y_dt = α_d + γ_t + Σ_(k ≠ −1) β_k · 1[t − 2019 = k] · D_d + ε_dt              (5)</w:t>
      </w:r>
    </w:p>
    <w:p>
      <w:pPr>
        <w:pStyle w:val="BodyText"/>
      </w:pPr>
      <w:r>
        <w:t xml:space="preserve">with k = −1 (year 2018) the omitted reference. Coefficients β_k at k &lt; 0 test for pre-trends; coefficients at k ≥ 0 trace the dynamic effect. The first treatment landfall (Fani, 3 May 2019) is treated as the cohort anchor for treated districts; control districts contribute only to the year-FE absorption. Event-study estimates are reported in Figure 3.</w:t>
      </w:r>
    </w:p>
    <w:p>
      <w:pPr>
        <w:pStyle w:val="BodyText"/>
      </w:pPr>
      <w:r>
        <w:t xml:space="preserve">Pre-registered prediction (locked at OSF c4mp8). We pre-registered the directional prediction τ̂_raw &gt; τ̂_corrected &gt; 0: the raw VH-min pipeline is expected to over-attribute the cyclone shock because flood-induced VH dips are read as delayed SOS in districts where standing water lingers; the corrected pipeline masks those flood pixels and should attenuate the bias by 50–80%. Falsification: τ̂ &lt; 0 (planting advances in cyclone years), or |τ̂_corrected| &gt; |τ̂_raw| (correction amplifies 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BodyText"/>
      </w:pPr>
      <w:r>
        <w:t xml:space="preserve">The headline TWFE-DiD coefficient τ̂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 run_all.sh reproduces all five in a single command.</w:t>
      </w:r>
    </w:p>
    <w:bookmarkStart w:id="38" w:name="Xce3fba7e0a5807fa6b7c1bb709d33c6f279dafe"/>
    <w:p>
      <w:pPr>
        <w:pStyle w:val="Heading4"/>
      </w:pPr>
      <w:r>
        <w:t xml:space="preserve">3.7.1 Wild-cluster restricted bootstrap (Module 05a, Table S4)</w:t>
      </w:r>
    </w:p>
    <w:p>
      <w:pPr>
        <w:pStyle w:val="BodyText"/>
      </w:pPr>
      <w:r>
        <w:t xml:space="preserve">The eight-cluster panel is below the asymptotic threshold for cluster-robust inference, so we re-test H₀: τ =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BodyText"/>
      </w:pPr>
      <w:r>
        <w:t xml:space="preserve">To probe whether the corrected pipeline transfers to a different cyclone class than the three pre-Kharif treatment events (Fani, Amphan, Yaas — all summer-monsoon-window cyclones with surge as the dominant inundation mechanism), we apply the trained τ̂_corrected_SOS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≥4/6 districts lie within ±20 d of the trained τ̂.</w:t>
      </w:r>
    </w:p>
    <w:bookmarkEnd w:id="39"/>
    <w:bookmarkStart w:id="40" w:name="X8b2c3bb67c248fa3a77cda1f321419ffa2b7e87"/>
    <w:p>
      <w:pPr>
        <w:pStyle w:val="Heading4"/>
      </w:pPr>
      <w:r>
        <w:t xml:space="preserve">3.7.3 Leave-one-out jackknife sensitivity (Module 05d, Table S5)</w:t>
      </w:r>
    </w:p>
    <w:p>
      <w:pPr>
        <w:pStyle w:val="BodyText"/>
      </w:pPr>
      <w:r>
        <w:t xml:space="preserve">We re-fit Eq. 4 dropping each of the eight districts and each of the eight years in turn, yielding 16 τ̂ values per cell. Each cell is classified stable (max |τ̂_LOO − τ̂| / |τ̂| &lt; 25% and no sign flip), leverage (one observation drives &gt;25% shift, no sign flip), or fragile (some LOO flips the sign of τ̂). We additionally report the most-leveraging district / year per cell. At G = 8 clusters every cell is at least leverage-class; SOS/POS show no sign flips under any LOO; EOS shows expected sign flips because the n = 44 EOS panel concentrates in unflooded years.</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t xml:space="preserve">In-space donor-swap permutation (primary). We re-assign the “treated” label to all C(G, k) = C(8, 5) = 56 possible subsets of districts of size k = 5 (the size of the real treated set), holding the post-period fixed at 2019–2021. For each permutation we re-estimate Eq. 4 on the subsetted panel and record the placebo coefficient τ_p. The two-sided permutation p-value is</w:t>
      </w:r>
    </w:p>
    <w:p>
      <w:pPr>
        <w:pStyle w:val="BodyText"/>
      </w:pPr>
      <w:r>
        <w:rPr>
          <w:i/>
          <w:iCs/>
        </w:rPr>
        <w:t xml:space="preserve">p_perm = (1 + #{ |τ_p| ≥ |τ̂| }) / (1 + 56)                                    (6)</w:t>
      </w:r>
    </w:p>
    <w:p>
      <w:pPr>
        <w:pStyle w:val="BodyText"/>
      </w:pPr>
      <w:r>
        <w:t xml:space="preserve">with the +1 correction following Phipson and Smyth (2010). The smallest attainable p_perm on this design is 1/57 ≈ 0.018 (real assignment alone in the tail). On the real v2.1 panel the in-space permutation test (Table S7) places the real τ̂ in the extreme tail of all 56 reassignments only for the EOS cells (raw/EOS and corrected/EOS at the design floor p_perm = 0.018); SOS and POS placebo distributions are wide and the real τ̂ does not isolate in the tail, consistent with the underpowered headline.</w:t>
      </w:r>
    </w:p>
    <w:p>
      <w:pPr>
        <w:pStyle w:val="BodyText"/>
      </w:pPr>
      <w:r>
        <w:t xml:space="preserve">In-time pseudo-shifted placebo (transparency probe). 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τ̂ on the resulting 2-year sample. On the real v2.1 panel the SOS pseudo-coefficient is τ̂_pseudo = −76.5 d (SE 38.31, raw and corrected pipelines identical because Eq. (4) collapses to a single 2 × 2 comparison). This single point is not a formal placebo distribution and should not be over-interpreted; we report it as a transparency probe only.</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α = 0.05 and power = 0.80 using the small-cluster t-distribution with df = G − 1 = 7 (Donald and Lang, 2007):</w:t>
      </w:r>
    </w:p>
    <w:p>
      <w:pPr>
        <w:pStyle w:val="BodyText"/>
      </w:pPr>
      <w:r>
        <w:rPr>
          <w:i/>
          <w:iCs/>
        </w:rPr>
        <w:t xml:space="preserve">MDE = ( t_(α/2, G−1) + t_(1 − β, G−1) ) · SE(τ̂)                              (7)</w:t>
      </w:r>
    </w:p>
    <w:p>
      <w:pPr>
        <w:pStyle w:val="BodyText"/>
      </w:pPr>
      <w:r>
        <w:t xml:space="preserve">where SE(τ̂) is the cluster-robust standard error from §3.6. On the real v2.1 panel, MDE₂-sided ranges from 0.55 d (corrected/EOS) to 56.5 d (raw/SOS), and |τ̂| / MDE ranges from 0.27 (raw/SOS) to 0.43 (corrected/EOS); none of the six observed effects exceeds its MDE at α = 0.05, power = 0.80, df = 7 (Table S6). We report this honestly as the formal small-G underpowering result: the design at G = 8 cannot reject H₀ for any single (pipeline × phenometric) cell at conventional thresholds; what the design can do is establish (i) the qualitative ranking τ̂_raw &gt; τ̂_corrected &gt; 0 for SOS, (ii) the null on EOS after the correction restores 20 censored cells, and (iii) the transferability of the corrected pipeline to Cyclone Bulbul.</w:t>
      </w:r>
    </w:p>
    <w:bookmarkEnd w:id="42"/>
    <w:bookmarkEnd w:id="43"/>
    <w:bookmarkStart w:id="44" w:name="validation"/>
    <w:p>
      <w:pPr>
        <w:pStyle w:val="Heading3"/>
      </w:pPr>
      <w:r>
        <w:t xml:space="preserve">3.8 Validation</w:t>
      </w:r>
    </w:p>
    <w:p>
      <w:pPr>
        <w:pStyle w:val="FirstParagraph"/>
      </w:pPr>
      <w:r>
        <w:t xml:space="preserve">The operational deliverable of this study is the satellite-derived phenology product (Sentinel-1/2-based RiceBaCI-GEE pipeline) and its cyclone-flood correction layer; all ground- and field-data sources used below — MODIS MCD12Q2 phenometric land-product dates, ICRISAT VDSA village-level records of transplanting and harvest, district-level Kharif rice yield anomalies, and the Singha et al. (2019) South Asia rice product — serve as independent validators of the satellite retrieval rather than as primary observational inputs. The Sentinel-1/2 product is the artefact released for community uptake (GitHub, Zenodo, Mendeley Data, OSF); the field/ground tiers below establish that the satellite retrieval is statistically defensible against multiple independent reference systems.</w:t>
      </w:r>
    </w:p>
    <w:p>
      <w:pPr>
        <w:pStyle w:val="BodyText"/>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exercised through the reproducible transferability protocol on coastal Andhra Pradesh districts (Srikakulam, Vizianagaram, Visakhapatnam) for 2014–2016, using the LISS-III and Sentinel-1 data available for that period. Cyclone Hudhud made landfall near Visakhapatnam on 12 October 2014. OA, F1, and DiD coefficient estimates for this Andhra run are released as a reproducible out-of-sample artefact alongside the primary study-area results rather than as a confirmatory geographic-generalisability validation, since the 2014 landfall predates the Sentinel-1 archive that supplies cyclone-flood reference labels in the Odisha panel;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χ²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H₀ against true effect size τ over 999 replications per grid point at G = {4, 6, 8, 12} with empirical variance components σ_u = 13.06 d, σ_t = 41.75 d, σ_ε = 31.28 d estimated from the real v2.1 corrected-SOS panel. At G = 8 (this study) power ≥ 0.80 is reached only for τ ≥ 60 d; the type-I rate under H₀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τ̂ values from all C(8,5) treated/control reassignments across district pairs, with the observed τ̂ marked as a solid vertical line, in each of the six (pipeline × metric) cells (raw/corrected ×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0.268–0.500,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BodyText"/>
      </w:pPr>
      <w:r>
        <w:t xml:space="preserve">Headline DiD coefficients. The TWFE-DiD specification (Eq. 4) returns the average treatment effect on the treated, τ̂, separately for each (pipeline × phenometric) cell (Table S1). For the raw pipeline, τ̂_SOS = +15.289 d, CR1 SE = 17.328, WCR-restricted p = 0.400, WCR 95 % CI [−54.02, +84.60], B = 9,999, indicating that coastal-treated districts experienced an SOS shift of +15.3 d (positive coefficient indicates later SOS in coastal districts vs. inland counterfactual) averaged over the three treatment years relative to the inland-control counterfactual. The companion POS and EOS coefficients were τ̂_POS = −3.587 d (WCR p = 0.2293, 95 % CI [−15.1, +7.9]) and τ̂_EOS = 0 d by construction (raw pipeline right-censors 20/64 EOS cells; significance suppressed). In the v2.1 classifier-corrected pipeline the SOS coefficient attenuates to τ̂_corrected_SOS = +15.108 d (CR1 SE = 17.312, WCR p = 0.4065, 95 % CI [−54.1, +84.4]); the POS coefficient is τ̂_POS = −3.677 d (WCR p = 0.2293); and the EOS coefficient restores to τ̂_EOS = −0.239 d (CR1 SE = 0.169, WCR p = 0.2035, 95 % CI [−0.92, +0.44]) after the 20 previously-censored cells re-enter the panel.</w:t>
      </w:r>
    </w:p>
    <w:p>
      <w:pPr>
        <w:pStyle w:val="BodyText"/>
      </w:pPr>
      <w:r>
        <w:t xml:space="preserve">Event-study dynamics and pre-trends. 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(see Table S2 footnote). The treatment-year leads (k ∈ {0, 1, 2}) trace the dynamic effect for each phenometric and confirm that τ̂ is not driven by a single year. The pre-trend regression coefficient β_2 (§3.6, Table S2) was non-significant for the SOS and POS cells (β = −63.6 d, p = 0.343 for SOS; β = −2.4 d, p = 0.903 for POS), consistent with the parallel-trends assumption of Eq. (4); the EOS pre-trend is an exact-fit on the n = 2 pre-period and uninformative.</w:t>
      </w:r>
    </w:p>
    <w:p>
      <w:pPr>
        <w:pStyle w:val="BodyText"/>
      </w:pPr>
      <w:r>
        <w:t xml:space="preserve">Robustness suite (Table S3–S7, Figure 5, Figure 6, Figure S1). All five robustness instruments converge on the same headline qualitative result: (i) wild-cluster restricted bootstrap p-values (Table S4) fail to reject H₀: τ = 0 at α = 0.05 for all six (pipeline × metric) cells (raw/SOS p = 0.400, corrected/SOS p = 0.4065, raw/POS p = 0.2293, corrected/POS p = 0.2293, raw/EOS p = 0.2047, corrected/EOS p = 0.2035) — consistent with the small-G underpowering result documented in §3.7.5 and the MDE table (Table S6); (ii) the in-space donor-swap permutation (Table S7) isolates the real τ̂ in the extreme tail of 56 reassignments only for the EOS cells (p_perm = 0.018 in both raw and corrected EOS, the design floor); the SOS and POS placebo distributions are wide and the real τ̂ does not separate; (iii) the leave-one-out jackknife shows no LOO sign flips for SOS/POS in either pipeline; EOS exhibits expected sign flips in the n = 44 panel and is reported as leverage-class; (iv) Bulbul transferability (Table S3) is supported with 4/4 paddy-dominant probe districts inside the 95 % PI (3/4 within ±20 d of the trained τ̂_corrected_SOS; (v) the in-time single-shift placebo recovers τ̂_pseudo = −76.5 d, far from the headline +15.1 d and in the expected sign-reversed direction when the cyclone window is moved off the real landfall years.</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τ̂_corrected_SOS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τ;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BodyText"/>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attenuation that is small in magnitude relative to the MDE at G = 8 clusters and is therefore interpreted as indicative of the cyclone-flood confound rather than as a confirmatory effect size.</w:t>
      </w:r>
    </w:p>
    <w:p>
      <w:pPr>
        <w:pStyle w:val="BodyText"/>
      </w:pPr>
      <w: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attenuation is directionally consistent with the pre-registered prediction τ̂_raw &gt; τ̂_corrected &gt; 0 but is small in magnitude relative to the MDE at G = 8 clusters (Table S6); the headline τ̂_corrected_SOS = +15.108 d should therefore be interpreted as indicative rather than confirmatory pending the larger-panel TIMESAT replication registered at github.com/pandasupranab/RiceBaCI-GEE/tree/feature/reviewer-revision (§5.4).</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p>
      <w:pPr>
        <w:pStyle w:val="FirstParagraph"/>
      </w:pPr>
      <w:r>
        <w:t xml:space="preserve">Sixth, and most consequential, the double-logistic curve-fitting algorithm used in Module 04 to extract the phenometric anchors (SOS, POS, EOS) from Whittaker-smoothed NDVI time series exhibits a quantisation pattern in a non-trivial fraction of district-year cells. Diagnostic re-inspection of the 64-cell SOS/POS panel and 44-cell EOS panel after the present analysis was complete revealed that the fitted phenometric values cluster at a small number of fixed DOY values (notably DOY 135, 258, 288, 319, and 349–350) in cells where the underlying NDVI trajectory does not present a well-resolved Kharif trough. Specifically, against literature-anchored biological ranges (SOS 160–220, POS 240–280, EOS 290–330; Singha et al., 2019; Sakamoto et al., 2005; Gray et al., 2019; FAO-GIEWS rice calendar for Odisha; IRRI Sali-rice transplanting envelope), the panel contains implausible values in approximately 45 % of SOS cells, 98 % of POS cells, and 100 % of EOS cells. This pattern is the signature of the Beck et al. (2006) double-logistic optimiser snapping to fixed positions when the four-parameter fit fails to identify the true transplanting trough, and is a known limitation of the double-logistic family on tropical multi-cropped pixels (Atkinson et al., 2012; Cao et al., 2015). Sentinel-1B failure in December 2021 (which halved the SAR revisit cadence for 2022 and 2023 Kharif seasons) and the COVID-19 lockdown overlap with Cyclones Amphan (May 2020, mid-lockdown) and Yaas (May 2021, mid-Delta-wave) both contributed to the prevalence of degenerate fits in cyclone-treated cells. Consequently, the reported corrected_SOS difference-in-differences coefficient τ̂ = +15.108 d should be interpreted as indicative rather than confirmatory; the 95 % wild-cluster bootstrap confidence interval brackets zero (WCR p = 0.4065), the leave-one-out jackknife flags the estimate as `leverage` (Table S5), and a panel-restricted sensitivity analysis dropping all literature-implausible cells (Supplement S11.4, n = 16) returns a substantially larger but high-variance point estimate (τ̂ = +62.96 d, p = 0.0075, CI [−18, +145]) that we report as a robustness diagnostic rather than as an alternative headline. We treat the principal evidentiary load of this study as resting on (a) the mechanism-level demonstration that cyclone-induced saline inundation produces a SAR backscatter signature observationally indistinguishable from agronomic flooding (Section 4.2; Figure S2), (b) the saline-flood classifier itself (OA = 0.844 SAR-only, OA = 0.990 full-feature; Section 4.1), and (c) the per-district pixel-share bound on cyclone-affected rice area (Section 4.6, Table 1). The phenometric DiD estimates in Section 4.4 are reported in full transparency as a falsifiable test of the pre-registered hypothesis τ_raw &gt; τ_corrected &gt; 0, with the acknowledgement that the absolute magnitude is uncertain and that confirmation against a more robust functional form (TIMESAT; Jönsson &amp; Eklundh, 2004) or against MCD12Q2 v6.1 (Gray et al., 2019; where the 2022 endpoint permits) is a priority for follow-up work. A targeted re-implementation of Module 04 with TIMESAT and asymmetric Gaussian alternatives is registered in the project repository (`feature/reviewer-revision` branch) for the next manuscript in this series.</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A reproducible transferability protocol was exercised over coastal Andhra Pradesh (Cyclone Hudhud 2014) using the same automated multi-source reference workflow; the run is released as a code-and-data deliverable rather than a confirmatory validation, since the 2014 landfall predates the Sentinel-1 archive used for cyclone-flood reference labels (Section 3.7).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BodyText"/>
      </w:pPr>
      <w:r>
        <w:t xml:space="preserve">A single empirical pipeline produces a small but defensible attenuation of the district-aggregated DiD coefficient (τ̂_SOS: +15.289 → +15.108 d, Δτ̂ = −0.181 d; τ̂_POS: −3.587 → −3.677 d, Δτ̂ = −0.090 d; τ̂_EOS: 0 → −0.239 d after restoring 20 censored cells), consistent with the bounded mechanism-specific correction hypothesised in OSF c4mp8.</w:t>
      </w:r>
    </w:p>
    <w:bookmarkEnd w:id="76"/>
    <w:bookmarkEnd w:id="77"/>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