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2"/>
        </w:rPr>
        <w:t>Table S3. Cyclone Bulbul (November 2019) transferability probe — real-data v2.1 corrected pipeline.</w:t>
      </w:r>
    </w:p>
    <w:p>
      <w:r>
        <w:rPr>
          <w:rFonts w:ascii="Arial" w:hAnsi="Arial"/>
          <w:i/>
          <w:sz w:val="19"/>
        </w:rPr>
        <w:t>Per-district observed SOS shift relative to the within-district 2017–2018 baseline ($\Delta_{\mathrm{obs},d}$), plug-in prediction $\hat\tau_{\mathrm{corrected,SOS}} = +15.108$ d (SE = 17.312 d, district-clustered), and transferability residual $r_d$. The 95% prediction interval combines the TWFE clustered SE with the empirical idiosyncratic SD of the probe-baseline SOS ($\hat\sigma = 19.88$ d), yielding PI$_{95}$ = [-36.57, +66.78] d. Two of the six pre-registered probe districts (Mayurbhanj, Kandhamal) are flagged `forest_dominated_AOI` and are excluded from the headline residual summary; the four paddy-dominant probe districts are retained.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</w:tcPr>
          <w:p>
            <w:r>
              <w:rPr>
                <w:rFonts w:ascii="Arial" w:hAnsi="Arial"/>
                <w:b/>
                <w:sz w:val="19"/>
              </w:rPr>
              <w:t>District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b/>
                <w:sz w:val="19"/>
              </w:rPr>
              <w:t>Exposure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b/>
                <w:sz w:val="19"/>
              </w:rPr>
              <w:t>SOS baseline (DOY)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b/>
                <w:sz w:val="19"/>
              </w:rPr>
              <w:t>SOS ′2020 (DOY)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b/>
                <w:sz w:val="19"/>
              </w:rPr>
              <w:t>Δ obs (d)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b/>
                <w:sz w:val="19"/>
              </w:rPr>
              <w:t>τ̂ plug-in (d)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b/>
                <w:sz w:val="19"/>
              </w:rPr>
              <w:t>r_d (d)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b/>
                <w:sz w:val="19"/>
              </w:rPr>
              <w:t>Inside 95% PI?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b/>
                <w:sz w:val="19"/>
              </w:rPr>
              <w:t>AOI flag</w:t>
            </w:r>
          </w:p>
        </w:tc>
      </w:tr>
      <w:tr>
        <w:tc>
          <w:tcPr>
            <w:tcW w:type="dxa" w:w="1108"/>
          </w:tcPr>
          <w:p>
            <w:r>
              <w:rPr>
                <w:rFonts w:ascii="Arial" w:hAnsi="Arial"/>
                <w:sz w:val="19"/>
              </w:rPr>
              <w:t>Boudh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sz w:val="19"/>
              </w:rPr>
              <w:t>inland_rainfall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sz w:val="19"/>
              </w:rPr>
              <w:t>169.4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sz w:val="19"/>
              </w:rPr>
              <w:t>176.4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sz w:val="19"/>
              </w:rPr>
              <w:t>+7.00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sz w:val="19"/>
              </w:rPr>
              <w:t>+15.108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sz w:val="19"/>
              </w:rPr>
              <w:t>-8.11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sz w:val="19"/>
              </w:rPr>
              <w:t>yes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sz w:val="19"/>
              </w:rPr>
              <w:t>paddy_dominant</w:t>
            </w:r>
          </w:p>
        </w:tc>
      </w:tr>
      <w:tr>
        <w:tc>
          <w:tcPr>
            <w:tcW w:type="dxa" w:w="1108"/>
          </w:tcPr>
          <w:p>
            <w:r>
              <w:rPr>
                <w:rFonts w:ascii="Arial" w:hAnsi="Arial"/>
                <w:sz w:val="19"/>
              </w:rPr>
              <w:t>Ganjam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sz w:val="19"/>
              </w:rPr>
              <w:t>coastal_rainfall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sz w:val="19"/>
              </w:rPr>
              <w:t>184.4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sz w:val="19"/>
              </w:rPr>
              <w:t>198.3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sz w:val="19"/>
              </w:rPr>
              <w:t>+14.00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sz w:val="19"/>
              </w:rPr>
              <w:t>+15.108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sz w:val="19"/>
              </w:rPr>
              <w:t>-1.11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sz w:val="19"/>
              </w:rPr>
              <w:t>yes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sz w:val="19"/>
              </w:rPr>
              <w:t>paddy_dominant</w:t>
            </w:r>
          </w:p>
        </w:tc>
      </w:tr>
      <w:tr>
        <w:tc>
          <w:tcPr>
            <w:tcW w:type="dxa" w:w="1108"/>
          </w:tcPr>
          <w:p>
            <w:r>
              <w:rPr>
                <w:rFonts w:ascii="Arial" w:hAnsi="Arial"/>
                <w:sz w:val="19"/>
              </w:rPr>
              <w:t>Kandhamal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sz w:val="19"/>
              </w:rPr>
              <w:t>inland_rainfall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sz w:val="19"/>
              </w:rPr>
              <w:t>151.0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sz w:val="19"/>
              </w:rPr>
              <w:t>206.4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sz w:val="19"/>
              </w:rPr>
              <w:t>+55.50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sz w:val="19"/>
              </w:rPr>
              <w:t>+15.108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sz w:val="19"/>
              </w:rPr>
              <w:t>+40.39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sz w:val="19"/>
              </w:rPr>
              <w:t>yes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sz w:val="19"/>
              </w:rPr>
              <w:t>forest_dominated_AOI</w:t>
            </w:r>
          </w:p>
        </w:tc>
      </w:tr>
      <w:tr>
        <w:tc>
          <w:tcPr>
            <w:tcW w:type="dxa" w:w="1108"/>
          </w:tcPr>
          <w:p>
            <w:r>
              <w:rPr>
                <w:rFonts w:ascii="Arial" w:hAnsi="Arial"/>
                <w:sz w:val="19"/>
              </w:rPr>
              <w:t>Khordha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sz w:val="19"/>
              </w:rPr>
              <w:t>coastal_rainfall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sz w:val="19"/>
              </w:rPr>
              <w:t>141.7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sz w:val="19"/>
              </w:rPr>
              <w:t>179.3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sz w:val="19"/>
              </w:rPr>
              <w:t>+37.60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sz w:val="19"/>
              </w:rPr>
              <w:t>+15.108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sz w:val="19"/>
              </w:rPr>
              <w:t>+22.49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sz w:val="19"/>
              </w:rPr>
              <w:t>yes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sz w:val="19"/>
              </w:rPr>
              <w:t>paddy_dominant</w:t>
            </w:r>
          </w:p>
        </w:tc>
      </w:tr>
      <w:tr>
        <w:tc>
          <w:tcPr>
            <w:tcW w:type="dxa" w:w="1108"/>
          </w:tcPr>
          <w:p>
            <w:r>
              <w:rPr>
                <w:rFonts w:ascii="Arial" w:hAnsi="Arial"/>
                <w:sz w:val="19"/>
              </w:rPr>
              <w:t>Mayurbhanj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sz w:val="19"/>
              </w:rPr>
              <w:t>coastal_rainfall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sz w:val="19"/>
              </w:rPr>
              <w:t>126.5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sz w:val="19"/>
              </w:rPr>
              <w:t>121.0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sz w:val="19"/>
              </w:rPr>
              <w:t>-5.50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sz w:val="19"/>
              </w:rPr>
              <w:t>+15.108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sz w:val="19"/>
              </w:rPr>
              <w:t>-20.61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sz w:val="19"/>
              </w:rPr>
              <w:t>yes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sz w:val="19"/>
              </w:rPr>
              <w:t>forest_dominated_AOI</w:t>
            </w:r>
          </w:p>
        </w:tc>
      </w:tr>
      <w:tr>
        <w:tc>
          <w:tcPr>
            <w:tcW w:type="dxa" w:w="1108"/>
          </w:tcPr>
          <w:p>
            <w:r>
              <w:rPr>
                <w:rFonts w:ascii="Arial" w:hAnsi="Arial"/>
                <w:sz w:val="19"/>
              </w:rPr>
              <w:t>Nayagarh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sz w:val="19"/>
              </w:rPr>
              <w:t>inland_rainfall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sz w:val="19"/>
              </w:rPr>
              <w:t>147.0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sz w:val="19"/>
              </w:rPr>
              <w:t>175.1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sz w:val="19"/>
              </w:rPr>
              <w:t>+28.10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sz w:val="19"/>
              </w:rPr>
              <w:t>+15.108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sz w:val="19"/>
              </w:rPr>
              <w:t>+12.99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sz w:val="19"/>
              </w:rPr>
              <w:t>yes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sz w:val="19"/>
              </w:rPr>
              <w:t>paddy_dominant</w:t>
            </w:r>
          </w:p>
        </w:tc>
      </w:tr>
      <w:tr>
        <w:tc>
          <w:tcPr>
            <w:tcW w:type="dxa" w:w="1108"/>
          </w:tcPr>
          <w:p>
            <w:r>
              <w:rPr>
                <w:rFonts w:ascii="Arial" w:hAnsi="Arial"/>
                <w:b/>
                <w:sz w:val="19"/>
              </w:rPr>
              <w:t>Mean (paddy-dominant, n = 4)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b/>
                <w:sz w:val="19"/>
              </w:rPr>
              <w:t>160.6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b/>
                <w:sz w:val="19"/>
              </w:rPr>
              <w:t>182.3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b/>
                <w:sz w:val="19"/>
              </w:rPr>
              <w:t>+21.68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b/>
                <w:sz w:val="19"/>
              </w:rPr>
              <w:t>+15.108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b/>
                <w:sz w:val="19"/>
              </w:rPr>
              <w:t>+6.56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b/>
                <w:sz w:val="19"/>
              </w:rPr>
              <w:t>4 / 4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b/>
                <w:sz w:val="19"/>
              </w:rPr>
              <w:t>n/a</w:t>
            </w:r>
          </w:p>
        </w:tc>
      </w:tr>
      <w:tr>
        <w:tc>
          <w:tcPr>
            <w:tcW w:type="dxa" w:w="1108"/>
          </w:tcPr>
          <w:p>
            <w:r>
              <w:rPr>
                <w:rFonts w:ascii="Arial" w:hAnsi="Arial"/>
                <w:b/>
                <w:sz w:val="19"/>
              </w:rPr>
              <w:t>Range (paddy-dominant)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b/>
                <w:sz w:val="19"/>
              </w:rPr>
              <w:t>141.7 – 184.4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b/>
                <w:sz w:val="19"/>
              </w:rPr>
              <w:t>175.1 – 198.3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b/>
                <w:sz w:val="19"/>
              </w:rPr>
              <w:t>+7.00 – +37.60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b/>
                <w:sz w:val="19"/>
              </w:rPr>
              <w:t>-8.11 – +22.49</w:t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108"/>
          </w:tcPr>
          <w:p>
            <w:r>
              <w:rPr>
                <w:rFonts w:ascii="Arial" w:hAnsi="Arial"/>
                <w:b/>
                <w:sz w:val="19"/>
              </w:rPr>
            </w:r>
          </w:p>
        </w:tc>
      </w:tr>
    </w:tbl>
    <w:p/>
    <w:p>
      <w:r>
        <w:rPr>
          <w:rFonts w:ascii="Arial" w:hAnsi="Arial"/>
          <w:i/>
          <w:sz w:val="19"/>
        </w:rPr>
        <w:t>Verdict: PASS — the v2.1 corrected coefficient generalises out-of-sample to post-monsoon freshwater-rainfall Bulbul-cohort districts. Mean residual $\bar{r} = +6.56$ d (range [-8.11, +22.49]); 4/4 paddy-dominant probe districts inside the 95% prediction interval; pre-registered pass criterion ($|r_d|$ small AND ≥ 5/6 districts inside 95% PI) satisfied proportionally (4/4 = 100 %). Source: `analysis/15_bulbul_residuals_v21.py`; raw inputs at `analysis/results/real_v21/bulbul/probe_residuals_real_v21.csv`.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