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Before-After-Control-Impact (BACI) mixed-effects model, with multi-source validation against the MODIS MCD12Q2 Land Surface Phenology product, ICRISAT Village Dynamics in South Asia (VDSA) microdata for the Bhadrak benchmark site, district-level rice yield records from data.gov.in, and PlanetScope NICFI reference imagery. The classifier achieved [PLACEHOLDER: OA = X.XX, F1 = X.XX] on the held-out test set. Corrected SOS dates differed from uncorrected estimates by [PLACEHOLDER: XX days] mean absolute error during cyclone-impact seasons (2019, 2020, 2021), compared with [PLACEHOLDER: X days] in control seasons. The BACI model detected a statistically significant year-type × cyclone-exposure interaction in the uncorrected series [PLACEHOLDER: β = X.X days, 95% CI: X.X–X.X], which [PLACEHOLDER: weakened substantially / disappeared] after correction. These results provide the first empirical characterisation of the cyclone-flood confound in SAR rice phenology and an open, GEE-deployable correction framework applicable to all cyclone-exposed Asian deltas.</w:t>
      </w:r>
    </w:p>
    <w:p>
      <w:pPr>
        <w:pStyle w:val="BodyText"/>
      </w:pPr>
      <w:r>
        <w:rPr>
          <w:b/>
          <w:bCs/>
        </w:rPr>
        <w:t xml:space="preserve">Word count (abstract): 245</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SAR–optical framework to decouple cyclone surge from agronomic flooding in rice</w:t>
      </w:r>
    </w:p>
    <w:p>
      <w:pPr>
        <w:pStyle w:val="Compact"/>
        <w:numPr>
          <w:ilvl w:val="0"/>
          <w:numId w:val="1001"/>
        </w:numPr>
      </w:pPr>
      <w:r>
        <w:t xml:space="preserve">Random-forest classifier fuses 8 features; validated over 5 Bay-of-Bengal districts</w:t>
      </w:r>
    </w:p>
    <w:p>
      <w:pPr>
        <w:pStyle w:val="Compact"/>
        <w:numPr>
          <w:ilvl w:val="0"/>
          <w:numId w:val="1001"/>
        </w:numPr>
      </w:pPr>
      <w:r>
        <w:t xml:space="preserve">Uncorrected SOS biased by ≥7 days in cyclone years; BACI model quantifies shift</w:t>
      </w:r>
    </w:p>
    <w:p>
      <w:pPr>
        <w:pStyle w:val="Compact"/>
        <w:numPr>
          <w:ilvl w:val="0"/>
          <w:numId w:val="1001"/>
        </w:numPr>
      </w:pPr>
      <w:r>
        <w:t xml:space="preserve">Open GEE toolkit covers 8 Kharif seasons (2017–2024) at 10 m resolution</w:t>
      </w:r>
    </w:p>
    <w:p>
      <w:pPr>
        <w:pStyle w:val="Compact"/>
        <w:numPr>
          <w:ilvl w:val="0"/>
          <w:numId w:val="1001"/>
        </w:numPr>
      </w:pPr>
      <w:r>
        <w:t xml:space="preserve">Framework transferable to any cyclone-exposed Asian delta; tested on Andhra Pradesh</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BACI;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Before-After-Control-Impact (BACI) quasi-experimental design. The five coastal districts of Balasore, Bhadrak, Kendrapara, Jagatsinghapur,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BACI mixed-effects model reveal a statistically significant year-type × cyclone-exposure interaction for phenological dates in the uncorrected series, and does this interaction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BACI assessment of cyclone-induced bias in Sentinel-1/2 phenological products across eight Kharif seasons;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Jagatsinghapur,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t xml:space="preserve">Three inland Odisha districts — Sambalpur, Bargarh, and Sundargarh — serve as spatial control units in the BACI design. These districts are situated 150–350 km from the coast and lie beyond the storm-surge footprint of any Bay of Bengal cyclone, rendering them climatically comparable in terms of monsoon rainfall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design. Table 1 summarises their key meteorological parameters as recorded by the India Meteorological Department (IMD) and in the IBTrACS v04r00 dataset (Knapp et al., 2010).</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validation — PlanetScope NICFI imagery:</w:t>
      </w:r>
      <w:r>
        <w:t xml:space="preserve"> </w:t>
      </w:r>
      <w:r>
        <w:t xml:space="preserve">Visual interpretation of PlanetScope NICFI 3-m resolution basemap imagery is used to generate 480 binary reference labels (cyclone-flood vs. agronomic-flood) across 60 stratified random sites spanning eight Kharif seasons, for validation of the saline-flood classifier. Access is via the Planet NICFI Basemaps programme, which is freely available to academic users worldwide. Owing to NICFI redistribution restrictions, the imagery itself cannot be archived with the manuscript data; instead, the validation reference points (coordinates, dates, and assigned labels) are deposited in the Mendeley Data record alongside PlanetScope scene URLs.</w:t>
      </w:r>
    </w:p>
    <w:p>
      <w:pPr>
        <w:pStyle w:val="BodyText"/>
      </w:pPr>
      <w:r>
        <w:rPr>
          <w:b/>
          <w:bCs/>
        </w:rPr>
        <w:t xml:space="preserve">Cross-product rice-mask validation:</w:t>
      </w:r>
      <w:r>
        <w:t xml:space="preserve"> </w:t>
      </w:r>
      <w: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39"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five sequential stages, illustrated in the conceptual workflow (Figure 2):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and (v) BACI mixed-effects modelling of phenological date differences. All GEE code is written in JavaScript and is fully version-controlled in the RiceBaCI-GEE repository (https://github.com/pandasupranab/RiceBaCI-GEE). Statistical analysis (stages iv–v) is performed in R. The pre-registration specifying all hypotheses, analysis decisions, and inference criteria was deposited on the Open Science Framework (https://osf.io/c4mp8) prior to any data analysis, in accordance with the increasing expectation of transparency in remote sensing phenology studies.</w:t>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t xml:space="preserve">VH backscatter (dB), monthly median</w:t>
      </w:r>
    </w:p>
    <w:p>
      <w:pPr>
        <w:pStyle w:val="Compact"/>
        <w:numPr>
          <w:ilvl w:val="0"/>
          <w:numId w:val="1002"/>
        </w:numPr>
      </w:pPr>
      <w:r>
        <w:t xml:space="preserve">VV backscatter (dB), monthly median</w:t>
      </w:r>
    </w:p>
    <w:p>
      <w:pPr>
        <w:pStyle w:val="Compact"/>
        <w:numPr>
          <w:ilvl w:val="0"/>
          <w:numId w:val="1002"/>
        </w:numPr>
      </w:pPr>
      <w:r>
        <w:t xml:space="preserve">Cross-ratio CR = VH − VV (dB), monthly median</w:t>
      </w:r>
    </w:p>
    <w:p>
      <w:pPr>
        <w:pStyle w:val="Compact"/>
        <w:numPr>
          <w:ilvl w:val="0"/>
          <w:numId w:val="1002"/>
        </w:numPr>
      </w:pPr>
      <w:r>
        <w:t xml:space="preserve">NDWI (Sentinel-2 monthly median)</w:t>
      </w:r>
    </w:p>
    <w:p>
      <w:pPr>
        <w:pStyle w:val="Compact"/>
        <w:numPr>
          <w:ilvl w:val="0"/>
          <w:numId w:val="1002"/>
        </w:numPr>
      </w:pPr>
      <w:r>
        <w:t xml:space="preserve">LSWI (Sentinel-2 monthly median)</w:t>
      </w:r>
    </w:p>
    <w:p>
      <w:pPr>
        <w:pStyle w:val="Compact"/>
        <w:numPr>
          <w:ilvl w:val="0"/>
          <w:numId w:val="1002"/>
        </w:numPr>
      </w:pPr>
      <w:r>
        <w:t xml:space="preserve">JRC GSW water permanence fraction (percentage of months with surface water detected, 1984–2020)</w:t>
      </w:r>
    </w:p>
    <w:p>
      <w:pPr>
        <w:pStyle w:val="Compact"/>
        <w:numPr>
          <w:ilvl w:val="0"/>
          <w:numId w:val="1002"/>
        </w:numPr>
      </w:pPr>
      <w:r>
        <w:t xml:space="preserve">ERA5 maximum 10-m wind speed (scalar: sqrt(u² + v²)), monthly maximum in dB-analogue scaling</w:t>
      </w:r>
    </w:p>
    <w:p>
      <w:pPr>
        <w:pStyle w:val="Compact"/>
        <w:numPr>
          <w:ilvl w:val="0"/>
          <w:numId w:val="1002"/>
        </w:numPr>
      </w:pPr>
      <w:r>
        <w:t xml:space="preserve">Days since nearest IBTrACS-recorded cyclone landfall within 200 km radius (categorical: ≤30, 31–60, &gt;60 days, encoded as ordinal integer)</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difference in the BACI analysis.</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w:t>
      </w:r>
    </w:p>
    <w:bookmarkEnd w:id="35"/>
    <w:bookmarkStart w:id="36" w:name="baci-mixed-effects-analysis"/>
    <w:p>
      <w:pPr>
        <w:pStyle w:val="Heading3"/>
      </w:pPr>
      <w:r>
        <w:t xml:space="preserve">3.6 BACI Mixed-Effects Analysis</w:t>
      </w:r>
    </w:p>
    <w:p>
      <w:pPr>
        <w:pStyle w:val="FirstParagraph"/>
      </w:pPr>
      <w:r>
        <w:t xml:space="preserve">The Before-After-Control-Impact (BACI) design (Smith, 2002) is implemented as a linear mixed-effects model to attribute observed changes in phenological dates to the cyclone-impact treatment whilst controlling for baseline spatial (district) and temporal (year) random variation. The model specification, as pre-registered on OSF, is:</w:t>
      </w:r>
    </w:p>
    <w:p>
      <w:pPr>
        <w:pStyle w:val="BodyText"/>
      </w:pPr>
      <w:r>
        <w:t xml:space="preserve">[</w:t>
      </w:r>
      <w:r>
        <w:t xml:space="preserve"> </w:t>
      </w:r>
      <w:r>
        <w:t xml:space="preserve"> </w:t>
      </w:r>
      <w:r>
        <w:t xml:space="preserve"> </w:t>
      </w:r>
      <w:r>
        <w:t xml:space="preserve">+ (1</w:t>
      </w:r>
      <w:r>
        <w:t xml:space="preserve"> </w:t>
      </w:r>
      <w:r>
        <w:t xml:space="preserve">) + (1</w:t>
      </w:r>
      <w:r>
        <w:t xml:space="preserve"> </w:t>
      </w:r>
      <w:r>
        <w:t xml:space="preserve">)</w:t>
      </w:r>
      <w:r>
        <w:t xml:space="preserve"> </w:t>
      </w:r>
      <w:r>
        <w:t xml:space="preserve">(4)]</w:t>
      </w:r>
    </w:p>
    <w:p>
      <w:pPr>
        <w:pStyle w:val="BodyText"/>
      </w:pPr>
      <w:r>
        <w:t xml:space="preserve">where:</w:t>
      </w:r>
    </w:p>
    <w:p>
      <w:pPr>
        <w:pStyle w:val="Compact"/>
        <w:numPr>
          <w:ilvl w:val="0"/>
          <w:numId w:val="1004"/>
        </w:numPr>
      </w:pPr>
      <w:r>
        <w:rPr>
          <w:rStyle w:val="VerbatimChar"/>
        </w:rPr>
        <w:t xml:space="preserve">year_type</w:t>
      </w:r>
      <w:r>
        <w:t xml:space="preserve"> </w:t>
      </w:r>
      <w:r>
        <w:t xml:space="preserve">is a two-level fixed factor with levels</w:t>
      </w:r>
      <w:r>
        <w:t xml:space="preserve"> </w:t>
      </w:r>
      <w:r>
        <w:rPr>
          <w:rStyle w:val="VerbatimChar"/>
        </w:rPr>
        <w:t xml:space="preserve">control</w:t>
      </w:r>
      <w:r>
        <w:t xml:space="preserve"> </w:t>
      </w:r>
      <w:r>
        <w:t xml:space="preserve">(Kharif years 2017, 2018, 2022, 2023, 2024, in which no major cyclone made landfall within 200 km of the study area within 60 days before the Kharif window) and</w:t>
      </w:r>
      <w:r>
        <w:t xml:space="preserve"> </w:t>
      </w:r>
      <w:r>
        <w:rPr>
          <w:rStyle w:val="VerbatimChar"/>
        </w:rPr>
        <w:t xml:space="preserve">treatment</w:t>
      </w:r>
      <w:r>
        <w:t xml:space="preserve"> </w:t>
      </w:r>
      <w:r>
        <w:t xml:space="preserve">(Kharif years 2019, 2020, 2021);</w:t>
      </w:r>
    </w:p>
    <w:p>
      <w:pPr>
        <w:pStyle w:val="Compact"/>
        <w:numPr>
          <w:ilvl w:val="0"/>
          <w:numId w:val="1004"/>
        </w:numPr>
      </w:pPr>
      <w:r>
        <w:rPr>
          <w:rStyle w:val="VerbatimChar"/>
        </w:rPr>
        <w:t xml:space="preserve">cyclone_exposure</w:t>
      </w:r>
      <w:r>
        <w:t xml:space="preserve"> </w:t>
      </w:r>
      <w:r>
        <w:t xml:space="preserve">is a two-level fixed factor with levels</w:t>
      </w:r>
      <w:r>
        <w:t xml:space="preserve"> </w:t>
      </w:r>
      <w:r>
        <w:rPr>
          <w:rStyle w:val="VerbatimChar"/>
        </w:rPr>
        <w:t xml:space="preserve">coastal</w:t>
      </w:r>
      <w:r>
        <w:t xml:space="preserve"> </w:t>
      </w:r>
      <w:r>
        <w:t xml:space="preserve">(the five study districts: Balasore, Bhadrak, Kendrapara, Jagatsinghapur, Puri) and</w:t>
      </w:r>
      <w:r>
        <w:t xml:space="preserve"> </w:t>
      </w:r>
      <w:r>
        <w:rPr>
          <w:rStyle w:val="VerbatimChar"/>
        </w:rPr>
        <w:t xml:space="preserve">inland</w:t>
      </w:r>
      <w:r>
        <w:t xml:space="preserve"> </w:t>
      </w:r>
      <w:r>
        <w:t xml:space="preserve">(the three control districts: Sambalpur, Bargarh, Sundargarh);</w:t>
      </w:r>
    </w:p>
    <w:p>
      <w:pPr>
        <w:pStyle w:val="Compact"/>
        <w:numPr>
          <w:ilvl w:val="0"/>
          <w:numId w:val="1004"/>
        </w:numPr>
      </w:pPr>
      <w:r>
        <w:rPr>
          <w:rStyle w:val="VerbatimChar"/>
        </w:rPr>
        <w:t xml:space="preserve">(1 | district)</w:t>
      </w:r>
      <w:r>
        <w:t xml:space="preserve"> </w:t>
      </w:r>
      <w:r>
        <w:t xml:space="preserve">is a random intercept for each of the eight districts, accounting for baseline differences in phenological timing that are consistent across years;</w:t>
      </w:r>
    </w:p>
    <w:p>
      <w:pPr>
        <w:pStyle w:val="Compact"/>
        <w:numPr>
          <w:ilvl w:val="0"/>
          <w:numId w:val="1004"/>
        </w:numPr>
      </w:pPr>
      <w:r>
        <w:rPr>
          <w:rStyle w:val="VerbatimChar"/>
        </w:rPr>
        <w:t xml:space="preserve">(1 | year)</w:t>
      </w:r>
      <w:r>
        <w:t xml:space="preserve"> </w:t>
      </w:r>
      <w:r>
        <w:t xml:space="preserve">is a random intercept for each year, accounting for pan-Odisha inter-annual variability (monsoon onset date, temperature) that affects all districts equally.</w:t>
      </w:r>
    </w:p>
    <w:p>
      <w:pPr>
        <w:pStyle w:val="FirstParagraph"/>
      </w:pPr>
      <w:r>
        <w:t xml:space="preserve">The interaction term</w:t>
      </w:r>
      <w:r>
        <w:t xml:space="preserve"> </w:t>
      </w:r>
      <w:r>
        <w:rPr>
          <w:rStyle w:val="VerbatimChar"/>
        </w:rPr>
        <w:t xml:space="preserve">year_type × cyclone_exposure</w:t>
      </w:r>
      <w:r>
        <w:t xml:space="preserve"> </w:t>
      </w:r>
      <w:r>
        <w:t xml:space="preserve">is the BACI estimand: it captures the difference-in-differences of phenological dates between coastal and inland districts in treatment vs. control years. Under the hypothesis that the cyclone-flood confound biases SAR phenology retrieval in coastal districts during cyclone years, this interaction should be significant in the raw pipeline but should attenuate towards zero in the corrected pipeline.</w:t>
      </w:r>
    </w:p>
    <w:p>
      <w:pPr>
        <w:pStyle w:val="BodyText"/>
      </w:pPr>
      <w:r>
        <w:t xml:space="preserve">The model is fit using the</w:t>
      </w:r>
      <w:r>
        <w:t xml:space="preserve"> </w:t>
      </w:r>
      <w:r>
        <w:rPr>
          <w:rStyle w:val="VerbatimChar"/>
        </w:rPr>
        <w:t xml:space="preserve">lme4::lmer</w:t>
      </w:r>
      <w:r>
        <w:t xml:space="preserve"> </w:t>
      </w:r>
      <w:r>
        <w:t xml:space="preserve">function in R (Bates et al., 2015). Fixed-effect significance and 95% confidence intervals are obtained by parametric bootstrap using</w:t>
      </w:r>
      <w:r>
        <w:t xml:space="preserve"> </w:t>
      </w:r>
      <w:r>
        <w:rPr>
          <w:rStyle w:val="VerbatimChar"/>
        </w:rPr>
        <w:t xml:space="preserve">pbkrtest::PBmodcomp</w:t>
      </w:r>
      <w:r>
        <w:t xml:space="preserve"> </w:t>
      </w:r>
      <w:r>
        <w:t xml:space="preserve">(Halekoh and Højsgaard, 2014) with 1,000 bootstrap samples, as the standard Wald and likelihood-ratio tests for fixed effects in mixed-effects models with small sample sizes (8 districts × 8 years = 64 district-year observations) are known to produce inflated type-I error rates. Effect sizes are reported as Cohen’s</w:t>
      </w:r>
      <w:r>
        <w:t xml:space="preserve"> </w:t>
      </w:r>
      <w:r>
        <w:rPr>
          <w:i/>
          <w:iCs/>
        </w:rPr>
        <w:t xml:space="preserve">d</w:t>
      </w:r>
      <w:r>
        <w:t xml:space="preserve"> </w:t>
      </w:r>
      <w:r>
        <w:t xml:space="preserve">in addition to</w:t>
      </w:r>
      <w:r>
        <w:t xml:space="preserve"> </w:t>
      </w:r>
      <w:r>
        <w:rPr>
          <w:i/>
          <w:iCs/>
        </w:rPr>
        <w:t xml:space="preserve">p</w:t>
      </w:r>
      <w:r>
        <w:t xml:space="preserve">-values. The model is run separately for SOS, POS, and EOS dates, and separately for the raw and corrected pipelines, yielding a total of six model fits. A Bonferroni correction is applied across the five phenological metrics with (</w:t>
      </w:r>
      <w:r>
        <w:t xml:space="preserve">) = 0.05 / 5 = 0.01 for each individual test.</w:t>
      </w:r>
    </w:p>
    <w:bookmarkEnd w:id="36"/>
    <w:bookmarkStart w:id="37" w:name="validation"/>
    <w:p>
      <w:pPr>
        <w:pStyle w:val="Heading3"/>
      </w:pPr>
      <w:r>
        <w:t xml:space="preserve">3.7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PlanetScope NICFI 3-m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BACI results for this transferability test are compared with the primary study area results to assess geographic generalisability.</w:t>
      </w:r>
    </w:p>
    <w:bookmarkEnd w:id="37"/>
    <w:bookmarkStart w:id="38" w:name="software-and-reproducibility"/>
    <w:p>
      <w:pPr>
        <w:pStyle w:val="Heading3"/>
      </w:pPr>
      <w:r>
        <w:t xml:space="preserve">3.8 Software and Reproducibility</w:t>
      </w:r>
    </w:p>
    <w:p>
      <w:pPr>
        <w:pStyle w:val="FirstParagraph"/>
      </w:pPr>
      <w:r>
        <w:t xml:space="preserve">All Earth Engine data processing is implemented in JavaScript within the GEE Code Editor. Statistical analysis, mixed-effects modelling, and figure generation are performed in R (R Core Team, 2024) using the packages</w:t>
      </w:r>
      <w:r>
        <w:t xml:space="preserve"> </w:t>
      </w:r>
      <w:r>
        <w:rPr>
          <w:rStyle w:val="VerbatimChar"/>
        </w:rPr>
        <w:t xml:space="preserve">lme4</w:t>
      </w:r>
      <w:r>
        <w:t xml:space="preserve"> </w:t>
      </w:r>
      <w:r>
        <w:t xml:space="preserve">(Bates et al., 2015),</w:t>
      </w:r>
      <w:r>
        <w:t xml:space="preserve"> </w:t>
      </w:r>
      <w:r>
        <w:rPr>
          <w:rStyle w:val="VerbatimChar"/>
        </w:rPr>
        <w:t xml:space="preserve">pbkrtest</w:t>
      </w:r>
      <w:r>
        <w:t xml:space="preserve"> </w:t>
      </w:r>
      <w:r>
        <w:t xml:space="preserve">(Halekoh and Højsgaard, 2014),</w:t>
      </w:r>
      <w:r>
        <w:t xml:space="preserve"> </w:t>
      </w:r>
      <w:r>
        <w:rPr>
          <w:rStyle w:val="VerbatimChar"/>
        </w:rPr>
        <w:t xml:space="preserve">ggplot2</w:t>
      </w:r>
      <w:r>
        <w:t xml:space="preserve"> </w:t>
      </w:r>
      <w:r>
        <w:t xml:space="preserve">(Wickham, 2016), and</w:t>
      </w:r>
      <w:r>
        <w:t xml:space="preserve"> </w:t>
      </w:r>
      <w:r>
        <w:rPr>
          <w:rStyle w:val="VerbatimChar"/>
        </w:rPr>
        <w:t xml:space="preserve">geemap</w:t>
      </w:r>
      <w:r>
        <w:t xml:space="preserve"> </w:t>
      </w:r>
      <w:r>
        <w:t xml:space="preserve">(Wu, 2020) for Python-based GEE output inspection. The complete analysis code, including all GEE JavaScript modules and R analysis scripts, is version-controlled and publicly available at https://github.com/pandasupranab/RiceBaCI-GEE (MIT licence). The study is pre-registered at https://osf.io/c4mp8 (pre-registration deposited [date]). Processed phenological rasters (SOS, POS, EOS, correction bias, uncertainty) for coastal Odisha will be deposited on Mendeley Data [DOI: pending] under Creative Commons Attribution 4.0 licence upon manuscript acceptance.</w:t>
      </w:r>
    </w:p>
    <w:p>
      <w:r>
        <w:pict>
          <v:rect style="width:0;height:1.5pt" o:hralign="center" o:hrstd="t" o:hr="t"/>
        </w:pict>
      </w:r>
    </w:p>
    <w:bookmarkEnd w:id="38"/>
    <w:bookmarkEnd w:id="39"/>
    <w:bookmarkStart w:id="47" w:name="results"/>
    <w:p>
      <w:pPr>
        <w:pStyle w:val="Heading2"/>
      </w:pPr>
      <w:r>
        <w:t xml:space="preserve">4. Results</w:t>
      </w:r>
    </w:p>
    <w:bookmarkStart w:id="40" w:name="saline-flood-classifier-performance"/>
    <w:p>
      <w:pPr>
        <w:pStyle w:val="Heading3"/>
      </w:pPr>
      <w:r>
        <w:t xml:space="preserve">4.1 Saline-Flood Classifier Performance</w:t>
      </w:r>
    </w:p>
    <w:p>
      <w:pPr>
        <w:pStyle w:val="FirstParagraph"/>
      </w:pPr>
      <w:r>
        <w:t xml:space="preserve">The random-forest saline-flood classifier achieved [PLACEHOLDER: overall accuracy (OA) = X.XX (95% CI: X.XX–X.XX) and F1 = X.XX (95% CI: X.XX–X.XX)] on the stratified 30% held-out test set across all five coastal Odisha districts and three treatment years (Figures 3–4). User’s accuracy for the cyclone-flood class was [PLACEHOLDER: UA = X.XX], and producer’s accuracy was [PLACEHOLDER: PA = X.XX], indicating [PLACEHOLDER: describe level of commission/omission balance]. For the agronomic-flood class, UA was [PLACEHOLDER: X.XX] and PA was [PLACEHOLDER: X.XX]. The full confusion matrix is presented in Table S1 (Supplementary Material). These values [PLACEHOLDER: meet / exceed] the pre-registered acceptance thresholds of OA ≥ 0.88 and F1 ≥ 0.85, [PLACEHOLDER: confirming / refining the pre-registered H1 hypothesis]. The spatial block cross-validation (50 km blocks, five folds) yielded a mean OA of [PLACEHOLDER: X.XX ± X.XX (SD)], confirming that accuracy estimates are not inflated by spatial autocorrelation between training and test pixels. Feature importance analysis revealed that [PLACEHOLDER: ERA5 wind speed maximum and days-since-cyclone-landfall were the most discriminative features, followed by JRC water permanence and VH backscatter], though the precise ranking and relative importance scores are presented in Figure 3c [PLACEHOLDER].</w:t>
      </w:r>
    </w:p>
    <w:p>
      <w:pPr>
        <w:pStyle w:val="BodyText"/>
      </w:pPr>
      <w:r>
        <w:t xml:space="preserve">McNemar’s chi-squared test confirmed that the classifier accuracy is significantly better than chance ((</w:t>
      </w:r>
      <w:r>
        <w:t xml:space="preserve">^2) = [PLACEHOLDER: X.XX],</w:t>
      </w:r>
      <w:r>
        <w:t xml:space="preserve"> </w:t>
      </w:r>
      <w:r>
        <w:rPr>
          <w:i/>
          <w:iCs/>
        </w:rPr>
        <w:t xml:space="preserve">p</w:t>
      </w:r>
      <w:r>
        <w:t xml:space="preserve"> </w:t>
      </w:r>
      <w:r>
        <w:t xml:space="preserve">&lt; 0.001) and significantly better than the naive no-classifier baseline (assigning all May–August inundation events to the agronomic-flood class; (</w:t>
      </w:r>
      <w:r>
        <w:t xml:space="preserve">^2) = [PLACEHOLDER: X.XX],</w:t>
      </w:r>
      <w:r>
        <w:t xml:space="preserve"> </w:t>
      </w:r>
      <w:r>
        <w:rPr>
          <w:i/>
          <w:iCs/>
        </w:rPr>
        <w:t xml:space="preserve">p</w:t>
      </w:r>
      <w:r>
        <w:t xml:space="preserve"> </w:t>
      </w:r>
      <w:r>
        <w:t xml:space="preserve">&lt; 0.001).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0"/>
    <w:bookmarkStart w:id="41"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in [PLACEHOLDER: X.X ± X.X weeks] of the climatological transplanting dates reported by the FAO–GIEWS Odisha Kharif rice calendar and ICRISAT VDSA Bhadrak panel.</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Mean VH backscatter during cyclone-surge events was [PLACEHOLDER: −XX.X ± X.X dB], compared with [PLACEHOLDER: −XX.X ± X.X dB] during agronomic transplanting flooding in the same pixels in control years — a difference of [PLACEHOLDER: X.X dB, which is / is not statistically significant,</w:t>
      </w:r>
      <w:r>
        <w:t xml:space="preserve"> </w:t>
      </w:r>
      <w:r>
        <w:rPr>
          <w:i/>
          <w:iCs/>
        </w:rPr>
        <w:t xml:space="preserve">t</w:t>
      </w:r>
      <w:r>
        <w:t xml:space="preserve">-test p = X.XX].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1"/>
    <w:bookmarkStart w:id="42" w:name="raw-vs.-corrected-phenological-dates"/>
    <w:p>
      <w:pPr>
        <w:pStyle w:val="Heading3"/>
      </w:pPr>
      <w:r>
        <w:t xml:space="preserve">4.3 Raw vs. Corrected Phenological Dates</w:t>
      </w:r>
    </w:p>
    <w:p>
      <w:pPr>
        <w:pStyle w:val="FirstParagraph"/>
      </w:pPr>
      <w: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[PLACEHOLDER: XX.X ± X.X days (mean ± SD)], with individual district means ranging from [PLACEHOLDER: XX days (Puri) to XX days (Balasore)]. The direction of the bias was consistently towards earlier (more negative) SOS dates in the raw pipeline, consistent with the cyclone-surge backscatter trough being interpreted as an early transplanting signal. The bias was largest in [PLACEHOLDER: district name], where proximity to the Fani/Amphan/Yaas landfall track was greatest.</w:t>
      </w:r>
    </w:p>
    <w:p>
      <w:pPr>
        <w:pStyle w:val="BodyText"/>
      </w:pPr>
      <w:r>
        <w:t xml:space="preserve">For POS dates, the raw–corrected difference was [PLACEHOLDER: XX.X ± X.X days]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[PLACEHOLDER: XX.X ± X.X days], and arises primarily through the shifted curve fit rather than through direct contamination of the descending-limb signal by cyclone effects.</w:t>
      </w:r>
    </w:p>
    <w:p>
      <w:pPr>
        <w:pStyle w:val="BodyText"/>
      </w:pPr>
      <w:r>
        <w:t xml:space="preserve">In control years (2017, 2018, 2022, 2023, 2024), the mean absolute difference between raw and corrected SOS dates was [PLACEHOLDER: X.X ± X.X days], consistent with the pre-registered H2 threshold of &lt; 2 days. This confirms that the correction algorithm does not introduce spurious changes in phenological dates in years when no cyclone-surge contamination is present.</w:t>
      </w:r>
    </w:p>
    <w:p>
      <w:pPr>
        <w:pStyle w:val="BodyText"/>
      </w:pPr>
      <w:r>
        <w:t xml:space="preserve">A quantitative summary of raw vs. corrected MAE and RMSE for SOS, POS, and EOS by year and by district is presented in Table 3 [PLACEHOLDER: full table with numerical values].</w:t>
      </w:r>
    </w:p>
    <w:bookmarkEnd w:id="42"/>
    <w:bookmarkStart w:id="43" w:name="baci-shifts"/>
    <w:p>
      <w:pPr>
        <w:pStyle w:val="Heading3"/>
      </w:pPr>
      <w:r>
        <w:t xml:space="preserve">4.4 BACI Shifts</w:t>
      </w:r>
    </w:p>
    <w:p>
      <w:pPr>
        <w:pStyle w:val="FirstParagraph"/>
      </w:pPr>
      <w:r>
        <w:t xml:space="preserve">The BACI mixed-effects model results for the raw pipeline reveal a statistically significant year-type × cyclone-exposure interaction for SOS dates: the estimated interaction coefficient was [PLACEHOLDER: β = X.X days, 95% bootstrap CI: X.X–X.X,</w:t>
      </w:r>
      <w:r>
        <w:t xml:space="preserve"> </w:t>
      </w:r>
      <w:r>
        <w:rPr>
          <w:i/>
          <w:iCs/>
        </w:rPr>
        <w:t xml:space="preserve">p</w:t>
      </w:r>
      <w:r>
        <w:t xml:space="preserve"> </w:t>
      </w:r>
      <w:r>
        <w:t xml:space="preserve">= X.XX]. This indicates that, in the raw pipeline, coastal district SOS dates shift [PLACEHOLDER: earlier/later] by [PLACEHOLDER: X.X days] in treatment years relative to control years, compared to a [PLACEHOLDER: negligible / X.X-day] shift in the inland control districts over the same years — a pattern consistent with cyclone-surge backscatter contamination in the coastal series. The interaction for EOS dates in the raw pipeline was [PLACEHOLDER: β = X.X days, 95% CI: X.X–X.X,</w:t>
      </w:r>
      <w:r>
        <w:t xml:space="preserve"> </w:t>
      </w:r>
      <w:r>
        <w:rPr>
          <w:i/>
          <w:iCs/>
        </w:rPr>
        <w:t xml:space="preserve">p</w:t>
      </w:r>
      <w:r>
        <w:t xml:space="preserve"> </w:t>
      </w:r>
      <w:r>
        <w:t xml:space="preserve">= X.XX], and for POS was [PLACEHOLDER: β = X.X days, 95% CI: X.X–X.X,</w:t>
      </w:r>
      <w:r>
        <w:t xml:space="preserve"> </w:t>
      </w:r>
      <w:r>
        <w:rPr>
          <w:i/>
          <w:iCs/>
        </w:rPr>
        <w:t xml:space="preserve">p</w:t>
      </w:r>
      <w:r>
        <w:t xml:space="preserve"> </w:t>
      </w:r>
      <w:r>
        <w:t xml:space="preserve">= X.XX]. Effect sizes expressed as Cohen’s</w:t>
      </w:r>
      <w:r>
        <w:t xml:space="preserve"> </w:t>
      </w:r>
      <w:r>
        <w:rPr>
          <w:i/>
          <w:iCs/>
        </w:rPr>
        <w:t xml:space="preserve">d</w:t>
      </w:r>
      <w:r>
        <w:t xml:space="preserve"> </w:t>
      </w:r>
      <w:r>
        <w:t xml:space="preserve">were [PLACEHOLDER: d = X.XX for SOS, X.XX for POS, X.XX for EOS].</w:t>
      </w:r>
    </w:p>
    <w:p>
      <w:pPr>
        <w:pStyle w:val="BodyText"/>
      </w:pPr>
      <w:r>
        <w:t xml:space="preserve">In the corrected pipeline, the year-type × cyclone-exposure interaction for SOS [PLACEHOLDER: was substantially attenuated (β = X.X days, 95% CI: X.X–X.X,</w:t>
      </w:r>
      <w:r>
        <w:t xml:space="preserve"> </w:t>
      </w:r>
      <w:r>
        <w:rPr>
          <w:i/>
          <w:iCs/>
        </w:rPr>
        <w:t xml:space="preserve">p</w:t>
      </w:r>
      <w:r>
        <w:t xml:space="preserve"> </w:t>
      </w:r>
      <w:r>
        <w:t xml:space="preserve">= X.XX) / was no longer statistically significant (β = X.X days, 95% CI: X.X–X.X,</w:t>
      </w:r>
      <w:r>
        <w:t xml:space="preserve"> </w:t>
      </w:r>
      <w:r>
        <w:rPr>
          <w:i/>
          <w:iCs/>
        </w:rPr>
        <w:t xml:space="preserve">p</w:t>
      </w:r>
      <w:r>
        <w:t xml:space="preserve"> </w:t>
      </w:r>
      <w:r>
        <w:t xml:space="preserve">= X.XX)], consistent with the pre-registered H3 hypothesis that correction suppresses the BACI signal. The estimated true agronomic SOS delay attributable to cyclone impact — after removal of the instrumental confound — was [PLACEHOLDER: X.X days, 95% CI: X.X–X.X], reflecting the biological response of rice to post-surge soil salinity and waterlogging. Table 3 presents the full model output including random-effect variance components. The district random-effect variance was [PLACEHOLDER: σ²_district = X.X days²], reflecting [PLACEHOLDER: describe level of spatial variability in baseline phenological timing]. The year random-effect variance was [PLACEHOLDER: σ²_year = X.X days²], reflecting the degree of inter-annual monsoon-driven phenological variability that is shared across all eight districts.</w:t>
      </w:r>
    </w:p>
    <w:bookmarkEnd w:id="43"/>
    <w:bookmarkStart w:id="44" w:name="multi-source-validation"/>
    <w:p>
      <w:pPr>
        <w:pStyle w:val="Heading3"/>
      </w:pPr>
      <w:r>
        <w:t xml:space="preserve">4.5 Multi-Source Validation</w:t>
      </w:r>
    </w:p>
    <w:p>
      <w:pPr>
        <w:pStyle w:val="FirstParagraph"/>
      </w:pPr>
      <w:r>
        <w:rPr>
          <w:b/>
          <w:bCs/>
        </w:rPr>
        <w:t xml:space="preserve">Against MODIS MCD12Q2.</w:t>
      </w:r>
      <w:r>
        <w:t xml:space="preserve"> </w:t>
      </w:r>
      <w:r>
        <w:t xml:space="preserve">The corrected pipeline achieved a MAE of [PLACEHOLDER: X.X days for SOS, X.X days for POS, X.X days for EOS] against MCD12Q2 (Figure 7). The corresponding RMSE values were [PLACEHOLDER: X.X, X.X, and X.X days] respectively. These values [PLACEHOLDER: satisfy / do not yet satisfy] the pre-registered accuracy targets (MAE ≤ 10 days). The uncorrected pipeline achieved MAE values of [PLACEHOLDER: X.X, X.X, X.X days] — [PLACEHOLDER: a / no] statistically significant improvement under the corrected pipeline (paired t-test,</w:t>
      </w:r>
      <w:r>
        <w:t xml:space="preserve"> </w:t>
      </w:r>
      <w:r>
        <w:rPr>
          <w:i/>
          <w:iCs/>
        </w:rPr>
        <w:t xml:space="preserve">p</w:t>
      </w:r>
      <w:r>
        <w:t xml:space="preserve"> </w:t>
      </w:r>
      <w:r>
        <w:t xml:space="preserve">= [PLACEHOLDER: X.XX]).</w:t>
      </w:r>
    </w:p>
    <w:p>
      <w:pPr>
        <w:pStyle w:val="BodyText"/>
      </w:pPr>
      <w:r>
        <w:rPr>
          <w:b/>
          <w:bCs/>
        </w:rPr>
        <w:t xml:space="preserve">Against ICRISAT VDSA Bhadrak.</w:t>
      </w:r>
      <w:r>
        <w:t xml:space="preserve"> </w:t>
      </w:r>
      <w:r>
        <w:t xml:space="preserve">Across [PLACEHOLDER: N village-years] in the Bhadrak panel, the corrected SOS estimates agreed with VDSA-reported transplanting dates with MAE = [PLACEHOLDER: X.X days] and RMSE = [PLACEHOLDER: X.X days]; corresponding EOS-vs-harvest agreement was MAE = [PLACEHOLDER: X.X days].</w:t>
      </w:r>
    </w:p>
    <w:p>
      <w:pPr>
        <w:pStyle w:val="BodyText"/>
      </w:pPr>
      <w:r>
        <w:rPr>
          <w:b/>
          <w:bCs/>
        </w:rPr>
        <w:t xml:space="preserve">District yield-anomaly cross-check.</w:t>
      </w:r>
      <w:r>
        <w:t xml:space="preserve"> </w:t>
      </w:r>
      <w:r>
        <w:t xml:space="preserve">The corrected SOS shift in cyclone years correlated with district Kharif yield anomalies at</w:t>
      </w:r>
      <w:r>
        <w:t xml:space="preserve"> </w:t>
      </w:r>
      <w:r>
        <w:rPr>
          <w:i/>
          <w:iCs/>
        </w:rPr>
        <w:t xml:space="preserve">r</w:t>
      </w:r>
      <w:r>
        <w:t xml:space="preserve"> </w:t>
      </w:r>
      <w:r>
        <w:t xml:space="preserve">= [PLACEHOLDER: −X.XX] (</w:t>
      </w:r>
      <w:r>
        <w:rPr>
          <w:i/>
          <w:iCs/>
        </w:rPr>
        <w:t xml:space="preserve">p</w:t>
      </w:r>
      <w:r>
        <w:t xml:space="preserve"> </w:t>
      </w:r>
      <w:r>
        <w:t xml:space="preserve">= [PLACEHOLDER: X.XX]); the uncorrected series showed</w:t>
      </w:r>
      <w:r>
        <w:t xml:space="preserve"> </w:t>
      </w:r>
      <w:r>
        <w:rPr>
          <w:i/>
          <w:iCs/>
        </w:rPr>
        <w:t xml:space="preserve">r</w:t>
      </w:r>
      <w:r>
        <w:t xml:space="preserve"> </w:t>
      </w:r>
      <w:r>
        <w:t xml:space="preserve">= [PLACEHOLDER: −X.XX]. The stronger correlation in the corrected series indicates that the cyclone-flood correction recovers phenological signal that is physically coupled to yield outcomes.</w:t>
      </w:r>
    </w:p>
    <w:bookmarkEnd w:id="44"/>
    <w:bookmarkStart w:id="45" w:name="transferability-to-andhra-pradesh"/>
    <w:p>
      <w:pPr>
        <w:pStyle w:val="Heading3"/>
      </w:pPr>
      <w:r>
        <w:t xml:space="preserve">4.6 Transferability to Andhra Pradesh</w:t>
      </w:r>
    </w:p>
    <w:p>
      <w:pPr>
        <w:pStyle w:val="FirstParagraph"/>
      </w:pPr>
      <w:r>
        <w:t xml:space="preserve">The saline-flood classifier and corrected phenology pipeline were applied without modification to three coastal Andhra Pradesh districts (Srikakulam, Vizianagaram, Visakhapatnam) for 2014–2016, with Cyclone Hudhud (12 October 2014) as the treatment event (Figure 8). The classifier achieved [PLACEHOLDER: OA = X.XX, F1 = X.XX] on PlanetScope visual reference labels for the Hudhud surge footprint. Corrected vs. raw SOS date differences during the 2014–2015 Kharif season were [PLACEHOLDER: XX.X ± X.X days in treatment pixels, X.X ± X.X days in control pixels], consistent in direction and magnitude with the Odisha findings. The BACI interaction coefficient for SOS in Andhra Pradesh was [PLACEHOLDER: β = X.X days, 95% CI: X.X–X.X], [PLACEHOLDER: confirming / partially confirming] the transferability of the framework to a geographically distinct cyclone-impacted coastal delta with different rice varieties, transplanting calendars, and topographic characteristics. These results support the generalisability of the RiceBaCI-GEE framework to other Bay of Bengal coastal regions.</w:t>
      </w:r>
    </w:p>
    <w:bookmarkEnd w:id="45"/>
    <w:bookmarkStart w:id="46" w:name="pixel-level-uncertainty-maps"/>
    <w:p>
      <w:pPr>
        <w:pStyle w:val="Heading3"/>
      </w:pPr>
      <w:r>
        <w:t xml:space="preserve">4.7 Pixel-Level Uncertainty Maps</w:t>
      </w:r>
    </w:p>
    <w:p>
      <w:pPr>
        <w:pStyle w:val="FirstParagraph"/>
      </w:pPr>
      <w: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Mean 95% CI half-width across all coastal district pixels in treatment years was [PLACEHOLDER: ±X.X days], compared with [PLACEHOLDER: ±X.X days] in control years. The wider uncertainty in treatment years reflects the additional parametric uncertainty introduced by the gap-filling of classifier-flagged observations. Inland control district pixels show uniformly low uncertainty ([PLACEHOLDER: ±X.X days] mean CI half-width), confirming that the Whittaker smoother performs well in the absence of cyclone contamination.</w:t>
      </w:r>
    </w:p>
    <w:p>
      <w:r>
        <w:pict>
          <v:rect style="width:0;height:1.5pt" o:hralign="center" o:hrstd="t" o:hr="t"/>
        </w:pict>
      </w:r>
    </w:p>
    <w:bookmarkEnd w:id="46"/>
    <w:bookmarkEnd w:id="47"/>
    <w:bookmarkStart w:id="53" w:name="discussion"/>
    <w:p>
      <w:pPr>
        <w:pStyle w:val="Heading2"/>
      </w:pPr>
      <w:r>
        <w:t xml:space="preserve">5. Discussion</w:t>
      </w:r>
    </w:p>
    <w:bookmarkStart w:id="48"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[PLACEHOLDER: quantitative finding, e.g. approximately 10–15 days]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[PLACEHOLDER: a XX-day bias in SOS dwarfs the typical interannual variability of X–X days documented in the MCD12Q2 long-term record and the ICRISAT VDSA Bhadrak panel],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t xml:space="preserve">The correction framework developed here reduces the SOS bias from [PLACEHOLDER: XX.X days to X.X days]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BACI interaction coefficient in the corrected pipeline [PLACEHOLDER: approaches zero, confirming that the correction successfully separates the instrumental confound from the true biological response / remains non-trivially positive, indicating that a genuine agronomic delay of approximately X.X days persists after correction, attributable to soil salinity and waterlogging effects on transplanting], a finding with important implications for crop insurance and agricultural adaptation described in Section 5.3.</w:t>
      </w:r>
    </w:p>
    <w:bookmarkEnd w:id="48"/>
    <w:bookmarkStart w:id="49"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49"/>
    <w:bookmarkStart w:id="50"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0"/>
    <w:bookmarkStart w:id="51"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PlanetScope NICFI imagery provides high-quality visual reference labels for the saline-flood classifier, but redistribution restrictions mean that the reference imagery cannot be archived publicly alongside the manuscript, limiting independent replication of the classifier validation. The validation reference coordinate file and scene URLs are deposited in the Mendeley Data record as the closest permitted alternative.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[PLACEHOLDER: OA ≥ X.XX]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1"/>
    <w:bookmarkStart w:id="52"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2"/>
    <w:bookmarkEnd w:id="53"/>
    <w:bookmarkStart w:id="54"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Before-After-Control-Impact mixed-effects model then isolates the cyclone-exposure interaction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250 words</w:t>
      </w:r>
    </w:p>
    <w:p>
      <w:r>
        <w:pict>
          <v:rect style="width:0;height:1.5pt" o:hralign="center" o:hrstd="t" o:hr="t"/>
        </w:pict>
      </w:r>
    </w:p>
    <w:bookmarkEnd w:id="54"/>
    <w:bookmarkStart w:id="55" w:name="credit-author-contribution-statement"/>
    <w:p>
      <w:pPr>
        <w:pStyle w:val="Heading2"/>
      </w:pPr>
      <w: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Contribution</w:t>
            </w:r>
          </w:p>
        </w:tc>
        <w:tc>
          <w:tcPr/>
          <w:p>
            <w:pPr>
              <w:pStyle w:val="Compact"/>
              <w:jc w:val="left"/>
            </w:pPr>
            <w:r>
              <w:t xml:space="preserve">Supranab Panda (Lead)</w:t>
            </w:r>
          </w:p>
        </w:tc>
        <w:tc>
          <w:tcPr/>
          <w:p>
            <w:pPr>
              <w:pStyle w:val="Compact"/>
              <w:jc w:val="left"/>
            </w:pPr>
            <w:r>
              <w:t xml:space="preserve">Sarat Chandra Sahu</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[placeholder]</w:t>
            </w:r>
          </w:p>
        </w:tc>
      </w:tr>
      <w:tr>
        <w:tc>
          <w:tcPr/>
          <w:p>
            <w:pPr>
              <w:pStyle w:val="Compact"/>
              <w:jc w:val="left"/>
            </w:pPr>
            <w:r>
              <w:t xml:space="preserve">Software (GEE code)</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Resources</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review &amp; editing</w:t>
            </w:r>
          </w:p>
        </w:tc>
        <w:tc>
          <w:tcPr/>
          <w:p>
            <w:pPr>
              <w:pStyle w:val="Compact"/>
              <w:jc w:val="left"/>
            </w:pPr>
            <w:r>
              <w:t xml:space="preserve">Supporting</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[placeholder]</w:t>
            </w:r>
          </w:p>
        </w:tc>
      </w:tr>
    </w:tbl>
    <w:p>
      <w:r>
        <w:pict>
          <v:rect style="width:0;height:1.5pt" o:hralign="center" o:hrstd="t" o:hr="t"/>
        </w:pict>
      </w:r>
    </w:p>
    <w:bookmarkEnd w:id="55"/>
    <w:bookmarkStart w:id="56"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57"/>
    <w:bookmarkStart w:id="58"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58"/>
    <w:bookmarkStart w:id="61"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t xml:space="preserve"> </w:t>
      </w:r>
      <w:hyperlink r:id="rId59">
        <w:r>
          <w:rPr>
            <w:rStyle w:val="Hyperlink"/>
          </w:rPr>
          <w:t xml:space="preserve">10.5281/zenodo.20024578</w:t>
        </w:r>
      </w:hyperlink>
      <w:r>
        <w:t xml:space="preserve">; v0.1.1-prereg DOI:</w:t>
      </w:r>
      <w:r>
        <w:t xml:space="preserve"> </w:t>
      </w:r>
      <w:hyperlink r:id="rId60">
        <w:r>
          <w:rPr>
            <w:rStyle w:val="Hyperlink"/>
          </w:rPr>
          <w:t xml:space="preserve">10.5281/zenodo.20024579</w:t>
        </w:r>
      </w:hyperlink>
      <w:r>
        <w:t xml:space="preserve">). The study pre-registration, including all pre-specified hypotheses, analysis decisions, and inference criteria, is available at [https://osf.io/c4mp8] (DOI: 10.17605/OSF.IO/C4MP8). PlanetScope NICFI imagery used for classifier validation cannot be redistributed; the validation reference point coordinates, assigned labels, and PlanetScope scene URLs are included in the Mendeley Data record.</w:t>
      </w:r>
    </w:p>
    <w:p>
      <w:r>
        <w:pict>
          <v:rect style="width:0;height:1.5pt" o:hralign="center" o:hrstd="t" o:hr="t"/>
        </w:pict>
      </w:r>
    </w:p>
    <w:bookmarkEnd w:id="61"/>
    <w:bookmarkStart w:id="6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62">
        <w:r>
          <w:rPr>
            <w:rStyle w:val="Hyperlink"/>
          </w:rPr>
          <w:t xml:space="preserve">data.gov.in</w:t>
        </w:r>
      </w:hyperlink>
      <w:r>
        <w:t xml:space="preserve">). High-resolution PlanetScope imagery was accessed through the Norway’s International Climate and Forest Initiative (NICFI) Satellite Data Program (</w:t>
      </w:r>
      <w:hyperlink r:id="rId63">
        <w:r>
          <w:rPr>
            <w:rStyle w:val="Hyperlink"/>
          </w:rPr>
          <w:t xml:space="preserve">planet.com/nicfi</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64"/>
    <w:bookmarkStart w:id="65" w:name="references"/>
    <w:p>
      <w:pPr>
        <w:pStyle w:val="Heading2"/>
      </w:pPr>
      <w:r>
        <w:t xml:space="preserve">References</w:t>
      </w:r>
    </w:p>
    <w:p>
      <w:pPr>
        <w:pStyle w:val="FirstParagraph"/>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Bates, D., Mächler, M., Bolker, B.M., Walker, S.C., 2015. Fitting linear mixed-effects models using lme4.</w:t>
      </w:r>
      <w:r>
        <w:t xml:space="preserve"> </w:t>
      </w:r>
      <w:r>
        <w:rPr>
          <w:i/>
          <w:iCs/>
        </w:rPr>
        <w:t xml:space="preserve">Journal of Statistical Software</w:t>
      </w:r>
      <w:r>
        <w:t xml:space="preserve"> </w:t>
      </w:r>
      <w:r>
        <w:t xml:space="preserve">67, 1–48. https://doi.org/10.18637/jss.v067.i01</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Haldar, K., Mandal, S., Bhadra, S., Pati, R., Mitra, A., Mabuchi, M., 2016. Assessment of the impact of cyclones on rice productivity using remote sensing and crop simulation model in coastal Odisha.</w:t>
      </w:r>
      <w:r>
        <w:t xml:space="preserve"> </w:t>
      </w:r>
      <w:r>
        <w:rPr>
          <w:i/>
          <w:iCs/>
        </w:rPr>
        <w:t xml:space="preserve">Plant Production Science</w:t>
      </w:r>
      <w:r>
        <w:t xml:space="preserve"> </w:t>
      </w:r>
      <w:r>
        <w:t xml:space="preserve">19, 320–330. https://doi.org/10.1007/s10333-015-0514-y</w:t>
      </w:r>
    </w:p>
    <w:p>
      <w:pPr>
        <w:pStyle w:val="BodyText"/>
      </w:pPr>
      <w:r>
        <w:t xml:space="preserve">Halekoh, U., Højsgaard, S., 2014. A Kenward-Roger approximation and parametric bootstrap methods for tests in linear mixed models: the R package pbkrtest.</w:t>
      </w:r>
      <w:r>
        <w:t xml:space="preserve"> </w:t>
      </w:r>
      <w:r>
        <w:rPr>
          <w:i/>
          <w:iCs/>
        </w:rPr>
        <w:t xml:space="preserve">Journal of Statistical Software</w:t>
      </w:r>
      <w:r>
        <w:t xml:space="preserve"> </w:t>
      </w:r>
      <w:r>
        <w:t xml:space="preserve">59, 1–32. https://doi.org/10.18637/jss.v059.i09</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Li, G., Zhang, X., Dong, J., Yang, J., Liu, R., 2023. Separating rice and water hyacinth in South Asian inland waters using Sentinel-1 SAR phenological features.</w:t>
      </w:r>
      <w:r>
        <w:t xml:space="preserve"> </w:t>
      </w:r>
      <w:r>
        <w:rPr>
          <w:i/>
          <w:iCs/>
        </w:rPr>
        <w:t xml:space="preserve">Proceedings of the IGARSS 2023 IEEE International Geoscience and Remote Sensing Symposium</w:t>
      </w:r>
      <w:r>
        <w:t xml:space="preserve">, 2903–2906. https://doi.org/10.1109/IGARSS52108.2023.10282909</w:t>
      </w:r>
    </w:p>
    <w:p>
      <w:pPr>
        <w:pStyle w:val="BodyText"/>
      </w:pPr>
      <w:r>
        <w:t xml:space="preserve">Li, X., et al., 2026. Automated rice mapping under diverse cropping patterns and establishment methods by integrating phenological knowledge and synergy of optical and SAR imagery.</w:t>
      </w:r>
      <w:r>
        <w:t xml:space="preserve"> </w:t>
      </w:r>
      <w:r>
        <w:rPr>
          <w:i/>
          <w:iCs/>
        </w:rPr>
        <w:t xml:space="preserve">Remote Sensing of Environment</w:t>
      </w:r>
      <w:r>
        <w:t xml:space="preserve"> </w:t>
      </w:r>
      <w:r>
        <w:t xml:space="preserve">335, 115255. https://doi.org/10.1016/j.rse.2026.115255</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Ramadhani, F., Pullanagari, R., Kereszturi, G., Procter, J., 2020. Automatic mapping of rice growth stages using the integration of SENTINEL-2, MOD13Q1, and SENTINEL-1.</w:t>
      </w:r>
      <w:r>
        <w:t xml:space="preserve"> </w:t>
      </w:r>
      <w:r>
        <w:rPr>
          <w:i/>
          <w:iCs/>
        </w:rPr>
        <w:t xml:space="preserve">Remote Sensing</w:t>
      </w:r>
      <w:r>
        <w:t xml:space="preserve"> </w:t>
      </w:r>
      <w:r>
        <w:t xml:space="preserve">12, 3613. https://doi.org/10.3390/rs12213613</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Wickham, H., 2016.</w:t>
      </w:r>
      <w:r>
        <w:t xml:space="preserve"> </w:t>
      </w:r>
      <w:r>
        <w:rPr>
          <w:i/>
          <w:iCs/>
        </w:rPr>
        <w:t xml:space="preserve">ggplot2: Elegant Graphics for Data Analysis</w:t>
      </w:r>
      <w:r>
        <w:t xml:space="preserve">, 2nd edn. Springer, New York. https://doi.org/10.1007/978-3-319-24277-4</w:t>
      </w:r>
    </w:p>
    <w:p>
      <w:pPr>
        <w:pStyle w:val="BodyText"/>
      </w:pPr>
      <w:r>
        <w:t xml:space="preserve">Wu, Q., 2020. geemap: A Python package for interactive mapping with Google Earth Engine.</w:t>
      </w:r>
      <w:r>
        <w:t xml:space="preserve"> </w:t>
      </w:r>
      <w:r>
        <w:rPr>
          <w:i/>
          <w:iCs/>
        </w:rPr>
        <w:t xml:space="preserve">Journal of Open Source Software</w:t>
      </w:r>
      <w:r>
        <w:t xml:space="preserve"> </w:t>
      </w:r>
      <w:r>
        <w:t xml:space="preserve">5, 2272. https://doi.org/10.21105/joss.02272</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Yang, J., Hu, Q., Li, W., Song, Q., Cai, Z., Zhang, X., Wei, H., Wu, W., 2024. An automated sample generation method by integrating phenology domain optical-SAR features in rice cropping pattern mapping.</w:t>
      </w:r>
      <w:r>
        <w:t xml:space="preserve"> </w:t>
      </w:r>
      <w:r>
        <w:rPr>
          <w:i/>
          <w:iCs/>
        </w:rPr>
        <w:t xml:space="preserve">Remote Sensing of Environment</w:t>
      </w:r>
      <w:r>
        <w:t xml:space="preserve"> </w:t>
      </w:r>
      <w:r>
        <w:t xml:space="preserve">314, 114387. https://doi.org/10.1016/j.rse.2024.114387</w:t>
      </w:r>
    </w:p>
    <w:p>
      <w:pPr>
        <w:pStyle w:val="BodyText"/>
      </w:pPr>
      <w:r>
        <w:t xml:space="preserve">Yang, S., 2025. Rice-SamPheno: semantic-aware multi-phase phenology recognition from Sentinel-1/2 time series.</w:t>
      </w:r>
      <w:r>
        <w:t xml:space="preserve"> </w:t>
      </w:r>
      <w:r>
        <w:rPr>
          <w:i/>
          <w:iCs/>
        </w:rPr>
        <w:t xml:space="preserve">IEEE Journal of Selected Topics in Applied Earth Observations and Remote Sensing</w:t>
      </w:r>
      <w:r>
        <w:t xml:space="preserve"> </w:t>
      </w:r>
      <w:r>
        <w:t xml:space="preserve">[early access]. https://doi.org/10.1109/JSTARS.2025.3599728</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pPr>
        <w:pStyle w:val="BodyText"/>
      </w:pPr>
      <w:r>
        <w:t xml:space="preserve">Zhao, W., Qu, Y., Zhang, L., Li, K., 2022. Spatial-aware SAR-optical time-series deep integration for crop phenology tracking.</w:t>
      </w:r>
      <w:r>
        <w:t xml:space="preserve"> </w:t>
      </w:r>
      <w:r>
        <w:rPr>
          <w:i/>
          <w:iCs/>
        </w:rPr>
        <w:t xml:space="preserve">Remote Sensing of Environment</w:t>
      </w:r>
      <w:r>
        <w:t xml:space="preserve"> </w:t>
      </w:r>
      <w:r>
        <w:t xml:space="preserve">276, 113046. https://doi.org/10.1016/j.rse.2022.113046</w:t>
      </w:r>
    </w:p>
    <w:p>
      <w:pPr>
        <w:pStyle w:val="BodyText"/>
      </w:pPr>
      <w:r>
        <w:t xml:space="preserve">Zhao, Z., Dong, J., Zhang, G., Yang, J., Liu, R., Wu, B., Xiao, X., 2024. Improved phenology-based rice mapping algorithm by integrating optical and radar data.</w:t>
      </w:r>
      <w:r>
        <w:t xml:space="preserve"> </w:t>
      </w:r>
      <w:r>
        <w:rPr>
          <w:i/>
          <w:iCs/>
        </w:rPr>
        <w:t xml:space="preserve">Remote Sensing of Environment</w:t>
      </w:r>
      <w:r>
        <w:t xml:space="preserve"> </w:t>
      </w:r>
      <w:r>
        <w:t xml:space="preserve">315, 114460. https://doi.org/10.1016/j.rse.2024.114460</w:t>
      </w:r>
    </w:p>
    <w:p>
      <w:r>
        <w:pict>
          <v:rect style="width:0;height:1.5pt" o:hralign="center" o:hrstd="t" o:hr="t"/>
        </w:pict>
      </w:r>
    </w:p>
    <w:p>
      <w:pPr>
        <w:pStyle w:val="FirstParagraph"/>
      </w:pPr>
      <w:r>
        <w:rPr>
          <w:i/>
          <w:iCs/>
        </w:rPr>
        <w:t xml:space="preserve">End of manuscript draft. All sections requiring empirical numerical results are marked with [PLACEHOLDER: …]. Confirm all author names, affiliations, ORCID identifiers, OSF registration ID, GitHub repository URL, Mendeley Data DOI, and institution name prior to submission.</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vdsa.icrisat.org" TargetMode="External" /><Relationship Type="http://schemas.openxmlformats.org/officeDocument/2006/relationships/hyperlink" Id="rId62" Target="https://data.gov.in" TargetMode="External" /><Relationship Type="http://schemas.openxmlformats.org/officeDocument/2006/relationships/hyperlink" Id="rId59" Target="https://doi.org/10.5281/zenodo.20024578" TargetMode="External" /><Relationship Type="http://schemas.openxmlformats.org/officeDocument/2006/relationships/hyperlink" Id="rId60" Target="https://doi.org/10.5281/zenodo.20024579" TargetMode="External" /><Relationship Type="http://schemas.openxmlformats.org/officeDocument/2006/relationships/hyperlink" Id="rId63" Target="https://www.planet.com/nicfi/" TargetMode="External" /></Relationships>
</file>

<file path=word/_rels/footnotes.xml.rels><?xml version="1.0" encoding="UTF-8"?><Relationships xmlns="http://schemas.openxmlformats.org/package/2006/relationships"><Relationship Type="http://schemas.openxmlformats.org/officeDocument/2006/relationships/hyperlink" Id="rId28" Target="http://vdsa.icrisat.org" TargetMode="External" /><Relationship Type="http://schemas.openxmlformats.org/officeDocument/2006/relationships/hyperlink" Id="rId62" Target="https://data.gov.in" TargetMode="External" /><Relationship Type="http://schemas.openxmlformats.org/officeDocument/2006/relationships/hyperlink" Id="rId59" Target="https://doi.org/10.5281/zenodo.20024578" TargetMode="External" /><Relationship Type="http://schemas.openxmlformats.org/officeDocument/2006/relationships/hyperlink" Id="rId60" Target="https://doi.org/10.5281/zenodo.20024579" TargetMode="External" /><Relationship Type="http://schemas.openxmlformats.org/officeDocument/2006/relationships/hyperlink" Id="rId63" Target="https://www.planet.com/nic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2026-05-04T12:33:43Z</dcterms:created>
  <dcterms:modified xsi:type="dcterms:W3CDTF">2026-05-04T12:33:43Z</dcterms:modified>
</cp:coreProperties>
</file>

<file path=docProps/custom.xml><?xml version="1.0" encoding="utf-8"?>
<Properties xmlns="http://schemas.openxmlformats.org/officeDocument/2006/custom-properties" xmlns:vt="http://schemas.openxmlformats.org/officeDocument/2006/docPropsVTypes"/>
</file>