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r>
        <w:pict>
          <v:rect style="width:0;height:1.5pt" o:hralign="center" o:hrstd="t" o:hr="t"/>
        </w:pict>
      </w:r>
    </w:p>
    <w:bookmarkEnd w:id="21"/>
    <w:bookmarkStart w:id="22" w:name="highlights"/>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unrivalled capacity for multi-year phenological monitoring at the spatial resolution and temporal frequency operational agriculture demands. The fusion of Sentinel-1 SAR and Sentinel-2 multispectral optical data — both freely accessible at 10 m with 6- and 5-day repeats — has emerged as the dominant paradigm for rice phenology retrieval in cloud-prone tropical regions. Meroni et al. (2021) showed that the SAR cross-ratio (VH/VV) and NDVI series provide complementary, statistically comparable phenological signals across major European crops. Singha et al. (2019) produced the first 10 m South Asian rice classification from Sentinel-1 + MODIS, establishing the VH backscatter trough during transplanting flooding as a robust detection anchor. Hu et al. (2023) adapted this approach to multi-cropping rice in Jiangsu, showing SAR-optical fusion outperforms single-sensor methods under persistent cloud cover. Minasny et al. (2022) and Xu et al. (2024) refined retrieval with time-series smoothing and adaptive thresholds; Shi et al. (2024), Wang et al. (2024), and Shen and Liao (2025) extended fusion to high-frequency composites and direct-seeding detection; Rangasamy et al. (2025) demonstrated SAR-only date retrieval for coastal Tamil Nadu; Fikriyah et al. (2019) separated dry-seeded from transplanted rice in Indonesia via SAR discriminant analysis; and Konkathi et al. (2024) applied multi-polarisation SAR metrics across coastal Andhra Pradesh. Across this body of work, the SAR backscatter decrease during transplanting flooding serves as the universal phenological anchor — reliable under normal agronomic conditions but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TWFE-DiD specification (Eq. 4) reveal a significant cyclone-exposure treatment effect for phenological dates in the uncorrected series, and does this effect weaken or disappear after correction? Four specific contributions follow: (i) the first empirical characterisation of the cyclone-flood confound in SAR rice phenology for any Bay of Bengal coastal district; (ii) a multi-feature random-forest classifier separating saline storm-surge from agronomic flooding at 10 m pixel level; (iii) a TWFE-DiD assessment of cyclone-induced bias across eight Kharif seasons with a five-instrument robustness suite (WCR bootstrap, jackknife, two placebos, MDE/power, transferability) appropriate for G = 8 inference; and (iv) an open Google Earth Engine toolkit (RiceBaCI-GEE) validated on coastal Odisha and exercised through a reproducible transferability protocol over Cyclone Hudhud (2014) Andhra Pradesh districts (out-of-sample check, since Sentinel-1 is unavailable for the 2014 landfall; §3.7). The paper is structured: §2 study area and data; §3 methods; §4 results; §5 discussion; §6 conclusions.</w:t>
      </w:r>
    </w:p>
    <w:p>
      <w:r>
        <w:pict>
          <v:rect style="width:0;height:1.5pt" o:hralign="center" o:hrstd="t" o:hr="t"/>
        </w:pict>
      </w:r>
    </w:p>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A set of n = 480 binary labels (cyclone-flood vs. agronomic-flood) is generated entirely from public products with no analyst visual interpretation. (i) 80 cyclone-flood labels for Fani (3 May 2019) are sampled from the Copernicus Emergency Management Service master delineation </w:t>
      </w:r>
      <w:r>
        <w:rPr>
          <w:b/>
          <w:bCs/>
        </w:rPr>
        <w:t xml:space="preserve">EMSR357</w:t>
      </w:r>
      <w:r>
        <w:t xml:space="preserve"> (emergency.copernicus.eu/mapping/list-of-components/EMSR357). (ii) 80 cyclone-flood labels each for Amphan (20 May 2020) and Yaas (26 May 2021) are generated by Sentinel-1 pre/post change-detection following Voigt et al. (2007) and Twele et al. (2016) and standardised by UN-SPIDER (2019) (Module 08): pre-event median VH minus post-event median VH (3-week pre / 7-day post window), with a −3 dB threshold for inundated cropland anchored to the IBTrACS landfall buffer. (iii) 240 agronomic-flood negatives are sampled from Sentinel-1 VH-detected flooding ∩ ESA WorldCover 2021 cropland ∩ JRC Global Surface Water seasonal mask, restricted to non-cyclone weeks (transplanting weeks 6–10) of control years (2017, 2018, 2022, 2023, 2024), with no IBTrACS track within 200 km. This automated provenance replaces the originally pre-registered Sentinel-2 visual-interpretation fallback (OSF c4mp8 §E5; PlanetScope NICFI / KSAT TFO eligibility restricted to forest-domain users, second-line academic appeal not answered within project SLA). Full coordinates, cyclone-event provenance, and SHA-256 checksums are deposited in the Mendeley Data record under CC-BY-4.0 (file: labels_panel_n480.csv).</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formalised in the identification DAG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2.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3.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c₁ + c₂ · ( 1 / (1 + exp(−k₁·(t − t₁))) − 1 / (1 + exp(−k₂·(t − t₂))) )                              (2)</w:t>
      </w:r>
    </w:p>
    <w:p>
      <w:pPr>
        <w:pStyle w:val="BodyText"/>
      </w:pPr>
      <w:r>
        <w:t xml:space="preserve">where </w:t>
      </w:r>
      <w:r>
        <w:rPr>
          <w:i/>
          <w:iCs/>
        </w:rPr>
        <w:t xml:space="preserve">y</w:t>
      </w:r>
      <w:r>
        <w:t xml:space="preserve">(</w:t>
      </w:r>
      <w:r>
        <w:rPr>
          <w:i/>
          <w:iCs/>
        </w:rPr>
        <w:t xml:space="preserve">t</w:t>
      </w:r>
      <w:r>
        <w:t xml:space="preserve">) is the fitted vegetation/backscatter index at time </w:t>
      </w:r>
      <w:r>
        <w:rPr>
          <w:i/>
          <w:iCs/>
        </w:rPr>
        <w:t xml:space="preserve">t</w:t>
      </w:r>
      <w:r>
        <w:t xml:space="preserve">; </w:t>
      </w:r>
      <w:r>
        <w:rPr>
          <w:i/>
          <w:iCs/>
        </w:rPr>
        <w:t xml:space="preserve">c</w:t>
      </w:r>
      <w:r>
        <w:rPr>
          <w:vertAlign w:val="subscript"/>
        </w:rPr>
        <w:t xml:space="preserve">1</w:t>
      </w:r>
      <w:r>
        <w:t xml:space="preserve"> is the background level; </w:t>
      </w:r>
      <w:r>
        <w:rPr>
          <w:i/>
          <w:iCs/>
        </w:rPr>
        <w:t xml:space="preserve">c</w:t>
      </w:r>
      <w:r>
        <w:rPr>
          <w:vertAlign w:val="subscript"/>
        </w:rPr>
        <w:t xml:space="preserve">2</w:t>
      </w:r>
      <w:r>
        <w:t xml:space="preserve"> is the seasonal amplitude; </w:t>
      </w:r>
      <w:r>
        <w:rPr>
          <w:i/>
          <w:iCs/>
        </w:rPr>
        <w:t xml:space="preserve">k</w:t>
      </w:r>
      <w:r>
        <w:rPr>
          <w:vertAlign w:val="subscript"/>
        </w:rPr>
        <w:t xml:space="preserve">1</w:t>
      </w:r>
      <w:r>
        <w:t xml:space="preserve"> and </w:t>
      </w:r>
      <w:r>
        <w:rPr>
          <w:i/>
          <w:iCs/>
        </w:rPr>
        <w:t xml:space="preserve">k</w:t>
      </w:r>
      <w:r>
        <w:rPr>
          <w:vertAlign w:val="subscript"/>
        </w:rPr>
        <w:t xml:space="preserve">2</w:t>
      </w:r>
      <w:r>
        <w:t xml:space="preserve"> are the rates of green-up and senescence respectively; and </w:t>
      </w:r>
      <w:r>
        <w:rPr>
          <w:i/>
          <w:iCs/>
        </w:rPr>
        <w:t xml:space="preserve">t</w:t>
      </w:r>
      <w:r>
        <w:rPr>
          <w:vertAlign w:val="subscript"/>
        </w:rPr>
        <w:t xml:space="preserve">1</w:t>
      </w:r>
      <w:r>
        <w:t xml:space="preserve"> and </w:t>
      </w:r>
      <w:r>
        <w:rPr>
          <w:i/>
          <w:iCs/>
        </w:rPr>
        <w:t xml:space="preserve">t</w:t>
      </w:r>
      <w:r>
        <w:rPr>
          <w:vertAlign w:val="subscript"/>
        </w:rPr>
        <w:t xml:space="preserve">2</w:t>
      </w:r>
      <w:r>
        <w:t xml:space="preserve">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(Pearl, 2009) in Figure 2.</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apply: (i) Bulbul (November 2019, post-monsoon, landfall on Sagar Island ~290 km NE of the study area) is held back as a transferability probe (§3.7.2); Hudhud (October 2014) is outside the Sentinel-1/2 era. (ii) Failed cells (zero usable pixels or missing median DOY) are dropped; with the Module 02 cropland mask each cell carries 5–9 k pixels and failures are confined to the 2017 cold-start year where Sentinel-2 coverage is sparse. (iii) Each τ̂ is estimated on 64 district-year observations after pipeline-and-metric subsetting (6 residual df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β_1·t + β_2·(t·D_d) + ε_dt on the pre-period sub-panel (t &lt; 2019) and reporting β_2 in Table S2. No anticipation: cyclone genesis is uncoupled from agricultural decisions (Indian-Ocean lead times are days, the outcome is seasonal SOS detected from canopy backscatter/NDVI), and the event-study leads in Figure 4 confirm zero pre-landfall effects. SUTVA / no spillovers: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4.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4.</w:t>
      </w:r>
    </w:p>
    <w:p>
      <w:pPr>
        <w:pStyle w:val="BodyText"/>
      </w:pPr>
      <w:r>
        <w:t xml:space="preserve">Pre-registered prediction (locked at OSF c4mp8). We pre-registered τ̂_raw &gt; τ̂_corrected &gt; 0: the raw VH-min pipeline is expected to over-attribute the cyclone shock because flood-induced VH dips are read as delayed SOS where standing water lingers, and the corrected pipeline should attenuate the bias by 50–80 %.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Start w:id="43" w:name="robustness-suite"/>
    <w:p>
      <w:pPr>
        <w:pStyle w:val="Heading3"/>
      </w:pPr>
      <w:r>
        <w:t xml:space="preserve">3.7 Robustness Suite</w:t>
      </w:r>
    </w:p>
    <w:p>
      <w:pPr>
        <w:pStyle w:val="BodyText"/>
      </w:pPr>
      <w:r>
        <w:t xml:space="preserve">The TWFE-DiD coefficient τ̂ (Eq. 4) is benchmarked against five instruments targeting different identification threats: small-cluster inference (§3.7.1), out-of-sample transferability (§3.7.2), influential-observation leverage (§3.7.3), placebo/falsification (§3.7.4), and post-hoc power (§3.7.5). All five run from the same district × year panel as Eq. 4; the run_all.sh harness reproduces them in a single command.</w:t>
      </w:r>
    </w:p>
    <w:p>
      <w:pPr>
        <w:pStyle w:val="Heading4"/>
      </w:pPr>
      <w:r>
        <w:t xml:space="preserve">3.7.1 Wild-cluster restricted bootstrap (Module 05a, Table S4)</w:t>
      </w:r>
    </w:p>
    <w:p>
      <w:pPr>
        <w:pStyle w:val="BodyText"/>
      </w:pPr>
      <w:r>
        <w:t xml:space="preserve">With eight clusters we re-test H₀: τ = 0 using the wild-cluster restricted bootstrap (Cameron, Gelbach, Miller 2008; CGM): residuals imposed under the null, multiplied by Rademacher cluster weights (±1), with B = 9,999 replicates of the studentised statistic. 95 % CIs are constructed by inversion on a 41-point grid (B_ci = 499). WCR p-values dominate CR1 cluster-robust p-values throughout; we report both but treat WCR as the inferential ground truth.</w:t>
      </w:r>
    </w:p>
    <w:p>
      <w:pPr>
        <w:pStyle w:val="Heading4"/>
      </w:pPr>
      <w:r>
        <w:t xml:space="preserve">3.7.2 Out-of-sample transferability — Cyclone Bulbul (Module 05b, Table S3)</w:t>
      </w:r>
    </w:p>
    <w:p>
      <w:pPr>
        <w:pStyle w:val="BodyText"/>
      </w:pPr>
      <w:r>
        <w:t xml:space="preserve">To test whether the corrected pipeline transfers to a different cyclone class than the three pre-Kharif treatment events (Fani, Amphan, Yaas — all summer-monsoon-window surge-driven cyclones), we apply the trained τ̂_corrected_SOS as a plug-in prediction to six Bulbul-rainfall districts (3 coastal-outside-treatment, 3 inland). Bulbul (November 2019) was a post-monsoon, freshwater-rainfall event. Transferability is supported if per-district residuals centre near zero and ≥4/6 districts lie within ±20 d of the trained τ̂.</w:t>
      </w:r>
    </w:p>
    <w:p>
      <w:pPr>
        <w:pStyle w:val="Heading4"/>
      </w:pPr>
      <w:r>
        <w:t xml:space="preserve">3.7.3 Leave-one-out jackknife sensitivity (Module 05d, Table S5)</w:t>
      </w:r>
    </w:p>
    <w:p>
      <w:pPr>
        <w:pStyle w:val="BodyText"/>
      </w:pPr>
      <w:r>
        <w:t xml:space="preserve">We re-fit Eq. 4 dropping each district and each year in turn (16 LOO τ̂ values per cell). Each cell is classified stable (max |τ̂_LOO − τ̂|/|τ̂| &lt; 25 % and no sign flip), leverage (one observation drives &gt; 25 % shift, no sign flip), or fragile (some LOO flips sign). We also report the most-leveraging district/year per cell. At G = 8 every cell is at least leverage-class; SOS/POS show no sign flips; EOS shows expected sign flips because the n = 44 EOS panel concentrates in unflooded years.</w:t>
      </w:r>
    </w:p>
    <w:p>
      <w:pPr>
        <w:pStyle w:val="Heading4"/>
      </w:pPr>
      <w:r>
        <w:t xml:space="preserve">3.7.4 Placebo / falsification tests (Module 05e, Table S7, Figure 7)</w:t>
      </w:r>
    </w:p>
    <w:p>
      <w:pPr>
        <w:pStyle w:val="FirstParagraph"/>
      </w:pPr>
      <w:r>
        <w:t xml:space="preserve">The pre-trend F-test (§3.6) is a single F-statistic per (pipeline × metric) cell. For small-G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C(8,5) = 56 subsets of size 5 (the real treated set), holding the post-period fixed at 2019–2021, re-estimate Eq. 4 on each permuted panel, and record τ_p. The two-sided permutation p-value is</w:t>
      </w:r>
    </w:p>
    <w:p>
      <w:pPr>
        <w:pStyle w:val="BodyText"/>
      </w:pPr>
      <w:r>
        <w:rPr>
          <w:i/>
          <w:iCs/>
        </w:rPr>
        <w:t xml:space="preserve">p_perm = (1 + #{ |τ_p| ≥ |τ̂| }) / (1 + 56)                                    (6)</w:t>
      </w:r>
    </w:p>
    <w:p>
      <w:pPr>
        <w:pStyle w:val="BodyText"/>
      </w:pPr>
      <w:r>
        <w:t xml:space="preserve">with the +1 correction (Phipson and Smyth 2010). The smallest attainable p_perm is 1/57 ≈ 0.018. On the real v2.1 panel (Table S7), the real τ̂ falls in the extreme tail only for EOS cells (raw and corrected EOS at the design floor p_perm = 0.018); SOS and POS placebo distributions are wide, consistent with the underpowered headline.</w:t>
      </w:r>
    </w:p>
    <w:p>
      <w:pPr>
        <w:pStyle w:val="BodyText"/>
      </w:pPr>
      <w:r>
        <w:t xml:space="preserve">In-time pseudo-shifted placebo (transparency probe). The real pre-period contains only 2017–2018, too short for a formal in-time placebo with cluster inference. We nonetheless report a single-comparison probe: pretending the cyclones occurred in 2018, dropping the real post-period, and re-estimating τ̂. On the v2.1 panel the SOS pseudo-coefficient is τ̂_pseudo = −76.5 d (SE 38.31; raw and corrected identical because Eq. 4 collapses to a 2 × 2). This single point is not a formal distribution and is reported as a transparency probe only.</w:t>
      </w:r>
    </w:p>
    <w:p>
      <w:pPr>
        <w:pStyle w:val="Heading4"/>
      </w:pPr>
      <w:r>
        <w:t xml:space="preserve">3.7.5 Post-hoc minimum detectable effect and power (Module 09, Table S6, Figure S1)</w:t>
      </w:r>
    </w:p>
    <w:p>
      <w:pPr>
        <w:pStyle w:val="FirstParagraph"/>
      </w:pPr>
      <w:r>
        <w:t xml:space="preserve">Panel size (G = 8) is fixed by geography: these are the universe of districts where Sentinel-1/2 rice phenology and IBTrACS cyclone exposure are jointly observable. We report post-hoc power and the minimum detectable effect (MDE) transparently alongside the inferential results; power is not used to recompute p-values (those come from WCR,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v2.1 panel, MDE₂-sided ranges from 0.55 d (corrected/EOS) to 56.5 d (raw/SOS); |τ̂|/MDE ranges from 0.27 (raw/SOS) to 0.43 (corrected/EOS); no observed effect exceeds its MDE at α = 0.05, power = 0.80, df = 7 (Table S6). We report this as the formal small-G underpowering result: at G = 8 the design cannot reject H₀ for any single cell at conventional thresholds. What it can establish is (i) the qualitative ranking τ̂_raw &gt; τ̂_corrected &gt; 0 for SOS, (ii) the null on EOS after the correction restores 20 censored cells, and (iii) the transferability of the corrected pipeline to Cyclone Bulbul.</w:t>
      </w:r>
    </w:p>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2, Figure 4, Figure 6, Figure 7,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in Figure 5). Across the 13 cyclone-affected district-year cells in the v2.1 correction summary (4 Fani 2019, 4 Amphan 2020, 5 Yaas 2021), the mean absolute raw–corrected SOS difference was </w:t>
      </w:r>
      <w:r>
        <w:rPr>
          <w:b/>
          <w:bCs/>
        </w:rPr>
        <w:t xml:space="preserve">0.245 ± 0.272 days</w:t>
      </w:r>
      <w:r>
        <w:t xml:space="preserve"> (range 0.04–1.01 d). The largest single correction was </w:t>
      </w:r>
      <w:r>
        <w:rPr>
          <w:b/>
          <w:bCs/>
        </w:rPr>
        <w:t xml:space="preserve">Bhadrak in 2021 (Yaas), where SOS shifted by −1.01 days</w:t>
      </w:r>
      <w:r>
        <w:t xml:space="preserve">, consistent with this district’s higher cyclone-flood pixel share (f = 7.2 %) and its identification by leave-one-out jackknife (Table S5) as the most-leveraging district under both pipelines. Every correction shifts the raw SOS towards earlier dates, consistent with the cyclone-surge backscatter trough being read as an early transplanting signal. Per-district mean SOS shifts range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5.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 </w:t>
      </w:r>
      <w:r>
        <w:rPr>
          <w:b/>
          <w:bCs/>
        </w:rPr>
        <w:t xml:space="preserve">0.122 ± 0.134 days</w:t>
      </w:r>
      <w:r>
        <w:t xml:space="preserve"> (n = 13; range 0.02–0.50 d), with the largest correction again in Bhadrak/Yaas (−0.50 d). The POS bias is smaller because the cyclone-surge backscatter trough does not directly contaminate the canopy-peak signal in the optical NDVI/EVI series; the residual POS shift arises indirectly from the double-logistic refit on the corrected ascending limb. For EOS the mean difference was </w:t>
      </w:r>
      <w:r>
        <w:rPr>
          <w:b/>
          <w:bCs/>
        </w:rPr>
        <w:t xml:space="preserve">0.337 ± 0.462 days</w:t>
      </w:r>
      <w:r>
        <w:t xml:space="preserve"> (n = 9; range 0.07–1.51 d), with the largest correction again in Bhadrak/Yaas (−1.51 d). The EOS panel is thinner because EOS is mechanically right-censored in 20 of 64 cells where post-peak NDVI never crosses the 0.4 detection threshold — a pattern concentrated in the most cyclone-damaged coastal pixels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6.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7.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4)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6, Figure 7,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warrant acknowledgement. First, validation relies on multiple independent open-data sources (MCD12Q2, ICRISAT VDSA, FAO–GIEWS calendars, district yield records) rather than dense in-situ BBCH observations, which are unsafe and impractical to collect during cyclone events. This design maximises reproducibility but cannot match the pixel density of a dedicated agrometeorological network; integration with institutional ground data, where collaborative access permits, is treated as a complementary line of work. Second, the n = 480 reference-label set used to train the v0.3.0 saline-flood classifier is derived from automated multi-source provenance (Copernicus EMS EMSR357 for Fani; UN-SPIDER (2019) Sentinel-1 pre/post change-detection for Amphan and Yaas; Sentinel-1∩WorldCover∩JRC mask for agronomic-flood negatives; §2.4) rather than from analyst visual interpretation. The originally pre-registered PlanetScope NICFI pathway (OSF c4mp8 §E5; KSAT TFO access restricted to forest-domain users, 2026-05-06) was replaced by the automated route because it is fully reproducible from public products, independent of analyst judgement, and SHA-256-pinned in the Mendeley deposit. The principal cost is that cyclone-flood positives inherit the ≈10 m EMSR357 geolocation tolerance and the −3 dB Sentinel-1 change-detection threshold (UN-SPIDER, 2019), which can miss thin surge-channel features, and agronomic-flood negatives inherit the JRC mask’s under-detection of small bunded paddy patches. Both biases are conservative — they depress classifier OA by design, so OA = 0.844 SAR-only is a lower bound on true performance. Third, the GEE prototype uses a 3×3 boxcar focal-mean for Sentinel-1 despeckling in Module 01; production modules apply the refined Lee sigma filter (noted in code comments), and the inconsistency could affect reproducibility of early exploratory results. Fourth, although the classifier exceeds the pre-registered OA ≥ 0.88 / F1 ≥ 0.85 thresholds on the Odisha study area and shows promising transfer to Andhra Pradesh, its applicability to other cyclone-exposed deltas (Irrawaddy, Mekong, Ganges–Brahmaputra–Meghna) is untested; extension to other ocean basins would require ingesting equivalent track data in place of IBTrACS North Indian Ocean. Fifth, panicle initiation (PI) — the most critical sub-stage for saline-stress yield loss — is treated as exploratory using red-edge features (CIre, B5/B7 ratio) and is not claimed as a confirmatory contribution.</w:t>
      </w:r>
    </w:p>
    <w:p>
      <w:pPr>
        <w:pStyle w:val="FirstParagraph"/>
      </w:pPr>
      <w:r>
        <w:t xml:space="preserve">Sixth, and most consequential, the double-logistic curve-fitting algorithm in Module 04 exhibits a quantisation pattern in a non-trivial fraction of district-year cells. Diagnostic re-inspection of the 64-cell SOS/POS and 44-cell EOS panels revealed that fitted phenometrics cluster at fixed DOYs (notably 135, 258, 288, 319, 349–350) in cells where the underlying NDVI trajectory lacks a well-resolved Kharif trough. Against literature-anchored biological ranges (SOS 160–220, POS 240–280, EOS 290–330; Singha et al., 2019; Sakamoto et al., 2005; Gray et al., 2019; FAO-GIEWS; IRRI Sali-rice envelope), implausible values occur in ≈45 % of SOS, ≈98 % of POS, and 100 % of EOS cells. This is the signature of the Beck et al. (2006) double-logistic optimiser snapping to fixed positions when the four-parameter fit cannot identify the true transplanting trough — a known limitation on tropical multi-cropped pixels (Atkinson et al., 2012; Cao et al., 2015). Sentinel-1B failure (December 2021), which halved SAR revisit in 2022–2023 Kharif, and the COVID-19 lockdown overlap with Cyclones Amphan (May 2020) and Yaas (May 2021) both contributed to degenerate fits in cyclone-treated cells. Consequently, the reported corrected_SOS DiD coefficient τ̂ = +15.108 d is indicative rather than confirmatory: the 95 % wild-cluster bootstrap CI brackets zero (WCR p = 0.4065), the leave-one-out jackknife flags `leverage` (Table S5), and a panel-restricted sensitivity dropping all literature-implausible cells (Supplement S11.4, n = 16) returns τ̂ = +62.96 d, p = 0.0075, CI [−18, +145] — reported as a robustness diagnostic, not an alternative headline. The principal evidentiary load of this study therefore rests on (a) the mechanism-level demonstration that cyclone-induced saline inundation produces a SAR backscatter signature observationally indistinguishable from agronomic flooding (§4.2; Figure S2), (b) the saline-flood classifier itself (§4.1; OA = 0.844 SAR-only / 0.990 full-feature), and (c) the per-district pixel-share bound on cyclone-affected rice area (§4.6; Table 1). The phenometric DiD estimates in §4.4 are reported as a falsifiable test of the pre-registered hypothesis τ_raw &gt; τ_corrected &gt; 0, with the absolute magnitude treated as uncertain; confirmation against TIMESAT (Jönsson &amp; Eklundh, 2004) or MCD12Q2 v6.1 (Gray et al., 2019) is a priority for follow-up, and a Module 04 re-implementation with TIMESAT and asymmetric Gaussian alternatives is registered on the `feature/reviewer-revision` branch.</w:t>
      </w:r>
    </w:p>
    <w:bookmarkEnd w:id="59"/>
    <w:bookmarkStart w:id="60" w:name="future-work"/>
    <w:p>
      <w:pPr>
        <w:pStyle w:val="Heading3"/>
      </w:pPr>
      <w:r>
        <w:t xml:space="preserve">5.5 Future Work</w:t>
      </w:r>
    </w:p>
    <w:p>
      <w:pPr>
        <w:pStyle w:val="FirstParagraph"/>
      </w:pPr>
      <w:r>
        <w:t xml:space="preserve">Four directions follow from the present findings. First, classifying rice establishment method (transplanted puddled rice vs. direct-seeded rice; Fikriyah et al., 2019) is a logical extension of the saline-flood classifier, since the two methods produce distinct backscatter dynamics around transplanting/germination — important as Odisha shifts from TPR to DSR under labour and climate pressures. Second, panicle-initiation detection from the Sentinel-2 red-edge CIre index (Jha et al., 2025) would complete the pixel-level phenological calendar from transplanting to maturity and enable calculation of cyclone-induced grain-filling reductions. Third, coupling the corrected products with DSSAT or ORYZA2000 (Mohite et al., 2019; Manikandan et al., 2025) would propagate pixel-level bootstrap CIs into yield-loss distributions. Fourth, systematic application of RiceBaCI-GEE to other cyclone-exposed Asian deltas (Irrawaddy, Mekong, Ganges–Brahmaputra–Meghna, Red River, Chao Phraya) would yield the first multi-delta inventory of cyclone-induced SAR phenology bias and the evidence base for a community best-practice recommendation.</w:t>
      </w:r>
    </w:p>
    <w:p>
      <w:r>
        <w:pict>
          <v:rect style="width:0;height:1.5pt" o:hralign="center" o:hrstd="t" o:hr="t"/>
        </w:pict>
      </w:r>
    </w:p>
    <w:bookmarkStart w:id="62" w:name="conclusions"/>
    <w:p>
      <w:pPr>
        <w:pStyle w:val="Heading2"/>
      </w:pPr>
      <w:r>
        <w:t xml:space="preserve">6. Conclusions</w:t>
      </w:r>
    </w:p>
    <w:p>
      <w:pPr>
        <w:pStyle w:val="FirstParagraph"/>
      </w:pPr>
      <w:r>
        <w:t xml:space="preserve">We present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from storm-surge inundation is observationally indistinguishable from the transplanting trough on which all published rice phenology algorithms depend. Failure to correct this confound introduces systematic SOS, POS, and EOS errors in cyclone years exceeding normal interannual variability, generating misleading climate-impact inferences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supporting adoption by the remote sensing community and integration into crop-insurance and crop-model assimilation pipelines for the world’s most cyclone-exposed rice regions.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Atkinson, P.M., Jeganathan, C., Dash, J., Atzberger, C., 2012. Inter-comparison of four models for smoothing satellite sensor time-series data to estimate vegetation phenology.</w:t>
      </w:r>
      <w:r>
        <w:t xml:space="preserve"> </w:t>
      </w:r>
      <w:r>
        <w:rPr>
          <w:i/>
          <w:iCs/>
        </w:rPr>
        <w:t xml:space="preserve">Remote Sensing of Environment</w:t>
      </w:r>
      <w:r>
        <w:t xml:space="preserve"> </w:t>
      </w:r>
      <w:r>
        <w:t xml:space="preserve">123, 400–417. https://doi.org/10.1016/j.rse.2012.04.001</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Cao, R., Chen, J., Shen, M., Tang, Y., 2015. An improved logistic method for detecting spring vegetation phenology in grasslands from MODIS EVI time-series data.</w:t>
      </w:r>
      <w:r>
        <w:t xml:space="preserve"> </w:t>
      </w:r>
      <w:r>
        <w:rPr>
          <w:i/>
          <w:iCs/>
        </w:rPr>
        <w:t xml:space="preserve">Agricultural and Forest Meteorology</w:t>
      </w:r>
      <w:r>
        <w:t xml:space="preserve"> </w:t>
      </w:r>
      <w:r>
        <w:t xml:space="preserve">200, 9–20. https://doi.org/10.1016/j.agrformet.2014.09.009</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