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20"/>
        </w:rPr>
        <w:t>Table S4.  Wild-cluster bootstrap inference (Cameron, Gelbach &amp; Miller 2008) for the DiD coefficient. Rademacher weights, residuals imposed under the null. CIs by inversion on a 41-point grid.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Arial" w:hAnsi="Arial"/>
                <w:b/>
                <w:sz w:val="20"/>
              </w:rPr>
              <w:t>Pipeline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b/>
                <w:sz w:val="20"/>
              </w:rPr>
              <w:t>Metric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b/>
                <w:sz w:val="20"/>
              </w:rPr>
              <w:t>τ (d)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b/>
                <w:sz w:val="20"/>
              </w:rPr>
              <w:t>t (CR1)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b/>
                <w:sz w:val="20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b/>
                <w:sz w:val="20"/>
              </w:rPr>
              <w:t>p (WCR)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b/>
                <w:sz w:val="20"/>
              </w:rPr>
              <w:t>CI₂.₅ (WCR)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b/>
                <w:sz w:val="20"/>
              </w:rPr>
              <w:t>CI₉₇.₅ (WCR)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raw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SOS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+15.289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0.882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9999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0.4000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raw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POS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-3.587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-1.245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9999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0.2293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raw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EOS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+0.000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1.029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9999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0.2047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corrected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SOS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+15.108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0.873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9999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0.4065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corrected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POS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-3.677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-1.269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9999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0.2293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corrected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EOS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-0.239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-1.411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9999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0.2035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</w:tr>
    </w:tbl>
    <w:p/>
    <w:p>
      <w:r>
        <w:rPr>
          <w:sz w:val="18"/>
        </w:rPr>
        <w:t>Notes. WCR = wild cluster restricted (residuals imposed under H0: τ=0). Floor on bootstrap p-value at B=9999 is 1/(B+1) = 0.0001. District clusters: 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