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26"/>
        </w:rPr>
        <w:t>Table S13a — Per-(district, year, metric) v2.1 correction summary</w:t>
      </w:r>
    </w:p>
    <w:p>
      <w:r>
        <w:rPr>
          <w:i/>
          <w:sz w:val="18"/>
        </w:rPr>
        <w:t>All 35 cyclone-affected district-year-metric cells in the v2.1 real-data panel. For each cell: cyclone-flood pixel share f, saline-flood delta δ_cyc (days, from the cyclone-mask correction), raw DOY, corrected DOY, and the resulting correction in days (corrected − raw). Source: analysis/results/real_v21/v21_correction_summary.csv.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247"/>
            <w:shd w:fill="1F3A5F"/>
          </w:tcPr>
          <w:p>
            <w:r/>
            <w:r>
              <w:rPr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567"/>
            <w:shd w:fill="1F3A5F"/>
          </w:tcPr>
          <w:p>
            <w:r/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850"/>
            <w:shd w:fill="1F3A5F"/>
          </w:tcPr>
          <w:p>
            <w:r/>
            <w:r>
              <w:rPr>
                <w:b/>
                <w:color w:val="FFFFFF"/>
                <w:sz w:val="18"/>
              </w:rPr>
              <w:t>Cyclone</w:t>
            </w:r>
          </w:p>
        </w:tc>
        <w:tc>
          <w:tcPr>
            <w:tcW w:type="dxa" w:w="567"/>
            <w:shd w:fill="1F3A5F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794"/>
            <w:shd w:fill="1F3A5F"/>
          </w:tcPr>
          <w:p>
            <w:r/>
            <w:r>
              <w:rPr>
                <w:b/>
                <w:color w:val="FFFFFF"/>
                <w:sz w:val="18"/>
              </w:rPr>
              <w:t>f (%)</w:t>
            </w:r>
          </w:p>
        </w:tc>
        <w:tc>
          <w:tcPr>
            <w:tcW w:type="dxa" w:w="794"/>
            <w:shd w:fill="1F3A5F"/>
          </w:tcPr>
          <w:p>
            <w:r/>
            <w:r>
              <w:rPr>
                <w:b/>
                <w:color w:val="FFFFFF"/>
                <w:sz w:val="18"/>
              </w:rPr>
              <w:t>δ_cyc (d)</w:t>
            </w:r>
          </w:p>
        </w:tc>
        <w:tc>
          <w:tcPr>
            <w:tcW w:type="dxa" w:w="850"/>
            <w:shd w:fill="1F3A5F"/>
          </w:tcPr>
          <w:p>
            <w:r/>
            <w:r>
              <w:rPr>
                <w:b/>
                <w:color w:val="FFFFFF"/>
                <w:sz w:val="18"/>
              </w:rPr>
              <w:t>Raw DOY</w:t>
            </w:r>
          </w:p>
        </w:tc>
        <w:tc>
          <w:tcPr>
            <w:tcW w:type="dxa" w:w="964"/>
            <w:shd w:fill="1F3A5F"/>
          </w:tcPr>
          <w:p>
            <w:r/>
            <w:r>
              <w:rPr>
                <w:b/>
                <w:color w:val="FFFFFF"/>
                <w:sz w:val="18"/>
              </w:rPr>
              <w:t>Corrected DOY</w:t>
            </w:r>
          </w:p>
        </w:tc>
        <w:tc>
          <w:tcPr>
            <w:tcW w:type="dxa" w:w="964"/>
            <w:shd w:fill="1F3A5F"/>
          </w:tcPr>
          <w:p>
            <w:r/>
            <w:r>
              <w:rPr>
                <w:b/>
                <w:color w:val="FFFFFF"/>
                <w:sz w:val="18"/>
              </w:rPr>
              <w:t>Correction (d)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Baleshwar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Amphan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SOS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0.334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14.0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167.00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166.95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-0.05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Baleshwar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Amphan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0.334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289.00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288.98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-0.02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Baleshwar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Amphan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EOS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0.334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350.00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349.93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-0.07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Baleshwar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Yaas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SOS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0.529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14.0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166.00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165.93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-0.07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Baleshwar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Yaas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0.529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288.00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287.96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-0.04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Baleshwar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Yaas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EOS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0.529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349.00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348.89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-0.11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Bhadrak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Amphan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SOS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0.785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14.0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259.00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258.89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-0.11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Bhadrak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Amphan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0.785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289.00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288.95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-0.05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Bhadrak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Amphan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EOS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0.785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350.00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349.84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-0.16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Bhadrak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Yaas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SOS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7.212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14.0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196.00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194.99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-1.01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Bhadrak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Yaas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7.212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288.00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287.50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Bhadrak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Yaas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EOS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7.212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349.00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347.49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-1.51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Cuttack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Fani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SOS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1.311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14.0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196.00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195.82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-0.18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Cuttack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Fani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1.311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288.00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287.91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-0.09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Cuttack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Fani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EOS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1.311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349.00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348.72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-0.28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Jagatsinghpur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Fani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SOS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0.291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14.0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227.00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226.96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-0.04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Jagatsinghpur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Fani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0.291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319.00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318.98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-0.02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Jagatsinghpur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Amphan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SOS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1.921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14.0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167.00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166.73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-0.27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Jagatsinghpur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Amphan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1.921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289.00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288.87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-0.13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Jagatsinghpur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Yaas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SOS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3.256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14.0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166.00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165.54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-0.46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Jagatsinghpur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Yaas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3.256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288.00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287.77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-0.23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Kendrapara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Fani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SOS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0.535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14.0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196.00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195.93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-0.07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Kendrapara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Fani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0.535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319.00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318.96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-0.04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Kendrapara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Fani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EOS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0.535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349.00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348.89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-0.11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Kendrapara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Amphan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SOS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0.790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14.0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167.00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166.89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-0.11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Kendrapara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Amphan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0.790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289.00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288.94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-0.06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Kendrapara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Amphan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EOS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0.790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350.00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349.83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-0.17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Kendrapara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Yaas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SOS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2.903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14.0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166.00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165.59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-0.41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Kendrapara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Yaas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2.903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288.00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287.80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-0.20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Puri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Fani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SOS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2.519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14.0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196.00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195.65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-0.35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Puri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Fani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2.519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288.00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287.82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-0.18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Puri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2019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Fani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EOS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2.519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349.00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348.47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-0.53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Puri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Yaas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SOS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0.418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14.0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166.00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165.94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-0.06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Puri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Yaas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0.418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288.00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287.97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-0.03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Puri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Yaas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EOS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0.418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21.0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349.00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348.91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-0.09</w:t>
            </w:r>
          </w:p>
        </w:tc>
      </w:tr>
    </w:tbl>
    <w:p/>
    <w:p>
      <w:r>
        <w:rPr>
          <w:b/>
          <w:color w:val="1F3A5F"/>
          <w:sz w:val="22"/>
        </w:rPr>
        <w:t>Summary by phenometric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fill="1F3A5F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020"/>
            <w:shd w:fill="1F3A5F"/>
          </w:tcPr>
          <w:p>
            <w:r/>
            <w:r>
              <w:rPr>
                <w:b/>
                <w:color w:val="FFFFFF"/>
                <w:sz w:val="18"/>
              </w:rPr>
              <w:t>n cells</w:t>
            </w:r>
          </w:p>
        </w:tc>
        <w:tc>
          <w:tcPr>
            <w:tcW w:type="dxa" w:w="1361"/>
            <w:shd w:fill="1F3A5F"/>
          </w:tcPr>
          <w:p>
            <w:r/>
            <w:r>
              <w:rPr>
                <w:b/>
                <w:color w:val="FFFFFF"/>
                <w:sz w:val="18"/>
              </w:rPr>
              <w:t>Mean |Δ| (d)</w:t>
            </w:r>
          </w:p>
        </w:tc>
        <w:tc>
          <w:tcPr>
            <w:tcW w:type="dxa" w:w="1247"/>
            <w:shd w:fill="1F3A5F"/>
          </w:tcPr>
          <w:p>
            <w:r/>
            <w:r>
              <w:rPr>
                <w:b/>
                <w:color w:val="FFFFFF"/>
                <w:sz w:val="18"/>
              </w:rPr>
              <w:t>SD |Δ| (d)</w:t>
            </w:r>
          </w:p>
        </w:tc>
        <w:tc>
          <w:tcPr>
            <w:tcW w:type="dxa" w:w="2041"/>
            <w:shd w:fill="1F3A5F"/>
          </w:tcPr>
          <w:p>
            <w:r/>
            <w:r>
              <w:rPr>
                <w:b/>
                <w:color w:val="FFFFFF"/>
                <w:sz w:val="18"/>
              </w:rPr>
              <w:t>Range (d)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SOS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0.245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0.272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-1.01 / -0.04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0.122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0.134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-0.50 / -0.02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EOS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0.337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0.462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-1.51 / -0.07</w:t>
            </w:r>
          </w:p>
        </w:tc>
      </w:tr>
    </w:tbl>
    <w:p/>
    <w:p>
      <w:r>
        <w:rPr>
          <w:i/>
          <w:sz w:val="18"/>
        </w:rPr>
        <w:t>The largest single-cell correction is Bhadrak / Yaas 2021 at −1.01 d (SOS), −0.50 d (POS), and −1.51 d (EOS), consistent with that district's cyclone-flood pixel share f = 7.21 %. Across all cells the direction of every correction is negative (corrected DOY &lt; raw DOY), consistent with the cyclone-surge backscatter trough being mis-interpreted as an early transplanting signal in the uncorrected pipeline. Cross-references: Section 4.3 (raw vs. corrected pipeline), Table S5 (jackknife leverage), Figure 4 (district-level SOS panel).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sz w:val="20"/>
    </w:rPr>
  </w:style>
  <w:style w:type="table" w:default="1" w:styleId="TableNormal">
    <w:name w:val="Normal Table"/>
    <w:uiPriority w:val="99"/>
    <w:semiHidden/>
    <w:unhideWhenUsed/>
    <w:rPr>
      <w:rFonts w:ascii="Arial" w:hAnsi="Arial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sz w:val="2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  <w:sz w:val="2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  <w:sz w:val="2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sz w:val="2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