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4477" w:name="provenance"/>
      <w:r>
        <w:rPr>
          <w:rFonts w:ascii="Arial" w:hAnsi="Arial"/>
          <w:b/>
          <w:color w:val="A12C7B"/>
          <w:sz w:val="32"/>
        </w:rPr>
        <w:t>Data provenance declaration</w:t>
      </w:r>
      <w:bookmarkEnd w:id="5447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6170" w:name="toc"/>
      <w:r>
        <w:rPr>
          <w:rFonts w:ascii="Arial" w:hAnsi="Arial"/>
          <w:b/>
          <w:color w:val="141414"/>
          <w:sz w:val="32"/>
        </w:rPr>
        <w:t>Contents</w:t>
      </w:r>
      <w:bookmarkEnd w:id="4617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47338" w:name="note_s1"/>
      <w:r>
        <w:rPr>
          <w:rFonts w:ascii="Arial" w:hAnsi="Arial"/>
          <w:b/>
          <w:color w:val="1F3A5F"/>
          <w:sz w:val="32"/>
        </w:rPr>
        <w:t>Note S1 — Bulbul (2019) transferability probe</w:t>
      </w:r>
      <w:bookmarkEnd w:id="4733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Fonts w:ascii="Arial" w:hAnsi="Arial"/>
          <w:sz w:val="20"/>
        </w:rPr>
        <w:t xml:space="preserve">…/probe_residuals_real_v21.csv</w:t>
      </w:r>
      <w:r>
        <w:rPr>
          <w:rFonts w:ascii="Arial" w:hAnsi="Arial"/>
          <w:sz w:val="20"/>
        </w:rPr>
        <w:t xml:space="preserve">,</w:t>
      </w:r>
      <w:r>
        <w:rPr>
          <w:rFonts w:ascii="Arial" w:hAnsi="Arial"/>
          <w:sz w:val="20"/>
        </w:rPr>
        <w:t xml:space="preserve"> </w:t>
      </w:r>
      <w:r>
        <w:rPr>
          <w:rFonts w:ascii="Arial" w:hAnsi="Arial"/>
          <w:sz w:val="20"/>
        </w:rPr>
        <w:t xml:space="preserve">…/probe_summary_real_v21.csv</w:t>
      </w:r>
      <w:r>
        <w:rPr>
          <w:rFonts w:ascii="Arial" w:hAnsi="Arial"/>
          <w:sz w:val="20"/>
        </w:rPr>
        <w:t xml:space="preserve">,</w:t>
      </w:r>
      <w:r>
        <w:rPr>
          <w:rFonts w:ascii="Arial" w:hAnsi="Arial"/>
          <w:sz w:val="20"/>
        </w:rPr>
        <w:t xml:space="preserve"> </w:t>
      </w:r>
      <w:r>
        <w:rP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BodyText"/>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BodyText"/>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
    <w:p>
      <w:pPr>
        <w:pStyle w:val="BodyText"/>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BodyText"/>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For each probe district d 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r>
        <w:rPr>
          <w:rFonts w:ascii="Arial" w:hAnsi="Arial"/>
          <w:sz w:val="20"/>
        </w:rPr>
        <w:t>with the 95% prediction interval PI₉₅ derived from the TWFE-clustered standard error in Table S1. In the v1.0.1-submission release the plug-in value is τ̂_corrected,SOS = +15.108 d with SE = 17.312 d (95% PI = [−36.57, +66.78] d).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Per-district residuals. Table 1 summarises the per-district observed pre-Kharif SOS shift Δ_obs,d relative to the within-district 2017–2018 baseline, the plug-in prediction τ̂_corrected,SOS, and the transferability residual r_d. The empirical idiosyncratic SD across the four probe baselines is σ̂ = 19.88 d, yielding a 95% prediction interval of PI₉₅ = [−36.57, +66.78] d.</w:t>
      </w:r>
    </w:p>
    <w:tbl>
      <w:tblPr>
        <w:tblStyle w:val="RSEPlainGrid"/>
        <w:tblW w:type="dxa" w:w="9070"/>
        <w:tblLook w:val="0420" w:firstRow="1" w:lastRow="0" w:firstColumn="0" w:lastColumn="0" w:noHBand="1" w:noVBand="1"/>
        <w:tblLayout w:type="fixed"/>
      </w:tblPr>
      <w:tblGrid>
        <w:gridCol w:w="1440"/>
        <w:gridCol w:w="1728"/>
        <w:gridCol w:w="1296"/>
        <w:gridCol w:w="1296"/>
        <w:gridCol w:w="1007"/>
        <w:gridCol w:w="1007"/>
        <w:gridCol w:w="1296"/>
      </w:tblGrid>
      <w:tr>
        <w:tc>
          <w:tcPr>
            <w:tcW w:type="dxa" w:w="1440"/>
          </w:tcPr>
          <w:p>
            <w:r/>
            <w:r>
              <w:rPr>
                <w:rFonts w:ascii="Arial" w:hAnsi="Arial"/>
                <w:b/>
                <w:sz w:val="18"/>
              </w:rPr>
              <w:t>District</w:t>
            </w:r>
          </w:p>
        </w:tc>
        <w:tc>
          <w:tcPr>
            <w:tcW w:type="dxa" w:w="1728"/>
          </w:tcPr>
          <w:p>
            <w:r/>
            <w:r>
              <w:rPr>
                <w:rFonts w:ascii="Arial" w:hAnsi="Arial"/>
                <w:b/>
                <w:sz w:val="18"/>
              </w:rPr>
              <w:t>Exposure</w:t>
            </w:r>
          </w:p>
        </w:tc>
        <w:tc>
          <w:tcPr>
            <w:tcW w:type="dxa" w:w="1296"/>
          </w:tcPr>
          <w:p>
            <w:r/>
            <w:r>
              <w:rPr>
                <w:rFonts w:ascii="Arial" w:hAnsi="Arial"/>
                <w:b/>
                <w:sz w:val="18"/>
              </w:rPr>
              <w:t>SOS baseline (DOY)</w:t>
            </w:r>
          </w:p>
        </w:tc>
        <w:tc>
          <w:tcPr>
            <w:tcW w:type="dxa" w:w="1296"/>
          </w:tcPr>
          <w:p>
            <w:r/>
            <w:r>
              <w:rPr>
                <w:rFonts w:ascii="Arial" w:hAnsi="Arial"/>
                <w:b/>
                <w:sz w:val="18"/>
              </w:rPr>
              <w:t>SOS ′2020 (DOY)</w:t>
            </w:r>
          </w:p>
        </w:tc>
        <w:tc>
          <w:tcPr>
            <w:tcW w:type="dxa" w:w="1007"/>
          </w:tcPr>
          <w:p>
            <w:r/>
            <w:r>
              <w:rPr>
                <w:rFonts w:ascii="Arial" w:hAnsi="Arial"/>
                <w:b/>
                <w:sz w:val="18"/>
              </w:rPr>
              <w:t>Δ_obs,d (d)</w:t>
            </w:r>
          </w:p>
        </w:tc>
        <w:tc>
          <w:tcPr>
            <w:tcW w:type="dxa" w:w="1007"/>
          </w:tcPr>
          <w:p>
            <w:r/>
            <w:r>
              <w:rPr>
                <w:rFonts w:ascii="Arial" w:hAnsi="Arial"/>
                <w:b/>
                <w:sz w:val="18"/>
              </w:rPr>
              <w:t>r_d (d)</w:t>
            </w:r>
          </w:p>
        </w:tc>
        <w:tc>
          <w:tcPr>
            <w:tcW w:type="dxa" w:w="1296"/>
          </w:tcPr>
          <w:p>
            <w:r/>
            <w:r>
              <w:rPr>
                <w:rFonts w:ascii="Arial" w:hAnsi="Arial"/>
                <w:b/>
                <w:sz w:val="18"/>
              </w:rPr>
              <w:t>Inside 95% PI?</w:t>
            </w:r>
          </w:p>
        </w:tc>
      </w:tr>
      <w:tr>
        <w:tc>
          <w:tcPr>
            <w:tcW w:type="dxa" w:w="1440"/>
          </w:tcPr>
          <w:p>
            <w:r/>
            <w:r>
              <w:rPr>
                <w:rFonts w:ascii="Arial" w:hAnsi="Arial"/>
                <w:sz w:val="18"/>
              </w:rPr>
              <w:t>Boudh</w:t>
            </w:r>
          </w:p>
        </w:tc>
        <w:tc>
          <w:tcPr>
            <w:tcW w:type="dxa" w:w="1728"/>
          </w:tcPr>
          <w:p>
            <w:r/>
            <w:r>
              <w:rPr>
                <w:rFonts w:ascii="Arial" w:hAnsi="Arial"/>
                <w:sz w:val="18"/>
              </w:rPr>
              <w:t>inland_rainfall</w:t>
            </w:r>
          </w:p>
        </w:tc>
        <w:tc>
          <w:tcPr>
            <w:tcW w:type="dxa" w:w="1296"/>
          </w:tcPr>
          <w:p>
            <w:r/>
            <w:r>
              <w:rPr>
                <w:rFonts w:ascii="Arial" w:hAnsi="Arial"/>
                <w:sz w:val="18"/>
              </w:rPr>
              <w:t>169.4</w:t>
            </w:r>
          </w:p>
        </w:tc>
        <w:tc>
          <w:tcPr>
            <w:tcW w:type="dxa" w:w="1296"/>
          </w:tcPr>
          <w:p>
            <w:r/>
            <w:r>
              <w:rPr>
                <w:rFonts w:ascii="Arial" w:hAnsi="Arial"/>
                <w:sz w:val="18"/>
              </w:rPr>
              <w:t>176.4</w:t>
            </w:r>
          </w:p>
        </w:tc>
        <w:tc>
          <w:tcPr>
            <w:tcW w:type="dxa" w:w="1007"/>
          </w:tcPr>
          <w:p>
            <w:r/>
            <w:r>
              <w:rPr>
                <w:rFonts w:ascii="Arial" w:hAnsi="Arial"/>
                <w:sz w:val="18"/>
              </w:rPr>
              <w:t>+7.0</w:t>
            </w:r>
          </w:p>
        </w:tc>
        <w:tc>
          <w:tcPr>
            <w:tcW w:type="dxa" w:w="1007"/>
          </w:tcPr>
          <w:p>
            <w:r/>
            <w:r>
              <w:rPr>
                <w:rFonts w:ascii="Arial" w:hAnsi="Arial"/>
                <w:sz w:val="18"/>
              </w:rPr>
              <w:t>-8.11</w:t>
            </w:r>
          </w:p>
        </w:tc>
        <w:tc>
          <w:tcPr>
            <w:tcW w:type="dxa" w:w="1296"/>
          </w:tcPr>
          <w:p>
            <w:r/>
            <w:r>
              <w:rPr>
                <w:rFonts w:ascii="Arial" w:hAnsi="Arial"/>
                <w:sz w:val="18"/>
              </w:rPr>
              <w:t>yes</w:t>
            </w:r>
          </w:p>
        </w:tc>
      </w:tr>
      <w:tr>
        <w:tc>
          <w:tcPr>
            <w:tcW w:type="dxa" w:w="1440"/>
          </w:tcPr>
          <w:p>
            <w:r/>
            <w:r>
              <w:rPr>
                <w:rFonts w:ascii="Arial" w:hAnsi="Arial"/>
                <w:sz w:val="18"/>
              </w:rPr>
              <w:t>Ganjam</w:t>
            </w:r>
          </w:p>
        </w:tc>
        <w:tc>
          <w:tcPr>
            <w:tcW w:type="dxa" w:w="1728"/>
          </w:tcPr>
          <w:p>
            <w:r/>
            <w:r>
              <w:rPr>
                <w:rFonts w:ascii="Arial" w:hAnsi="Arial"/>
                <w:sz w:val="18"/>
              </w:rPr>
              <w:t>coastal_rainfall</w:t>
            </w:r>
          </w:p>
        </w:tc>
        <w:tc>
          <w:tcPr>
            <w:tcW w:type="dxa" w:w="1296"/>
          </w:tcPr>
          <w:p>
            <w:r/>
            <w:r>
              <w:rPr>
                <w:rFonts w:ascii="Arial" w:hAnsi="Arial"/>
                <w:sz w:val="18"/>
              </w:rPr>
              <w:t>184.4</w:t>
            </w:r>
          </w:p>
        </w:tc>
        <w:tc>
          <w:tcPr>
            <w:tcW w:type="dxa" w:w="1296"/>
          </w:tcPr>
          <w:p>
            <w:r/>
            <w:r>
              <w:rPr>
                <w:rFonts w:ascii="Arial" w:hAnsi="Arial"/>
                <w:sz w:val="18"/>
              </w:rPr>
              <w:t>198.3</w:t>
            </w:r>
          </w:p>
        </w:tc>
        <w:tc>
          <w:tcPr>
            <w:tcW w:type="dxa" w:w="1007"/>
          </w:tcPr>
          <w:p>
            <w:r/>
            <w:r>
              <w:rPr>
                <w:rFonts w:ascii="Arial" w:hAnsi="Arial"/>
                <w:sz w:val="18"/>
              </w:rPr>
              <w:t>+14.0</w:t>
            </w:r>
          </w:p>
        </w:tc>
        <w:tc>
          <w:tcPr>
            <w:tcW w:type="dxa" w:w="1007"/>
          </w:tcPr>
          <w:p>
            <w:r/>
            <w:r>
              <w:rPr>
                <w:rFonts w:ascii="Arial" w:hAnsi="Arial"/>
                <w:sz w:val="18"/>
              </w:rPr>
              <w:t>-1.11</w:t>
            </w:r>
          </w:p>
        </w:tc>
        <w:tc>
          <w:tcPr>
            <w:tcW w:type="dxa" w:w="1296"/>
          </w:tcPr>
          <w:p>
            <w:r/>
            <w:r>
              <w:rPr>
                <w:rFonts w:ascii="Arial" w:hAnsi="Arial"/>
                <w:sz w:val="18"/>
              </w:rPr>
              <w:t>yes</w:t>
            </w:r>
          </w:p>
        </w:tc>
      </w:tr>
      <w:tr>
        <w:tc>
          <w:tcPr>
            <w:tcW w:type="dxa" w:w="1440"/>
          </w:tcPr>
          <w:p>
            <w:r/>
            <w:r>
              <w:rPr>
                <w:rFonts w:ascii="Arial" w:hAnsi="Arial"/>
                <w:sz w:val="18"/>
              </w:rPr>
              <w:t>Khordha</w:t>
            </w:r>
          </w:p>
        </w:tc>
        <w:tc>
          <w:tcPr>
            <w:tcW w:type="dxa" w:w="1728"/>
          </w:tcPr>
          <w:p>
            <w:r/>
            <w:r>
              <w:rPr>
                <w:rFonts w:ascii="Arial" w:hAnsi="Arial"/>
                <w:sz w:val="18"/>
              </w:rPr>
              <w:t>coastal_rainfall</w:t>
            </w:r>
          </w:p>
        </w:tc>
        <w:tc>
          <w:tcPr>
            <w:tcW w:type="dxa" w:w="1296"/>
          </w:tcPr>
          <w:p>
            <w:r/>
            <w:r>
              <w:rPr>
                <w:rFonts w:ascii="Arial" w:hAnsi="Arial"/>
                <w:sz w:val="18"/>
              </w:rPr>
              <w:t>141.7</w:t>
            </w:r>
          </w:p>
        </w:tc>
        <w:tc>
          <w:tcPr>
            <w:tcW w:type="dxa" w:w="1296"/>
          </w:tcPr>
          <w:p>
            <w:r/>
            <w:r>
              <w:rPr>
                <w:rFonts w:ascii="Arial" w:hAnsi="Arial"/>
                <w:sz w:val="18"/>
              </w:rPr>
              <w:t>179.3</w:t>
            </w:r>
          </w:p>
        </w:tc>
        <w:tc>
          <w:tcPr>
            <w:tcW w:type="dxa" w:w="1007"/>
          </w:tcPr>
          <w:p>
            <w:r/>
            <w:r>
              <w:rPr>
                <w:rFonts w:ascii="Arial" w:hAnsi="Arial"/>
                <w:sz w:val="18"/>
              </w:rPr>
              <w:t>+37.6</w:t>
            </w:r>
          </w:p>
        </w:tc>
        <w:tc>
          <w:tcPr>
            <w:tcW w:type="dxa" w:w="1007"/>
          </w:tcPr>
          <w:p>
            <w:r/>
            <w:r>
              <w:rPr>
                <w:rFonts w:ascii="Arial" w:hAnsi="Arial"/>
                <w:sz w:val="18"/>
              </w:rPr>
              <w:t>+22.49</w:t>
            </w:r>
          </w:p>
        </w:tc>
        <w:tc>
          <w:tcPr>
            <w:tcW w:type="dxa" w:w="1296"/>
          </w:tcPr>
          <w:p>
            <w:r/>
            <w:r>
              <w:rPr>
                <w:rFonts w:ascii="Arial" w:hAnsi="Arial"/>
                <w:sz w:val="18"/>
              </w:rPr>
              <w:t>yes</w:t>
            </w:r>
          </w:p>
        </w:tc>
      </w:tr>
      <w:tr>
        <w:tc>
          <w:tcPr>
            <w:tcW w:type="dxa" w:w="1440"/>
          </w:tcPr>
          <w:p>
            <w:r/>
            <w:r>
              <w:rPr>
                <w:rFonts w:ascii="Arial" w:hAnsi="Arial"/>
                <w:sz w:val="18"/>
              </w:rPr>
              <w:t>Nayagarh</w:t>
            </w:r>
          </w:p>
        </w:tc>
        <w:tc>
          <w:tcPr>
            <w:tcW w:type="dxa" w:w="1728"/>
          </w:tcPr>
          <w:p>
            <w:r/>
            <w:r>
              <w:rPr>
                <w:rFonts w:ascii="Arial" w:hAnsi="Arial"/>
                <w:sz w:val="18"/>
              </w:rPr>
              <w:t>inland_rainfall</w:t>
            </w:r>
          </w:p>
        </w:tc>
        <w:tc>
          <w:tcPr>
            <w:tcW w:type="dxa" w:w="1296"/>
          </w:tcPr>
          <w:p>
            <w:r/>
            <w:r>
              <w:rPr>
                <w:rFonts w:ascii="Arial" w:hAnsi="Arial"/>
                <w:sz w:val="18"/>
              </w:rPr>
              <w:t>147.0</w:t>
            </w:r>
          </w:p>
        </w:tc>
        <w:tc>
          <w:tcPr>
            <w:tcW w:type="dxa" w:w="1296"/>
          </w:tcPr>
          <w:p>
            <w:r/>
            <w:r>
              <w:rPr>
                <w:rFonts w:ascii="Arial" w:hAnsi="Arial"/>
                <w:sz w:val="18"/>
              </w:rPr>
              <w:t>175.1</w:t>
            </w:r>
          </w:p>
        </w:tc>
        <w:tc>
          <w:tcPr>
            <w:tcW w:type="dxa" w:w="1007"/>
          </w:tcPr>
          <w:p>
            <w:r/>
            <w:r>
              <w:rPr>
                <w:rFonts w:ascii="Arial" w:hAnsi="Arial"/>
                <w:sz w:val="18"/>
              </w:rPr>
              <w:t>+28.1</w:t>
            </w:r>
          </w:p>
        </w:tc>
        <w:tc>
          <w:tcPr>
            <w:tcW w:type="dxa" w:w="1007"/>
          </w:tcPr>
          <w:p>
            <w:r/>
            <w:r>
              <w:rPr>
                <w:rFonts w:ascii="Arial" w:hAnsi="Arial"/>
                <w:sz w:val="18"/>
              </w:rPr>
              <w:t>+12.99</w:t>
            </w:r>
          </w:p>
        </w:tc>
        <w:tc>
          <w:tcPr>
            <w:tcW w:type="dxa" w:w="1296"/>
          </w:tcPr>
          <w:p>
            <w:r/>
            <w:r>
              <w:rPr>
                <w:rFonts w:ascii="Arial" w:hAnsi="Arial"/>
                <w:sz w:val="18"/>
              </w:rPr>
              <w:t>yes</w:t>
            </w:r>
          </w:p>
        </w:tc>
      </w:tr>
      <w:tr>
        <w:tc>
          <w:tcPr>
            <w:tcW w:type="dxa" w:w="1440"/>
          </w:tcPr>
          <w:p>
            <w:r/>
            <w:r>
              <w:rPr>
                <w:rFonts w:ascii="Arial" w:hAnsi="Arial"/>
                <w:sz w:val="18"/>
              </w:rPr>
              <w:t>Kandhamal ⁂</w:t>
            </w:r>
          </w:p>
        </w:tc>
        <w:tc>
          <w:tcPr>
            <w:tcW w:type="dxa" w:w="1728"/>
          </w:tcPr>
          <w:p>
            <w:r/>
            <w:r>
              <w:rPr>
                <w:rFonts w:ascii="Arial" w:hAnsi="Arial"/>
                <w:sz w:val="18"/>
              </w:rPr>
              <w:t>inland_rainfall</w:t>
            </w:r>
          </w:p>
        </w:tc>
        <w:tc>
          <w:tcPr>
            <w:tcW w:type="dxa" w:w="1296"/>
          </w:tcPr>
          <w:p>
            <w:r/>
            <w:r>
              <w:rPr>
                <w:rFonts w:ascii="Arial" w:hAnsi="Arial"/>
                <w:sz w:val="18"/>
              </w:rPr>
              <w:t>151.0</w:t>
            </w:r>
          </w:p>
        </w:tc>
        <w:tc>
          <w:tcPr>
            <w:tcW w:type="dxa" w:w="1296"/>
          </w:tcPr>
          <w:p>
            <w:r/>
            <w:r>
              <w:rPr>
                <w:rFonts w:ascii="Arial" w:hAnsi="Arial"/>
                <w:sz w:val="18"/>
              </w:rPr>
              <w:t>206.4</w:t>
            </w:r>
          </w:p>
        </w:tc>
        <w:tc>
          <w:tcPr>
            <w:tcW w:type="dxa" w:w="1007"/>
          </w:tcPr>
          <w:p>
            <w:r/>
            <w:r>
              <w:rPr>
                <w:rFonts w:ascii="Arial" w:hAnsi="Arial"/>
                <w:sz w:val="18"/>
              </w:rPr>
              <w:t>+55.5</w:t>
            </w:r>
          </w:p>
        </w:tc>
        <w:tc>
          <w:tcPr>
            <w:tcW w:type="dxa" w:w="1007"/>
          </w:tcPr>
          <w:p>
            <w:r/>
            <w:r>
              <w:rPr>
                <w:rFonts w:ascii="Arial" w:hAnsi="Arial"/>
                <w:sz w:val="18"/>
              </w:rPr>
              <w:t>+40.39</w:t>
            </w:r>
          </w:p>
        </w:tc>
        <w:tc>
          <w:tcPr>
            <w:tcW w:type="dxa" w:w="1296"/>
          </w:tcPr>
          <w:p>
            <w:r/>
            <w:r>
              <w:rPr>
                <w:rFonts w:ascii="Arial" w:hAnsi="Arial"/>
                <w:sz w:val="18"/>
              </w:rPr>
              <w:t>yes</w:t>
            </w:r>
          </w:p>
        </w:tc>
      </w:tr>
      <w:tr>
        <w:tc>
          <w:tcPr>
            <w:tcW w:type="dxa" w:w="1440"/>
          </w:tcPr>
          <w:p>
            <w:r/>
            <w:r>
              <w:rPr>
                <w:rFonts w:ascii="Arial" w:hAnsi="Arial"/>
                <w:sz w:val="18"/>
              </w:rPr>
              <w:t>Mayurbhanj ⁂</w:t>
            </w:r>
          </w:p>
        </w:tc>
        <w:tc>
          <w:tcPr>
            <w:tcW w:type="dxa" w:w="1728"/>
          </w:tcPr>
          <w:p>
            <w:r/>
            <w:r>
              <w:rPr>
                <w:rFonts w:ascii="Arial" w:hAnsi="Arial"/>
                <w:sz w:val="18"/>
              </w:rPr>
              <w:t>coastal_rainfall</w:t>
            </w:r>
          </w:p>
        </w:tc>
        <w:tc>
          <w:tcPr>
            <w:tcW w:type="dxa" w:w="1296"/>
          </w:tcPr>
          <w:p>
            <w:r/>
            <w:r>
              <w:rPr>
                <w:rFonts w:ascii="Arial" w:hAnsi="Arial"/>
                <w:sz w:val="18"/>
              </w:rPr>
              <w:t>126.5</w:t>
            </w:r>
          </w:p>
        </w:tc>
        <w:tc>
          <w:tcPr>
            <w:tcW w:type="dxa" w:w="1296"/>
          </w:tcPr>
          <w:p>
            <w:r/>
            <w:r>
              <w:rPr>
                <w:rFonts w:ascii="Arial" w:hAnsi="Arial"/>
                <w:sz w:val="18"/>
              </w:rPr>
              <w:t>121.0</w:t>
            </w:r>
          </w:p>
        </w:tc>
        <w:tc>
          <w:tcPr>
            <w:tcW w:type="dxa" w:w="1007"/>
          </w:tcPr>
          <w:p>
            <w:r/>
            <w:r>
              <w:rPr>
                <w:rFonts w:ascii="Arial" w:hAnsi="Arial"/>
                <w:sz w:val="18"/>
              </w:rPr>
              <w:t>-5.5</w:t>
            </w:r>
          </w:p>
        </w:tc>
        <w:tc>
          <w:tcPr>
            <w:tcW w:type="dxa" w:w="1007"/>
          </w:tcPr>
          <w:p>
            <w:r/>
            <w:r>
              <w:rPr>
                <w:rFonts w:ascii="Arial" w:hAnsi="Arial"/>
                <w:sz w:val="18"/>
              </w:rPr>
              <w:t>-20.61</w:t>
            </w:r>
          </w:p>
        </w:tc>
        <w:tc>
          <w:tcPr>
            <w:tcW w:type="dxa" w:w="1296"/>
          </w:tcPr>
          <w:p>
            <w:r/>
            <w:r>
              <w:rPr>
                <w:rFonts w:ascii="Arial" w:hAnsi="Arial"/>
                <w:sz w:val="18"/>
              </w:rPr>
              <w:t>yes</w:t>
            </w:r>
          </w:p>
        </w:tc>
      </w:tr>
      <w:tr>
        <w:tc>
          <w:tcPr>
            <w:tcW w:type="dxa" w:w="1440"/>
          </w:tcPr>
          <w:p>
            <w:r/>
            <w:r>
              <w:rPr>
                <w:rFonts w:ascii="Arial" w:hAnsi="Arial"/>
                <w:b/>
                <w:sz w:val="18"/>
              </w:rPr>
              <w:t>Mean (n = 4)</w:t>
            </w:r>
          </w:p>
        </w:tc>
        <w:tc>
          <w:tcPr>
            <w:tcW w:type="dxa" w:w="1728"/>
          </w:tcPr>
          <w:p>
            <w:r/>
            <w:r>
              <w:rPr>
                <w:rFonts w:ascii="Arial" w:hAnsi="Arial"/>
                <w:b/>
                <w:sz w:val="18"/>
              </w:rPr>
              <w:t>—</w:t>
            </w:r>
          </w:p>
        </w:tc>
        <w:tc>
          <w:tcPr>
            <w:tcW w:type="dxa" w:w="1296"/>
          </w:tcPr>
          <w:p>
            <w:r/>
            <w:r>
              <w:rPr>
                <w:rFonts w:ascii="Arial" w:hAnsi="Arial"/>
                <w:b/>
                <w:sz w:val="18"/>
              </w:rPr>
              <w:t>160.6</w:t>
            </w:r>
          </w:p>
        </w:tc>
        <w:tc>
          <w:tcPr>
            <w:tcW w:type="dxa" w:w="1296"/>
          </w:tcPr>
          <w:p>
            <w:r/>
            <w:r>
              <w:rPr>
                <w:rFonts w:ascii="Arial" w:hAnsi="Arial"/>
                <w:b/>
                <w:sz w:val="18"/>
              </w:rPr>
              <w:t>182.3</w:t>
            </w:r>
          </w:p>
        </w:tc>
        <w:tc>
          <w:tcPr>
            <w:tcW w:type="dxa" w:w="1007"/>
          </w:tcPr>
          <w:p>
            <w:r/>
            <w:r>
              <w:rPr>
                <w:rFonts w:ascii="Arial" w:hAnsi="Arial"/>
                <w:b/>
                <w:sz w:val="18"/>
              </w:rPr>
              <w:t>+21.7</w:t>
            </w:r>
          </w:p>
        </w:tc>
        <w:tc>
          <w:tcPr>
            <w:tcW w:type="dxa" w:w="1007"/>
          </w:tcPr>
          <w:p>
            <w:r/>
            <w:r>
              <w:rPr>
                <w:rFonts w:ascii="Arial" w:hAnsi="Arial"/>
                <w:b/>
                <w:sz w:val="18"/>
              </w:rPr>
              <w:t>+6.56</w:t>
            </w:r>
          </w:p>
        </w:tc>
        <w:tc>
          <w:tcPr>
            <w:tcW w:type="dxa" w:w="1296"/>
          </w:tcPr>
          <w:p>
            <w:r/>
            <w:r>
              <w:rPr>
                <w:rFonts w:ascii="Arial" w:hAnsi="Arial"/>
                <w:b/>
                <w:sz w:val="18"/>
              </w:rPr>
              <w:t>4 / 4</w:t>
            </w:r>
          </w:p>
        </w:tc>
      </w:tr>
    </w:tbl>
    <w:p>
      <w:pPr>
        <w:pStyle w:val="BodyText"/>
      </w:pPr>
    </w:p>
    <w:bookmarkEnd w:id="23"/>
    <w:bookmarkStart w:id="24" w:name="s1.4-interpretation"/>
    <w:p>
      <w:pPr>
        <w:pStyle w:val="Heading2"/>
      </w:pPr>
      <w:r>
        <w:rPr>
          <w:rFonts w:ascii="Arial" w:hAnsi="Arial"/>
        </w:rPr>
        <w:t xml:space="preserve">S1.4 Interpretation</w:t>
      </w:r>
    </w:p>
    <w:p>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BodyText"/>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BodyText"/>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BodyText"/>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r>
        <w:rPr>
          <w:rFonts w:ascii="Arial" w:hAnsi="Arial"/>
          <w:sz w:val="20"/>
        </w:rPr>
        <w:t xml:space="preserve">Five caveats accompany this transferability probe, four declared at pre-registration and one identified during the v1.0.1-submission analysis (limitation 4):</w:t>
      </w:r>
    </w:p>
    <w:p>
      <w:pPr>
        <w:pStyle w:val="BodyText"/>
      </w:pPr>
      <w:r>
        <w:rPr>
          <w:rFonts w:ascii="Arial" w:hAnsi="Arial"/>
          <w:b/>
          <w:bCs/>
          <w:sz w:val="20"/>
        </w:rPr>
        <w:t>Six is small. Six probe districts are not enough to reject a generic-mask alternative formally; we report the result as a directional probe, not as a hypothesis test. The mean-residual point estimate (r̄ = +6.56 d) is the headline summary; we do not attach a p-value to it.</w:t>
      </w:r>
    </w:p>
    <w:p>
      <w:pPr>
        <w:pStyle w:val="BodyText"/>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BodyText"/>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BodyText"/>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BodyText"/>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BodyText"/>
      </w:pPr>
      <w:r>
        <w:rPr>
          <w:rFonts w:ascii="Arial" w:hAnsi="Arial"/>
          <w:sz w:val="20"/>
        </w:rPr>
        <w:t xml:space="preserve">Original pre-registration (</w:t>
      </w:r>
      <w:hyperlink r:id="rId20">
        <w:r>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BodyText"/>
      </w:pPr>
    </w:p>
    <w:bookmarkEnd w:id="26"/>
    <w:bookmarkStart w:id="30" w:name="references"/>
    <w:p>
      <w:pPr>
        <w:pStyle w:val="Heading2"/>
      </w:pPr>
      <w:r>
        <w:rPr>
          <w:rFonts w:ascii="Arial" w:hAnsi="Arial"/>
        </w:rPr>
        <w:t xml:space="preserve">References</w:t>
      </w:r>
    </w:p>
    <w:p>
      <w:pPr>
        <w:pStyle w:val="BodyText"/>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t xml:space="preserve">doi:10.1257/jep.31.2.3</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t xml:space="preserve">rsmcnewdelhi.imd.gov.in</w:t>
        </w:r>
      </w:hyperlink>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t xml:space="preserve">doi:10.1175/2009BAMS2755.1</w:t>
        </w:r>
      </w:hyperlink>
    </w:p>
    <w:bookmarkEnd w:id="30"/>
    <w:bookmarkEnd w:id="31"/>
    <w:p>
      <w:r>
        <w:rPr>
          <w:rFonts w:ascii="Arial" w:hAnsi="Arial"/>
          <w:sz w:val="20"/>
        </w:rPr>
        <w:br w:type="page"/>
      </w:r>
    </w:p>
    <w:p>
      <w:pPr>
        <w:keepNext/>
        <w:spacing w:before="240" w:after="120"/>
      </w:pPr>
      <w:bookmarkStart w:id="65301" w:name="note_s2"/>
      <w:r>
        <w:rPr>
          <w:rFonts w:ascii="Arial" w:hAnsi="Arial"/>
          <w:b/>
          <w:color w:val="1F3A5F"/>
          <w:sz w:val="32"/>
        </w:rPr>
        <w:t>Note S2 — Pre-Kharif Bay-of-Bengal cyclone climatology</w:t>
      </w:r>
      <w:bookmarkEnd w:id="653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Fonts w:ascii="Arial" w:hAnsi="Arial"/>
          <w:sz w:val="20"/>
        </w:rPr>
        <w:t xml:space="preserve">figures/Figure_S1.{pdf,png}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r>
        <w:rPr>
          <w:rFonts w:ascii="Arial" w:hAnsi="Arial"/>
          <w:sz w:val="20"/>
        </w:rPr>
        <w:t>The TWFE-DiD specification in §3.6 identifies the cyclone-impact coefficient τ̂ 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BodyText"/>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BodyText"/>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BodyText"/>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r>
        <w:rPr>
          <w:rFonts w:ascii="Arial" w:hAnsi="Arial"/>
          <w:sz w:val="20"/>
        </w:rPr>
        <w:t xml:space="preserve">The reference distribution is constructed from IBTrACS v04r01 (North Indian basin) restricted to:</w:t>
      </w:r>
    </w:p>
    <w:p>
      <w:pPr>
        <w:pStyle w:val="BodyTex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BodyText"/>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BodyTex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RSEPlainGrid"/>
        <w:tblW w:type="dxa" w:w="9072"/>
        <w:jc w:val="left"/>
        <w:tblLook w:val="0420" w:firstRow="1" w:lastRow="0" w:firstColumn="0" w:lastColumn="0" w:noHBand="1" w:noVBand="1"/>
        <w:tblLayout w:type="autofit"/>
      </w:tblPr>
      <w:tblGrid>
        <w:gridCol w:w="1134"/>
        <w:gridCol w:w="1134"/>
        <w:gridCol w:w="1134"/>
        <w:gridCol w:w="1134"/>
        <w:gridCol w:w="1134"/>
        <w:gridCol w:w="1134"/>
        <w:gridCol w:w="1134"/>
        <w:gridCol w:w="1134"/>
      </w:tblGrid>
      <w:tr>
        <w:trPr>
          <w:tblHeader w:val="on"/>
        </w:trPr>
        <w:tc>
          <w:tcPr>
            <w:tcW w:type="dxa" w:w="1134"/>
          </w:tcPr>
          <w:p>
            <w:pPr>
              <w:pStyle w:val="BodyText"/>
              <w:jc w:val="left"/>
            </w:pPr>
            <w:r>
              <w:rPr>
                <w:rFonts w:ascii="Arial" w:hAnsi="Arial"/>
                <w:sz w:val="18"/>
              </w:rPr>
              <w:t xml:space="preserve">Metric</w:t>
            </w:r>
          </w:p>
        </w:tc>
        <w:tc>
          <w:tcPr>
            <w:tcW w:type="dxa" w:w="1134"/>
          </w:tcPr>
          <w:p>
            <w:pPr>
              <w:pStyle w:val="BodyText"/>
              <w:jc w:val="right"/>
            </w:pPr>
            <w:r>
              <w:rPr>
                <w:rFonts w:ascii="Arial" w:hAnsi="Arial"/>
                <w:sz w:val="18"/>
              </w:rPr>
              <w:t xml:space="preserve">p10</w:t>
            </w:r>
          </w:p>
        </w:tc>
        <w:tc>
          <w:tcPr>
            <w:tcW w:type="dxa" w:w="1134"/>
          </w:tcPr>
          <w:p>
            <w:pPr>
              <w:pStyle w:val="BodyText"/>
              <w:jc w:val="right"/>
            </w:pPr>
            <w:r>
              <w:rPr>
                <w:rFonts w:ascii="Arial" w:hAnsi="Arial"/>
                <w:sz w:val="18"/>
              </w:rPr>
              <w:t xml:space="preserve">p25</w:t>
            </w:r>
          </w:p>
        </w:tc>
        <w:tc>
          <w:tcPr>
            <w:tcW w:type="dxa" w:w="1134"/>
          </w:tcPr>
          <w:p>
            <w:pPr>
              <w:pStyle w:val="BodyText"/>
              <w:jc w:val="right"/>
            </w:pPr>
            <w:r>
              <w:rPr>
                <w:rFonts w:ascii="Arial" w:hAnsi="Arial"/>
                <w:sz w:val="18"/>
              </w:rPr>
              <w:t xml:space="preserve">p50</w:t>
            </w:r>
          </w:p>
        </w:tc>
        <w:tc>
          <w:tcPr>
            <w:tcW w:type="dxa" w:w="1134"/>
          </w:tcPr>
          <w:p>
            <w:pPr>
              <w:pStyle w:val="BodyText"/>
              <w:jc w:val="right"/>
            </w:pPr>
            <w:r>
              <w:rPr>
                <w:rFonts w:ascii="Arial" w:hAnsi="Arial"/>
                <w:sz w:val="18"/>
              </w:rPr>
              <w:t xml:space="preserve">p75</w:t>
            </w:r>
          </w:p>
        </w:tc>
        <w:tc>
          <w:tcPr>
            <w:tcW w:type="dxa" w:w="1134"/>
          </w:tcPr>
          <w:p>
            <w:pPr>
              <w:pStyle w:val="BodyText"/>
              <w:jc w:val="right"/>
            </w:pPr>
            <w:r>
              <w:rPr>
                <w:rFonts w:ascii="Arial" w:hAnsi="Arial"/>
                <w:sz w:val="18"/>
              </w:rPr>
              <w:t xml:space="preserve">p90</w:t>
            </w:r>
          </w:p>
        </w:tc>
        <w:tc>
          <w:tcPr>
            <w:tcW w:type="dxa" w:w="1134"/>
          </w:tcPr>
          <w:p>
            <w:pPr>
              <w:pStyle w:val="BodyText"/>
              <w:jc w:val="right"/>
            </w:pPr>
            <w:r>
              <w:rPr>
                <w:rFonts w:ascii="Arial" w:hAnsi="Arial"/>
                <w:sz w:val="18"/>
              </w:rPr>
              <w:t xml:space="preserve">p95</w:t>
            </w:r>
          </w:p>
        </w:tc>
        <w:tc>
          <w:tcPr>
            <w:tcW w:type="dxa" w:w="1134"/>
          </w:tcPr>
          <w:p>
            <w:pPr>
              <w:pStyle w:val="BodyText"/>
              <w:jc w:val="right"/>
            </w:pPr>
            <w:r>
              <w:rPr>
                <w:rFonts w:ascii="Arial" w:hAnsi="Arial"/>
                <w:sz w:val="18"/>
              </w:rPr>
              <w:t xml:space="preserve">Extreme</w:t>
            </w:r>
          </w:p>
        </w:tc>
      </w:tr>
      <w:tr>
        <w:tc>
          <w:tcPr>
            <w:tcW w:type="dxa" w:w="1134"/>
          </w:tcPr>
          <w:p>
            <w:pPr>
              <w:pStyle w:val="BodyText"/>
              <w:jc w:val="left"/>
            </w:pPr>
            <w:r>
              <w:rPr>
                <w:rFonts w:ascii="Arial" w:hAnsi="Arial"/>
                <w:sz w:val="18"/>
              </w:rPr>
              <w:t xml:space="preserve">Vmax (kt)</w:t>
            </w:r>
          </w:p>
        </w:tc>
        <w:tc>
          <w:tcPr>
            <w:tcW w:type="dxa" w:w="1134"/>
          </w:tcPr>
          <w:p>
            <w:pPr>
              <w:pStyle w:val="BodyText"/>
              <w:jc w:val="right"/>
            </w:pPr>
            <w:r>
              <w:rPr>
                <w:rFonts w:ascii="Arial" w:hAnsi="Arial"/>
                <w:sz w:val="18"/>
              </w:rPr>
              <w:t xml:space="preserve">35</w:t>
            </w:r>
          </w:p>
        </w:tc>
        <w:tc>
          <w:tcPr>
            <w:tcW w:type="dxa" w:w="1134"/>
          </w:tcPr>
          <w:p>
            <w:pPr>
              <w:pStyle w:val="BodyText"/>
              <w:jc w:val="right"/>
            </w:pPr>
            <w:r>
              <w:rPr>
                <w:rFonts w:ascii="Arial" w:hAnsi="Arial"/>
                <w:sz w:val="18"/>
              </w:rPr>
              <w:t xml:space="preserve">50</w:t>
            </w:r>
          </w:p>
        </w:tc>
        <w:tc>
          <w:tcPr>
            <w:tcW w:type="dxa" w:w="1134"/>
          </w:tcPr>
          <w:p>
            <w:pPr>
              <w:pStyle w:val="BodyText"/>
              <w:jc w:val="right"/>
            </w:pPr>
            <w:r>
              <w:rPr>
                <w:rFonts w:ascii="Arial" w:hAnsi="Arial"/>
                <w:sz w:val="18"/>
              </w:rPr>
              <w:t xml:space="preserve">65</w:t>
            </w:r>
          </w:p>
        </w:tc>
        <w:tc>
          <w:tcPr>
            <w:tcW w:type="dxa" w:w="1134"/>
          </w:tcPr>
          <w:p>
            <w:pPr>
              <w:pStyle w:val="BodyText"/>
              <w:jc w:val="right"/>
            </w:pPr>
            <w:r>
              <w:rPr>
                <w:rFonts w:ascii="Arial" w:hAnsi="Arial"/>
                <w:sz w:val="18"/>
              </w:rPr>
              <w:t xml:space="preserve">90</w:t>
            </w:r>
          </w:p>
        </w:tc>
        <w:tc>
          <w:tcPr>
            <w:tcW w:type="dxa" w:w="1134"/>
          </w:tcPr>
          <w:p>
            <w:pPr>
              <w:pStyle w:val="BodyText"/>
              <w:jc w:val="right"/>
            </w:pPr>
            <w:r>
              <w:rPr>
                <w:rFonts w:ascii="Arial" w:hAnsi="Arial"/>
                <w:sz w:val="18"/>
              </w:rPr>
              <w:t xml:space="preserve">115</w:t>
            </w:r>
          </w:p>
        </w:tc>
        <w:tc>
          <w:tcPr>
            <w:tcW w:type="dxa" w:w="1134"/>
          </w:tcPr>
          <w:p>
            <w:pPr>
              <w:pStyle w:val="BodyText"/>
              <w:jc w:val="right"/>
            </w:pPr>
            <w:r>
              <w:rPr>
                <w:rFonts w:ascii="Arial" w:hAnsi="Arial"/>
                <w:sz w:val="18"/>
              </w:rPr>
              <w:t xml:space="preserve">130</w:t>
            </w:r>
          </w:p>
        </w:tc>
        <w:tc>
          <w:tcPr>
            <w:tcW w:type="dxa" w:w="1134"/>
          </w:tcPr>
          <w:p>
            <w:pPr>
              <w:pStyle w:val="BodyText"/>
              <w:jc w:val="right"/>
            </w:pPr>
            <w:r>
              <w:rPr>
                <w:rFonts w:ascii="Arial" w:hAnsi="Arial"/>
                <w:sz w:val="18"/>
              </w:rPr>
              <w:t xml:space="preserve">140 (1999)</w:t>
            </w:r>
          </w:p>
        </w:tc>
      </w:tr>
      <w:tr>
        <w:tc>
          <w:tcPr>
            <w:tcW w:type="dxa" w:w="1134"/>
          </w:tcPr>
          <w:p>
            <w:pPr>
              <w:pStyle w:val="BodyText"/>
              <w:jc w:val="left"/>
            </w:pPr>
            <w:r>
              <w:rPr>
                <w:rFonts w:ascii="Arial" w:hAnsi="Arial"/>
                <w:sz w:val="18"/>
              </w:rPr>
              <w:t xml:space="preserve">Pmin (hPa)</w:t>
            </w:r>
          </w:p>
        </w:tc>
        <w:tc>
          <w:tcPr>
            <w:tcW w:type="dxa" w:w="1134"/>
          </w:tcPr>
          <w:p>
            <w:pPr>
              <w:pStyle w:val="BodyText"/>
              <w:jc w:val="right"/>
            </w:pPr>
            <w:r>
              <w:rPr>
                <w:rFonts w:ascii="Arial" w:hAnsi="Arial"/>
                <w:sz w:val="18"/>
              </w:rPr>
              <w:t xml:space="preserve">992</w:t>
            </w:r>
          </w:p>
        </w:tc>
        <w:tc>
          <w:tcPr>
            <w:tcW w:type="dxa" w:w="1134"/>
          </w:tcPr>
          <w:p>
            <w:pPr>
              <w:pStyle w:val="BodyText"/>
              <w:jc w:val="right"/>
            </w:pPr>
            <w:r>
              <w:rPr>
                <w:rFonts w:ascii="Arial" w:hAnsi="Arial"/>
                <w:sz w:val="18"/>
              </w:rPr>
              <w:t xml:space="preserve">985</w:t>
            </w:r>
          </w:p>
        </w:tc>
        <w:tc>
          <w:tcPr>
            <w:tcW w:type="dxa" w:w="1134"/>
          </w:tcPr>
          <w:p>
            <w:pPr>
              <w:pStyle w:val="BodyText"/>
              <w:jc w:val="right"/>
            </w:pPr>
            <w:r>
              <w:rPr>
                <w:rFonts w:ascii="Arial" w:hAnsi="Arial"/>
                <w:sz w:val="18"/>
              </w:rPr>
              <w:t xml:space="preserve">975</w:t>
            </w:r>
          </w:p>
        </w:tc>
        <w:tc>
          <w:tcPr>
            <w:tcW w:type="dxa" w:w="1134"/>
          </w:tcPr>
          <w:p>
            <w:pPr>
              <w:pStyle w:val="BodyText"/>
              <w:jc w:val="right"/>
            </w:pPr>
            <w:r>
              <w:rPr>
                <w:rFonts w:ascii="Arial" w:hAnsi="Arial"/>
                <w:sz w:val="18"/>
              </w:rPr>
              <w:t xml:space="preserve">955</w:t>
            </w:r>
          </w:p>
        </w:tc>
        <w:tc>
          <w:tcPr>
            <w:tcW w:type="dxa" w:w="1134"/>
          </w:tcPr>
          <w:p>
            <w:pPr>
              <w:pStyle w:val="BodyText"/>
              <w:jc w:val="right"/>
            </w:pPr>
            <w:r>
              <w:rPr>
                <w:rFonts w:ascii="Arial" w:hAnsi="Arial"/>
                <w:sz w:val="18"/>
              </w:rPr>
              <w:t xml:space="preserve">935</w:t>
            </w:r>
          </w:p>
        </w:tc>
        <w:tc>
          <w:tcPr>
            <w:tcW w:type="dxa" w:w="1134"/>
          </w:tcPr>
          <w:p>
            <w:pPr>
              <w:pStyle w:val="BodyText"/>
              <w:jc w:val="right"/>
            </w:pPr>
            <w:r>
              <w:rPr>
                <w:rFonts w:ascii="Arial" w:hAnsi="Arial"/>
                <w:sz w:val="18"/>
              </w:rPr>
              <w:t xml:space="preserve">925</w:t>
            </w:r>
          </w:p>
        </w:tc>
        <w:tc>
          <w:tcPr>
            <w:tcW w:type="dxa" w:w="1134"/>
          </w:tcPr>
          <w:p>
            <w:pPr>
              <w:pStyle w:val="BodyText"/>
              <w:jc w:val="right"/>
            </w:pPr>
            <w:r>
              <w:rPr>
                <w:rFonts w:ascii="Arial" w:hAnsi="Arial"/>
                <w:sz w:val="18"/>
              </w:rPr>
              <w:t xml:space="preserve">912 (1999)</w:t>
            </w:r>
          </w:p>
        </w:tc>
      </w:tr>
      <w:tr>
        <w:tc>
          <w:tcPr>
            <w:tcW w:type="dxa" w:w="1134"/>
          </w:tcPr>
          <w:p>
            <w:pPr>
              <w:pStyle w:val="BodyText"/>
              <w:jc w:val="left"/>
            </w:pPr>
            <w:r>
              <w:rPr>
                <w:rFonts w:ascii="Arial" w:hAnsi="Arial"/>
                <w:sz w:val="18"/>
              </w:rPr>
              <w:t xml:space="preserve">Surge (m)</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1.2</w:t>
            </w:r>
          </w:p>
        </w:tc>
        <w:tc>
          <w:tcPr>
            <w:tcW w:type="dxa" w:w="1134"/>
          </w:tcPr>
          <w:p>
            <w:pPr>
              <w:pStyle w:val="BodyText"/>
              <w:jc w:val="right"/>
            </w:pPr>
            <w:r>
              <w:rPr>
                <w:rFonts w:ascii="Arial" w:hAnsi="Arial"/>
                <w:sz w:val="18"/>
              </w:rPr>
              <w:t xml:space="preserve">2.5</w:t>
            </w:r>
          </w:p>
        </w:tc>
        <w:tc>
          <w:tcPr>
            <w:tcW w:type="dxa" w:w="1134"/>
          </w:tcPr>
          <w:p>
            <w:pPr>
              <w:pStyle w:val="BodyText"/>
              <w:jc w:val="right"/>
            </w:pPr>
            <w:r>
              <w:rPr>
                <w:rFonts w:ascii="Arial" w:hAnsi="Arial"/>
                <w:sz w:val="18"/>
              </w:rPr>
              <w:t xml:space="preserve">4.2</w:t>
            </w:r>
          </w:p>
        </w:tc>
        <w:tc>
          <w:tcPr>
            <w:tcW w:type="dxa" w:w="1134"/>
          </w:tcPr>
          <w:p>
            <w:pPr>
              <w:pStyle w:val="BodyText"/>
              <w:jc w:val="right"/>
            </w:pPr>
            <w:r>
              <w:rPr>
                <w:rFonts w:ascii="Arial" w:hAnsi="Arial"/>
                <w:sz w:val="18"/>
              </w:rPr>
              <w:t xml:space="preserve">5.5</w:t>
            </w:r>
          </w:p>
        </w:tc>
        <w:tc>
          <w:tcPr>
            <w:tcW w:type="dxa" w:w="1134"/>
          </w:tcPr>
          <w:p>
            <w:pPr>
              <w:pStyle w:val="BodyText"/>
              <w:jc w:val="right"/>
            </w:pPr>
            <w:r>
              <w:rPr>
                <w:rFonts w:ascii="Arial" w:hAnsi="Arial"/>
                <w:sz w:val="18"/>
              </w:rPr>
              <w:t xml:space="preserve">7.0 (1999)</w:t>
            </w:r>
          </w:p>
        </w:tc>
      </w:tr>
      <w:tr>
        <w:tc>
          <w:tcPr>
            <w:tcW w:type="dxa" w:w="1134"/>
          </w:tcPr>
          <w:p>
            <w:pPr>
              <w:pStyle w:val="BodyText"/>
              <w:jc w:val="left"/>
            </w:pPr>
            <w:r>
              <w:rPr>
                <w:rFonts w:ascii="Arial" w:hAnsi="Arial"/>
                <w:sz w:val="18"/>
              </w:rPr>
              <w:t xml:space="preserve">Landfall DOY</w:t>
            </w:r>
          </w:p>
        </w:tc>
        <w:tc>
          <w:tcPr>
            <w:tcW w:type="dxa" w:w="1134"/>
          </w:tcPr>
          <w:p>
            <w:pPr>
              <w:pStyle w:val="BodyText"/>
              <w:jc w:val="right"/>
            </w:pPr>
            <w:r>
              <w:rPr>
                <w:rFonts w:ascii="Arial" w:hAnsi="Arial"/>
                <w:sz w:val="18"/>
              </w:rPr>
              <w:t xml:space="preserve">105</w:t>
            </w:r>
          </w:p>
        </w:tc>
        <w:tc>
          <w:tcPr>
            <w:tcW w:type="dxa" w:w="1134"/>
          </w:tcPr>
          <w:p>
            <w:pPr>
              <w:pStyle w:val="BodyText"/>
              <w:jc w:val="right"/>
            </w:pPr>
            <w:r>
              <w:rPr>
                <w:rFonts w:ascii="Arial" w:hAnsi="Arial"/>
                <w:sz w:val="18"/>
              </w:rPr>
              <w:t xml:space="preserve">122</w:t>
            </w:r>
          </w:p>
        </w:tc>
        <w:tc>
          <w:tcPr>
            <w:tcW w:type="dxa" w:w="1134"/>
          </w:tcPr>
          <w:p>
            <w:pPr>
              <w:pStyle w:val="BodyText"/>
              <w:jc w:val="right"/>
            </w:pPr>
            <w:r>
              <w:rPr>
                <w:rFonts w:ascii="Arial" w:hAnsi="Arial"/>
                <w:sz w:val="18"/>
              </w:rPr>
              <w:t xml:space="preserve">138</w:t>
            </w:r>
          </w:p>
        </w:tc>
        <w:tc>
          <w:tcPr>
            <w:tcW w:type="dxa" w:w="1134"/>
          </w:tcPr>
          <w:p>
            <w:pPr>
              <w:pStyle w:val="BodyText"/>
              <w:jc w:val="right"/>
            </w:pPr>
            <w:r>
              <w:rPr>
                <w:rFonts w:ascii="Arial" w:hAnsi="Arial"/>
                <w:sz w:val="18"/>
              </w:rPr>
              <w:t xml:space="preserve">152</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p>
    <w:bookmarkEnd w:id="22"/>
    <w:bookmarkStart w:id="23" w:name="s2.4-independence-of-the-three-landfalls"/>
    <w:p>
      <w:pPr>
        <w:pStyle w:val="Heading2"/>
      </w:pPr>
      <w:r>
        <w:rPr>
          <w:rFonts w:ascii="Arial" w:hAnsi="Arial"/>
        </w:rPr>
        <w:t xml:space="preserve">S2.4 Independence of the three landfalls</w:t>
      </w:r>
    </w:p>
    <w:p>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BodyTex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BodyText"/>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BodyText"/>
      </w:pPr>
      <w:r>
        <w:rPr>
          <w:rFonts w:ascii="Arial" w:hAnsi="Arial"/>
          <w:sz w:val="20"/>
        </w:rPr>
        <w:t xml:space="preserve">Amphan: monsoon-trough remnant (mid-latitude westerly burst feeding into a recurving system), with the open-water Vmax peak set by transient extratropical interaction.</w:t>
      </w:r>
    </w:p>
    <w:p>
      <w:pPr>
        <w:pStyle w:val="BodyText"/>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BodyText"/>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BodyText"/>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BodyText"/>
      </w:pPr>
      <w:r>
        <w:rPr>
          <w:rFonts w:ascii="Arial" w:hAnsi="Arial"/>
          <w:sz w:val="20"/>
        </w:rPr>
        <w:t xml:space="preserve">All three made landfall within DOY 123 – 146 (3 May – 26 May), i.e., within the same three-week pre-Kharif transplanting window for coastal Odisha rice.</w:t>
      </w:r>
    </w:p>
    <w:p>
      <w:pPr>
        <w:pStyle w:val="BodyText"/>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BodyText"/>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BodyText"/>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BodyText"/>
      </w:pPr>
      <w:r>
        <w:rPr>
          <w:rFonts w:ascii="Arial" w:hAnsi="Arial"/>
          <w:sz w:val="20"/>
        </w:rPr>
        <w:t xml:space="preserve">The three landfalls are independent in genesis, MJO phase, and ENSO state — the effective-cluster argument underpinning §3.7.1 holds.</w:t>
      </w:r>
    </w:p>
    <w:p>
      <w:pPr>
        <w:pStyle w:val="BodyText"/>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BodyText"/>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BodyText"/>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BodyText"/>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t xml:space="preserve">doi:10.1175/2009BAMS2755.1</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t xml:space="preserve">rsmcnewdelhi.imd.gov.in</w:t>
        </w:r>
      </w:hyperlink>
    </w:p>
    <w:bookmarkEnd w:id="30"/>
    <w:bookmarkEnd w:id="31"/>
    <w:p>
      <w:r>
        <w:rPr>
          <w:rFonts w:ascii="Arial" w:hAnsi="Arial"/>
          <w:sz w:val="20"/>
        </w:rPr>
        <w:br w:type="page"/>
      </w:r>
    </w:p>
    <w:p>
      <w:pPr>
        <w:keepNext/>
        <w:spacing w:before="240" w:after="120"/>
      </w:pPr>
      <w:bookmarkStart w:id="49677" w:name="note_s3"/>
      <w:r>
        <w:rPr>
          <w:rFonts w:ascii="Arial" w:hAnsi="Arial"/>
          <w:b/>
          <w:color w:val="1F3A5F"/>
          <w:sz w:val="32"/>
        </w:rPr>
        <w:t>Note S3 — Sentinel-1 dual-polarisation backscatter signatures</w:t>
      </w:r>
      <w:bookmarkEnd w:id="49677"/>
    </w:p>
    <w:bookmarkStart w:id="29" w:name="Xce1958d78618fb7c3de38bca5f65ef8f24e51a2"/>
    <w:p>
      <w:pPr>
        <w:pStyle w:val="Heading1"/>
      </w:pPr>
      <w:r>
        <w:rPr>
          <w:rFonts w:ascii="Arial" w:hAnsi="Arial"/>
        </w:rPr>
        <w:t xml:space="preserve">Supplementary Note S3 — Sentinel-1 dual-polarisation backscatter signatures</w:t>
      </w:r>
    </w:p>
    <w:p>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BodyText"/>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BodyText"/>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BodyText"/>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Fonts w:ascii="Arial" w:hAnsi="Arial"/>
          <w:sz w:val="20"/>
        </w:rPr>
        <w:t xml:space="preserve">dB = 10 · log</w:t>
      </w:r>
      <w:r>
        <w:rPr>
          <w:rFonts w:ascii="Arial" w:hAnsi="Arial"/>
          <w:sz w:val="20"/>
          <w:vertAlign w:val="subscript"/>
        </w:rPr>
        <w:t xml:space="preserve">10</w:t>
      </w:r>
      <w:r>
        <w:rPr>
          <w:rFonts w:ascii="Arial" w:hAnsi="Arial"/>
          <w:sz w:val="20"/>
        </w:rPr>
        <w:t xml:space="preserve">(linear)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DOY range</w:t>
            </w:r>
          </w:p>
        </w:tc>
        <w:tc>
          <w:tcPr>
            <w:tcW w:type="dxa" w:w="2268"/>
          </w:tcPr>
          <w:p>
            <w:pPr>
              <w:pStyle w:val="BodyText"/>
              <w:jc w:val="left"/>
            </w:pPr>
            <w:r>
              <w:rPr>
                <w:rFonts w:ascii="Arial" w:hAnsi="Arial"/>
                <w:sz w:val="18"/>
              </w:rPr>
              <w:t xml:space="preserve">Calendar</w:t>
            </w:r>
          </w:p>
        </w:tc>
        <w:tc>
          <w:tcPr>
            <w:tcW w:type="dxa" w:w="2268"/>
          </w:tcPr>
          <w:p>
            <w:pPr>
              <w:pStyle w:val="BodyText"/>
              <w:jc w:val="left"/>
            </w:pPr>
            <w:r>
              <w:rPr>
                <w:rFonts w:ascii="Arial" w:hAnsi="Arial"/>
                <w:sz w:val="18"/>
              </w:rPr>
              <w:t xml:space="preserve">n_dekads per district</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121–160</w:t>
            </w:r>
          </w:p>
        </w:tc>
        <w:tc>
          <w:tcPr>
            <w:tcW w:type="dxa" w:w="2268"/>
          </w:tcPr>
          <w:p>
            <w:pPr>
              <w:pStyle w:val="BodyText"/>
              <w:jc w:val="left"/>
            </w:pPr>
            <w:r>
              <w:rPr>
                <w:rFonts w:ascii="Arial" w:hAnsi="Arial"/>
                <w:sz w:val="18"/>
              </w:rPr>
              <w:t xml:space="preserve">1 May – 9 Jun</w:t>
            </w:r>
          </w:p>
        </w:tc>
        <w:tc>
          <w:tcPr>
            <w:tcW w:type="dxa" w:w="2268"/>
          </w:tcPr>
          <w:p>
            <w:pPr>
              <w:pStyle w:val="BodyText"/>
              <w:jc w:val="left"/>
            </w:pPr>
            <w:r>
              <w:rPr>
                <w:rFonts w:ascii="Arial" w:hAnsi="Arial"/>
                <w:sz w:val="18"/>
              </w:rPr>
              <w:t xml:space="preserve">1–4</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171–220</w:t>
            </w:r>
          </w:p>
        </w:tc>
        <w:tc>
          <w:tcPr>
            <w:tcW w:type="dxa" w:w="2268"/>
          </w:tcPr>
          <w:p>
            <w:pPr>
              <w:pStyle w:val="BodyText"/>
              <w:jc w:val="left"/>
            </w:pPr>
            <w:r>
              <w:rPr>
                <w:rFonts w:ascii="Arial" w:hAnsi="Arial"/>
                <w:sz w:val="18"/>
              </w:rPr>
              <w:t xml:space="preserve">20 Jun – 8 Aug</w:t>
            </w:r>
          </w:p>
        </w:tc>
        <w:tc>
          <w:tcPr>
            <w:tcW w:type="dxa" w:w="2268"/>
          </w:tcPr>
          <w:p>
            <w:pPr>
              <w:pStyle w:val="BodyText"/>
              <w:jc w:val="left"/>
            </w:pPr>
            <w:r>
              <w:rPr>
                <w:rFonts w:ascii="Arial" w:hAnsi="Arial"/>
                <w:sz w:val="18"/>
              </w:rPr>
              <w:t xml:space="preserve">4–5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230–270</w:t>
            </w:r>
          </w:p>
        </w:tc>
        <w:tc>
          <w:tcPr>
            <w:tcW w:type="dxa" w:w="2268"/>
          </w:tcPr>
          <w:p>
            <w:pPr>
              <w:pStyle w:val="BodyText"/>
              <w:jc w:val="left"/>
            </w:pPr>
            <w:r>
              <w:rPr>
                <w:rFonts w:ascii="Arial" w:hAnsi="Arial"/>
                <w:sz w:val="18"/>
              </w:rPr>
              <w:t xml:space="preserve">18 Aug – 27 Sep</w:t>
            </w:r>
          </w:p>
        </w:tc>
        <w:tc>
          <w:tcPr>
            <w:tcW w:type="dxa" w:w="2268"/>
          </w:tcPr>
          <w:p>
            <w:pPr>
              <w:pStyle w:val="BodyText"/>
              <w:jc w:val="left"/>
            </w:pPr>
            <w:r>
              <w:rPr>
                <w:rFonts w:ascii="Arial" w:hAnsi="Arial"/>
                <w:sz w:val="18"/>
              </w:rPr>
              <w:t xml:space="preserve">3–4</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305–325</w:t>
            </w:r>
          </w:p>
        </w:tc>
        <w:tc>
          <w:tcPr>
            <w:tcW w:type="dxa" w:w="2268"/>
          </w:tcPr>
          <w:p>
            <w:pPr>
              <w:pStyle w:val="BodyText"/>
              <w:jc w:val="left"/>
            </w:pPr>
            <w:r>
              <w:rPr>
                <w:rFonts w:ascii="Arial" w:hAnsi="Arial"/>
                <w:sz w:val="18"/>
              </w:rPr>
              <w:t xml:space="preserve">1 Nov – 21 Nov (landfall 9 Nov)</w:t>
            </w:r>
          </w:p>
        </w:tc>
        <w:tc>
          <w:tcPr>
            <w:tcW w:type="dxa" w:w="2268"/>
          </w:tcPr>
          <w:p>
            <w:pPr>
              <w:pStyle w:val="BodyTex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r>
        <w:rPr>
          <w:rFonts w:ascii="Arial" w:hAnsi="Arial"/>
          <w:sz w:val="20"/>
        </w:rPr>
        <w:t xml:space="preserve">The four-district mean phase signatures are:</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Mean VH (dB)</w:t>
            </w:r>
          </w:p>
        </w:tc>
        <w:tc>
          <w:tcPr>
            <w:tcW w:type="dxa" w:w="2268"/>
          </w:tcPr>
          <w:p>
            <w:pPr>
              <w:pStyle w:val="BodyText"/>
              <w:jc w:val="left"/>
            </w:pPr>
            <w:r>
              <w:rPr>
                <w:rFonts w:ascii="Arial" w:hAnsi="Arial"/>
                <w:sz w:val="18"/>
              </w:rPr>
              <w:t xml:space="preserve">Mean VV (dB)</w:t>
            </w:r>
          </w:p>
        </w:tc>
        <w:tc>
          <w:tcPr>
            <w:tcW w:type="dxa" w:w="2268"/>
          </w:tcPr>
          <w:p>
            <w:pPr>
              <w:pStyle w:val="BodyText"/>
              <w:jc w:val="left"/>
            </w:pPr>
            <w:r>
              <w:rPr>
                <w:rFonts w:ascii="Arial" w:hAnsi="Arial"/>
                <w:sz w:val="18"/>
              </w:rPr>
              <w:t xml:space="preserve">Mean CR</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−14.32</w:t>
            </w:r>
          </w:p>
        </w:tc>
        <w:tc>
          <w:tcPr>
            <w:tcW w:type="dxa" w:w="2268"/>
          </w:tcPr>
          <w:p>
            <w:pPr>
              <w:pStyle w:val="BodyText"/>
              <w:jc w:val="left"/>
            </w:pPr>
            <w:r>
              <w:rPr>
                <w:rFonts w:ascii="Arial" w:hAnsi="Arial"/>
                <w:sz w:val="18"/>
              </w:rPr>
              <w:t xml:space="preserve">−7.96</w:t>
            </w:r>
          </w:p>
        </w:tc>
        <w:tc>
          <w:tcPr>
            <w:tcW w:type="dxa" w:w="2268"/>
          </w:tcPr>
          <w:p>
            <w:pPr>
              <w:pStyle w:val="BodyText"/>
              <w:jc w:val="left"/>
            </w:pPr>
            <w:r>
              <w:rPr>
                <w:rFonts w:ascii="Arial" w:hAnsi="Arial"/>
                <w:sz w:val="18"/>
              </w:rPr>
              <w:t xml:space="preserve">0.239</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−13.80</w:t>
            </w:r>
          </w:p>
        </w:tc>
        <w:tc>
          <w:tcPr>
            <w:tcW w:type="dxa" w:w="2268"/>
          </w:tcPr>
          <w:p>
            <w:pPr>
              <w:pStyle w:val="BodyText"/>
              <w:jc w:val="left"/>
            </w:pPr>
            <w:r>
              <w:rPr>
                <w:rFonts w:ascii="Arial" w:hAnsi="Arial"/>
                <w:sz w:val="18"/>
              </w:rPr>
              <w:t xml:space="preserve">−7.14</w:t>
            </w:r>
          </w:p>
        </w:tc>
        <w:tc>
          <w:tcPr>
            <w:tcW w:type="dxa" w:w="2268"/>
          </w:tcPr>
          <w:p>
            <w:pPr>
              <w:pStyle w:val="BodyText"/>
              <w:jc w:val="left"/>
            </w:pPr>
            <w:r>
              <w:rPr>
                <w:rFonts w:ascii="Arial" w:hAnsi="Arial"/>
                <w:sz w:val="18"/>
              </w:rPr>
              <w:t xml:space="preserve">0.225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−13.78</w:t>
            </w:r>
          </w:p>
        </w:tc>
        <w:tc>
          <w:tcPr>
            <w:tcW w:type="dxa" w:w="2268"/>
          </w:tcPr>
          <w:p>
            <w:pPr>
              <w:pStyle w:val="BodyText"/>
              <w:jc w:val="left"/>
            </w:pPr>
            <w:r>
              <w:rPr>
                <w:rFonts w:ascii="Arial" w:hAnsi="Arial"/>
                <w:sz w:val="18"/>
              </w:rPr>
              <w:t xml:space="preserve">−6.82</w:t>
            </w:r>
          </w:p>
        </w:tc>
        <w:tc>
          <w:tcPr>
            <w:tcW w:type="dxa" w:w="2268"/>
          </w:tcPr>
          <w:p>
            <w:pPr>
              <w:pStyle w:val="BodyText"/>
              <w:jc w:val="left"/>
            </w:pPr>
            <w:r>
              <w:rPr>
                <w:rFonts w:ascii="Arial" w:hAnsi="Arial"/>
                <w:sz w:val="18"/>
              </w:rPr>
              <w:t xml:space="preserve">0.212</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−13.49</w:t>
            </w:r>
          </w:p>
        </w:tc>
        <w:tc>
          <w:tcPr>
            <w:tcW w:type="dxa" w:w="2268"/>
          </w:tcPr>
          <w:p>
            <w:pPr>
              <w:pStyle w:val="BodyText"/>
              <w:jc w:val="left"/>
            </w:pPr>
            <w:r>
              <w:rPr>
                <w:rFonts w:ascii="Arial" w:hAnsi="Arial"/>
                <w:sz w:val="18"/>
              </w:rPr>
              <w:t xml:space="preserve">−7.27</w:t>
            </w:r>
          </w:p>
        </w:tc>
        <w:tc>
          <w:tcPr>
            <w:tcW w:type="dxa" w:w="2268"/>
          </w:tcPr>
          <w:p>
            <w:pPr>
              <w:pStyle w:val="BodyTex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RSEPlainGrid"/>
        <w:tblW w:type="dxa" w:w="9072"/>
        <w:jc w:val="left"/>
        <w:tblLook w:val="0420" w:firstRow="1" w:lastRow="0" w:firstColumn="0" w:lastColumn="0" w:noHBand="1" w:noVBand="1"/>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ΔVH (dB)</w:t>
            </w:r>
          </w:p>
        </w:tc>
        <w:tc>
          <w:tcPr>
            <w:tcW w:type="dxa" w:w="2268"/>
          </w:tcPr>
          <w:p>
            <w:pPr>
              <w:pStyle w:val="BodyText"/>
              <w:jc w:val="left"/>
            </w:pPr>
            <w:r>
              <w:rPr>
                <w:rFonts w:ascii="Arial" w:hAnsi="Arial"/>
                <w:sz w:val="18"/>
              </w:rPr>
              <w:t xml:space="preserve">ΔVV (dB)</w:t>
            </w:r>
          </w:p>
        </w:tc>
        <w:tc>
          <w:tcPr>
            <w:tcW w:type="dxa" w:w="2268"/>
          </w:tcPr>
          <w:p>
            <w:pPr>
              <w:pStyle w:val="BodyText"/>
              <w:jc w:val="left"/>
            </w:pPr>
            <w:r>
              <w:rPr>
                <w:rFonts w:ascii="Arial" w:hAnsi="Arial"/>
                <w:sz w:val="18"/>
              </w:rPr>
              <w:t xml:space="preserve">ΔCR</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+0.52</w:t>
            </w:r>
          </w:p>
        </w:tc>
        <w:tc>
          <w:tcPr>
            <w:tcW w:type="dxa" w:w="2268"/>
          </w:tcPr>
          <w:p>
            <w:pPr>
              <w:pStyle w:val="BodyText"/>
              <w:jc w:val="left"/>
            </w:pPr>
            <w:r>
              <w:rPr>
                <w:rFonts w:ascii="Arial" w:hAnsi="Arial"/>
                <w:sz w:val="18"/>
              </w:rPr>
              <w:t xml:space="preserve">+0.82</w:t>
            </w:r>
          </w:p>
        </w:tc>
        <w:tc>
          <w:tcPr>
            <w:tcW w:type="dxa" w:w="2268"/>
          </w:tcPr>
          <w:p>
            <w:pPr>
              <w:pStyle w:val="BodyText"/>
              <w:jc w:val="left"/>
            </w:pPr>
            <w:r>
              <w:rPr>
                <w:rFonts w:ascii="Arial" w:hAnsi="Arial"/>
                <w:sz w:val="18"/>
              </w:rPr>
              <w:t xml:space="preserve">−0.014</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+0.54</w:t>
            </w:r>
          </w:p>
        </w:tc>
        <w:tc>
          <w:tcPr>
            <w:tcW w:type="dxa" w:w="2268"/>
          </w:tcPr>
          <w:p>
            <w:pPr>
              <w:pStyle w:val="BodyText"/>
              <w:jc w:val="left"/>
            </w:pPr>
            <w:r>
              <w:rPr>
                <w:rFonts w:ascii="Arial" w:hAnsi="Arial"/>
                <w:sz w:val="18"/>
              </w:rPr>
              <w:t xml:space="preserve">+1.14</w:t>
            </w:r>
          </w:p>
        </w:tc>
        <w:tc>
          <w:tcPr>
            <w:tcW w:type="dxa" w:w="2268"/>
          </w:tcPr>
          <w:p>
            <w:pPr>
              <w:pStyle w:val="BodyText"/>
              <w:jc w:val="left"/>
            </w:pPr>
            <w:r>
              <w:rPr>
                <w:rFonts w:ascii="Arial" w:hAnsi="Arial"/>
                <w:sz w:val="18"/>
              </w:rPr>
              <w:t xml:space="preserve">−0.027</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+0.83</w:t>
            </w:r>
          </w:p>
        </w:tc>
        <w:tc>
          <w:tcPr>
            <w:tcW w:type="dxa" w:w="2268"/>
          </w:tcPr>
          <w:p>
            <w:pPr>
              <w:pStyle w:val="BodyText"/>
              <w:jc w:val="left"/>
            </w:pPr>
            <w:r>
              <w:rPr>
                <w:rFonts w:ascii="Arial" w:hAnsi="Arial"/>
                <w:sz w:val="18"/>
              </w:rPr>
              <w:t xml:space="preserve">+0.69</w:t>
            </w:r>
          </w:p>
        </w:tc>
        <w:tc>
          <w:tcPr>
            <w:tcW w:type="dxa" w:w="2268"/>
          </w:tcPr>
          <w:p>
            <w:pPr>
              <w:pStyle w:val="BodyTex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BodyText"/>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BodyText"/>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BodyText"/>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BodyText"/>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r>
        <w:rPr>
          <w:rFonts w:ascii="Arial" w:hAnsi="Arial"/>
          <w:sz w:val="20"/>
        </w:rPr>
        <w:t xml:space="preserve">pip install pystac-client planetary-computer odc-stac rioxarray rasterio</w:t>
      </w:r>
      <w:r>
        <w:rPr>
          <w:rFonts w:ascii="Arial" w:hAnsi="Arial"/>
          <w:sz w:val="20"/>
        </w:rPr>
        <w:br/>
      </w:r>
      <w:r>
        <w:rPr>
          <w:rFonts w:ascii="Arial" w:hAnsi="Arial"/>
          <w:sz w:val="20"/>
        </w:rPr>
        <w:t xml:space="preserve">python analysis/18_real_s1_backscatter_signatures.py   # extracts 85 dekads</w:t>
      </w:r>
      <w:r>
        <w:rPr>
          <w:rFonts w:ascii="Arial" w:hAnsi="Arial"/>
          <w:sz w:val="20"/>
        </w:rPr>
        <w:br/>
      </w:r>
      <w:r>
        <w:rPr>
          <w:rFonts w:ascii="Arial" w:hAnsi="Arial"/>
          <w:sz w:val="20"/>
        </w:rPr>
        <w:t xml:space="preserve">python analysis/20_build_table_s9_fig_s2_real.py        # builds DOCX + PDF</w:t>
      </w:r>
    </w:p>
    <w:p>
      <w:pPr/>
      <w:r>
        <w:rPr>
          <w:rFonts w:ascii="Arial" w:hAnsi="Arial"/>
          <w:sz w:val="20"/>
        </w:rPr>
        <w:t xml:space="preserve">Intermediate artefacts (in</w:t>
      </w:r>
      <w:r>
        <w:rPr>
          <w:rFonts w:ascii="Arial" w:hAnsi="Arial"/>
          <w:sz w:val="20"/>
        </w:rPr>
        <w:t xml:space="preserve"> </w:t>
      </w:r>
      <w:r>
        <w:rPr>
          <w:rFonts w:ascii="Arial" w:hAnsi="Arial"/>
          <w:sz w:val="20"/>
        </w:rPr>
        <w:t xml:space="preserve">analysis/results/real_v21/</w:t>
      </w:r>
      <w:r>
        <w:rPr>
          <w:rFonts w:ascii="Arial" w:hAnsi="Arial"/>
          <w:sz w:val="20"/>
        </w:rPr>
        <w:t xml:space="preserve">):</w:t>
      </w:r>
    </w:p>
    <w:p>
      <w:pPr>
        <w:pStyle w:val="BodyText"/>
      </w:pPr>
      <w:r>
        <w:rP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BodyText"/>
      </w:pPr>
      <w:r>
        <w:rP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BodyText"/>
      </w:pPr>
      <w:r>
        <w:rP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BodyText"/>
      </w:pPr>
      <w:r>
        <w:rP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BodyText"/>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BodyText"/>
      </w:pPr>
      <w:r>
        <w:rPr>
          <w:rFonts w:ascii="Arial" w:hAnsi="Arial"/>
          <w:sz w:val="20"/>
        </w:rPr>
        <w:t xml:space="preserve">Hoshikawa, K., Hayashi, M., Yamamoto, T., Watanabe, R. (2023). SAR</w:t>
      </w:r>
      <w:r>
        <w:rPr>
          <w:rFonts w:ascii="Arial" w:hAnsi="Arial"/>
          <w:sz w:val="20"/>
        </w:rPr>
        <w:t xml:space="preserve"> </w:t>
      </w:r>
      <w:r>
        <w:rPr>
          <w:rFonts w:ascii="Arial" w:hAnsi="Arial"/>
          <w:sz w:val="20"/>
        </w:rPr>
        <w:t xml:space="preserve">backscatter behaviour of partially inundated paddy rice:</w:t>
      </w:r>
      <w:r>
        <w:rPr>
          <w:rFonts w:ascii="Arial" w:hAnsi="Arial"/>
          <w:sz w:val="20"/>
        </w:rPr>
        <w:t xml:space="preserve"> </w:t>
      </w:r>
      <w:r>
        <w:rPr>
          <w:rFonts w:ascii="Arial" w:hAnsi="Arial"/>
          <w:sz w:val="20"/>
        </w:rPr>
        <w:t xml:space="preserve">implications for waterlogged rainfed rice monitoring.</w:t>
      </w:r>
      <w:r>
        <w:rPr>
          <w:rFonts w:ascii="Arial" w:hAnsi="Arial"/>
          <w:sz w:val="20"/>
        </w:rPr>
        <w:t xml:space="preserve"> </w:t>
      </w:r>
      <w:r>
        <w:rPr>
          <w:rFonts w:ascii="Arial" w:hAnsi="Arial"/>
          <w:i/>
          <w:iCs/>
          <w:sz w:val="20"/>
        </w:rPr>
        <w:t xml:space="preserve">European</w:t>
      </w:r>
      <w:r>
        <w:rPr>
          <w:rFonts w:ascii="Arial" w:hAnsi="Arial"/>
          <w:i/>
          <w:iCs/>
          <w:sz w:val="20"/>
        </w:rPr>
        <w:t xml:space="preserve"> </w:t>
      </w:r>
      <w:r>
        <w:rPr>
          <w:rFonts w:ascii="Arial" w:hAnsi="Arial"/>
          <w:i/>
          <w:iCs/>
          <w:sz w:val="20"/>
        </w:rPr>
        <w:t xml:space="preserve">Journal of Remote Sensing</w:t>
      </w:r>
      <w:r>
        <w:rPr>
          <w:rFonts w:ascii="Arial" w:hAnsi="Arial"/>
          <w:sz w:val="20"/>
        </w:rPr>
        <w:t xml:space="preserve"> </w:t>
      </w:r>
      <w:r>
        <w:rPr>
          <w:rFonts w:ascii="Arial" w:hAnsi="Arial"/>
          <w:sz w:val="20"/>
        </w:rPr>
        <w:t xml:space="preserve">56. https://doi.org/10.1080/22797254.2023.2269305</w:t>
      </w:r>
    </w:p>
    <w:p>
      <w:pPr>
        <w:pStyle w:val="BodyText"/>
      </w:pPr>
      <w:r>
        <w:rPr>
          <w:rFonts w:ascii="Arial" w:hAnsi="Arial"/>
          <w:sz w:val="20"/>
        </w:rPr>
        <w:t xml:space="preserve">Konkathi, P., Shetty, A., Rawal, S. (2024). Kharif rice mapping using</w:t>
      </w:r>
      <w:r>
        <w:rPr>
          <w:rFonts w:ascii="Arial" w:hAnsi="Arial"/>
          <w:sz w:val="20"/>
        </w:rPr>
        <w:t xml:space="preserve"> </w:t>
      </w:r>
      <w:r>
        <w:rPr>
          <w:rFonts w:ascii="Arial" w:hAnsi="Arial"/>
          <w:sz w:val="20"/>
        </w:rPr>
        <w:t xml:space="preserve">multi-polarisation Sentinel-1 SAR in coastal Andhra Pradesh.</w:t>
      </w:r>
      <w:r>
        <w:rPr>
          <w:rFonts w:ascii="Arial" w:hAnsi="Arial"/>
          <w:sz w:val="20"/>
        </w:rPr>
        <w:t xml:space="preserve"> </w:t>
      </w:r>
      <w:r>
        <w:rPr>
          <w:rFonts w:ascii="Arial" w:hAnsi="Arial"/>
          <w:i/>
          <w:iCs/>
          <w:sz w:val="20"/>
        </w:rPr>
        <w:t xml:space="preserve">Proceedings of the IGARSS 2024 IEEE International Geoscience and</w:t>
      </w:r>
      <w:r>
        <w:rPr>
          <w:rFonts w:ascii="Arial" w:hAnsi="Arial"/>
          <w:i/>
          <w:iCs/>
          <w:sz w:val="20"/>
        </w:rPr>
        <w:t xml:space="preserve"> </w:t>
      </w:r>
      <w:r>
        <w:rPr>
          <w:rFonts w:ascii="Arial" w:hAnsi="Arial"/>
          <w:i/>
          <w:iCs/>
          <w:sz w:val="20"/>
        </w:rPr>
        <w:t xml:space="preserve">Remote Sensing Symposium</w:t>
      </w:r>
      <w:r>
        <w:rPr>
          <w:rFonts w:ascii="Arial" w:hAnsi="Arial"/>
          <w:sz w:val="20"/>
        </w:rPr>
        <w:t xml:space="preserve">, 1014–1017.</w:t>
      </w:r>
      <w:r>
        <w:rPr>
          <w:rFonts w:ascii="Arial" w:hAnsi="Arial"/>
          <w:sz w:val="20"/>
        </w:rPr>
        <w:t xml:space="preserve"> </w:t>
      </w:r>
      <w:r>
        <w:rPr>
          <w:rFonts w:ascii="Arial" w:hAnsi="Arial"/>
          <w:sz w:val="20"/>
        </w:rPr>
        <w:t xml:space="preserve">https://doi.org/10.1109/InGARSS61818.2024.10984185</w:t>
      </w:r>
    </w:p>
    <w:p>
      <w:pPr>
        <w:pStyle w:val="BodyText"/>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BodyText"/>
      </w:pPr>
      <w:r>
        <w:rPr>
          <w:rFonts w:ascii="Arial" w:hAnsi="Arial"/>
          <w:sz w:val="20"/>
        </w:rPr>
        <w:t xml:space="preserve">Wali, E., Tasumi, M., Moriyama, M. (2020). Combination of linear</w:t>
      </w:r>
      <w:r>
        <w:rPr>
          <w:rFonts w:ascii="Arial" w:hAnsi="Arial"/>
          <w:sz w:val="20"/>
        </w:rPr>
        <w:t xml:space="preserve"> </w:t>
      </w:r>
      <w:r>
        <w:rPr>
          <w:rFonts w:ascii="Arial" w:hAnsi="Arial"/>
          <w:sz w:val="20"/>
        </w:rPr>
        <w:t xml:space="preserve">regression lines to understand the response of Sentinel-1 dual</w:t>
      </w:r>
      <w:r>
        <w:rPr>
          <w:rFonts w:ascii="Arial" w:hAnsi="Arial"/>
          <w:sz w:val="20"/>
        </w:rPr>
        <w:t xml:space="preserve"> </w:t>
      </w:r>
      <w:r>
        <w:rPr>
          <w:rFonts w:ascii="Arial" w:hAnsi="Arial"/>
          <w:sz w:val="20"/>
        </w:rPr>
        <w:t xml:space="preserve">polarisation SAR data with crop growth, soil moisture and irrigation</w:t>
      </w:r>
      <w:r>
        <w:rPr>
          <w:rFonts w:ascii="Arial" w:hAnsi="Arial"/>
          <w:sz w:val="20"/>
        </w:rPr>
        <w:t xml:space="preserve"> </w:t>
      </w:r>
      <w:r>
        <w:rPr>
          <w:rFonts w:ascii="Arial" w:hAnsi="Arial"/>
          <w:sz w:val="20"/>
        </w:rPr>
        <w:t xml:space="preserve">on paddy rice fields in a tropical region.</w:t>
      </w:r>
      <w:r>
        <w:rPr>
          <w:rFonts w:ascii="Arial" w:hAnsi="Arial"/>
          <w:sz w:val="20"/>
        </w:rPr>
        <w:t xml:space="preserve"> </w:t>
      </w:r>
      <w:r>
        <w:rPr>
          <w:rFonts w:ascii="Arial" w:hAnsi="Arial"/>
          <w:i/>
          <w:iCs/>
          <w:sz w:val="20"/>
        </w:rPr>
        <w:t xml:space="preserve">Remote Sensing</w:t>
      </w:r>
      <w:r>
        <w:rPr>
          <w:rFonts w:ascii="Arial" w:hAnsi="Arial"/>
          <w:sz w:val="20"/>
        </w:rPr>
        <w:t xml:space="preserve"> </w:t>
      </w:r>
      <w:r>
        <w:rPr>
          <w:rFonts w:ascii="Arial" w:hAnsi="Arial"/>
          <w:sz w:val="20"/>
        </w:rPr>
        <w:t xml:space="preserve">12, 189.</w:t>
      </w:r>
      <w:r>
        <w:rPr>
          <w:rFonts w:ascii="Arial" w:hAnsi="Arial"/>
          <w:sz w:val="20"/>
        </w:rPr>
        <w:t xml:space="preserve"> </w:t>
      </w:r>
      <w:r>
        <w:rPr>
          <w:rFonts w:ascii="Arial" w:hAnsi="Arial"/>
          <w:sz w:val="20"/>
        </w:rPr>
        <w:t xml:space="preserve">https://doi.org/10.3390/rs12010189</w:t>
      </w:r>
    </w:p>
    <w:bookmarkEnd w:id="28"/>
    <w:bookmarkEnd w:id="29"/>
    <w:p>
      <w:r>
        <w:rPr>
          <w:rFonts w:ascii="Arial" w:hAnsi="Arial"/>
          <w:sz w:val="20"/>
        </w:rPr>
        <w:br w:type="page"/>
      </w:r>
    </w:p>
    <w:p>
      <w:pPr>
        <w:keepNext/>
        <w:spacing w:before="240" w:after="120"/>
      </w:pPr>
      <w:bookmarkStart w:id="43848" w:name="note_s4"/>
      <w:r>
        <w:rPr>
          <w:rFonts w:ascii="Arial" w:hAnsi="Arial"/>
          <w:b/>
          <w:color w:val="1F3A5F"/>
          <w:sz w:val="32"/>
        </w:rPr>
        <w:t>Note S4 — Small-G power / minimum detectable effect simulator</w:t>
      </w:r>
      <w:bookmarkEnd w:id="43848"/>
    </w:p>
    <w:bookmarkStart w:id="23" w:name="Xa4e2dea2d376ab4d6475c8d9700aaff9982f219"/>
    <w:p>
      <w:pPr>
        <w:pStyle w:val="Heading1"/>
      </w:pPr>
      <w:r>
        <w:rPr>
          <w:rFonts w:ascii="Arial" w:hAnsi="Arial"/>
        </w:rPr>
        <w:t xml:space="preserve">Methods §3.Y.4 — Post-hoc power and minimum detectable effect</w:t>
      </w:r>
    </w:p>
    <w:p>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6</w:t>
      </w:r>
      <w:r>
        <w:rPr>
          <w:rFonts w:ascii="Arial" w:hAnsi="Arial"/>
          <w:sz w:val="20"/>
        </w:rPr>
        <w:t xml:space="preserve"> </w:t>
      </w:r>
      <w:r>
        <w:rPr>
          <w:rFonts w:ascii="Arial" w:hAnsi="Arial"/>
          <w:sz w:val="20"/>
        </w:rPr>
        <w:t xml:space="preserve">(</w:t>
      </w:r>
      <w:r>
        <w:rPr>
          <w:rFonts w:ascii="Arial" w:hAnsi="Arial"/>
          <w:sz w:val="20"/>
        </w:rPr>
        <w:t xml:space="preserve">figures/Figure_6.pdf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BodyText"/>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42011" w:name="table_s1"/>
      <w:r>
        <w:rPr>
          <w:rFonts w:ascii="Arial" w:hAnsi="Arial"/>
          <w:b/>
          <w:color w:val="1F3A5F"/>
          <w:sz w:val="32"/>
        </w:rPr>
        <w:t>Table S1 — Static TWFE-DiD point estimates</w:t>
      </w:r>
      <w:bookmarkEnd w:id="42011"/>
    </w:p>
    <w:p>
      <w:pPr>
        <w:jc w:val="left"/>
      </w:pPr>
      <w:r>
        <w:rPr>
          <w:rFonts w:ascii="Arial" w:hAnsi="Arial"/>
          <w:b/>
          <w:sz w:val="20"/>
        </w:rPr>
        <w:t>Table S1.  Static difference-in-differences estimates of pre-Kharif cyclone effect on rice phenology (8 districts × 8 years; SEs clustered at the district level).</w:t>
      </w:r>
    </w:p>
    <w:tbl>
      <w:tblPr>
        <w:tblStyle w:val="RSEPlainGrid"/>
        <w:tblW w:type="dxa" w:w="9072"/>
        <w:tblLook w:val="0420" w:firstRow="1" w:lastRow="0" w:firstColumn="0" w:lastColumn="0" w:noHBand="1" w:noVBand="1"/>
        <w:tblLayout w:type="autofit"/>
      </w:tblPr>
      <w:tblGrid>
        <w:gridCol w:w="824"/>
        <w:gridCol w:w="824"/>
        <w:gridCol w:w="824"/>
        <w:gridCol w:w="824"/>
        <w:gridCol w:w="824"/>
        <w:gridCol w:w="824"/>
        <w:gridCol w:w="824"/>
        <w:gridCol w:w="824"/>
        <w:gridCol w:w="824"/>
        <w:gridCol w:w="824"/>
        <w:gridCol w:w="832"/>
      </w:tblGrid>
      <w:tr>
        <w:tc>
          <w:tcPr>
            <w:tcW w:type="dxa" w:w="824"/>
          </w:tcPr>
          <w:p>
            <w:r>
              <w:rPr>
                <w:rFonts w:ascii="Arial" w:hAnsi="Arial"/>
                <w:b/>
                <w:sz w:val="20"/>
              </w:rPr>
              <w:t>Pipeline</w:t>
            </w:r>
          </w:p>
        </w:tc>
        <w:tc>
          <w:tcPr>
            <w:tcW w:type="dxa" w:w="824"/>
          </w:tcPr>
          <w:p>
            <w:r>
              <w:rPr>
                <w:rFonts w:ascii="Arial" w:hAnsi="Arial"/>
                <w:b/>
                <w:sz w:val="20"/>
              </w:rPr>
              <w:t>Metric</w:t>
            </w:r>
          </w:p>
        </w:tc>
        <w:tc>
          <w:tcPr>
            <w:tcW w:type="dxa" w:w="824"/>
          </w:tcPr>
          <w:p>
            <w:r>
              <w:rPr>
                <w:rFonts w:ascii="Arial" w:hAnsi="Arial"/>
                <w:b/>
                <w:sz w:val="20"/>
              </w:rPr>
              <w:t>N obs</w:t>
            </w:r>
          </w:p>
        </w:tc>
        <w:tc>
          <w:tcPr>
            <w:tcW w:type="dxa" w:w="824"/>
          </w:tcPr>
          <w:p>
            <w:r>
              <w:rPr>
                <w:rFonts w:ascii="Arial" w:hAnsi="Arial"/>
                <w:b/>
                <w:sz w:val="20"/>
              </w:rPr>
              <w:t>N dist.</w:t>
            </w:r>
          </w:p>
        </w:tc>
        <w:tc>
          <w:tcPr>
            <w:tcW w:type="dxa" w:w="824"/>
          </w:tcPr>
          <w:p>
            <w:r>
              <w:rPr>
                <w:rFonts w:ascii="Arial" w:hAnsi="Arial"/>
                <w:b/>
                <w:sz w:val="20"/>
              </w:rPr>
              <w:t>τ (d)</w:t>
            </w:r>
          </w:p>
        </w:tc>
        <w:tc>
          <w:tcPr>
            <w:tcW w:type="dxa" w:w="824"/>
          </w:tcPr>
          <w:p>
            <w:r>
              <w:rPr>
                <w:rFonts w:ascii="Arial" w:hAnsi="Arial"/>
                <w:b/>
                <w:sz w:val="20"/>
              </w:rPr>
              <w:t>SE</w:t>
            </w:r>
          </w:p>
        </w:tc>
        <w:tc>
          <w:tcPr>
            <w:tcW w:type="dxa" w:w="824"/>
          </w:tcPr>
          <w:p>
            <w:r>
              <w:rPr>
                <w:rFonts w:ascii="Arial" w:hAnsi="Arial"/>
                <w:b/>
                <w:sz w:val="20"/>
              </w:rPr>
              <w:t>t</w:t>
            </w:r>
          </w:p>
        </w:tc>
        <w:tc>
          <w:tcPr>
            <w:tcW w:type="dxa" w:w="824"/>
          </w:tcPr>
          <w:p>
            <w:r>
              <w:rPr>
                <w:rFonts w:ascii="Arial" w:hAnsi="Arial"/>
                <w:b/>
                <w:sz w:val="20"/>
              </w:rPr>
              <w:t>p</w:t>
            </w:r>
          </w:p>
        </w:tc>
        <w:tc>
          <w:tcPr>
            <w:tcW w:type="dxa" w:w="824"/>
          </w:tcPr>
          <w:p>
            <w:r>
              <w:rPr>
                <w:rFonts w:ascii="Arial" w:hAnsi="Arial"/>
                <w:b/>
                <w:sz w:val="20"/>
              </w:rPr>
              <w:t>CI₂.₅</w:t>
            </w:r>
          </w:p>
        </w:tc>
        <w:tc>
          <w:tcPr>
            <w:tcW w:type="dxa" w:w="824"/>
          </w:tcPr>
          <w:p>
            <w:r>
              <w:rPr>
                <w:rFonts w:ascii="Arial" w:hAnsi="Arial"/>
                <w:b/>
                <w:sz w:val="20"/>
              </w:rPr>
              <w:t>CI₉₇.₅</w:t>
            </w:r>
          </w:p>
        </w:tc>
        <w:tc>
          <w:tcPr>
            <w:tcW w:type="dxa" w:w="832"/>
          </w:tcPr>
          <w:p>
            <w:r>
              <w:rPr>
                <w:rFonts w:ascii="Arial" w:hAnsi="Arial"/>
                <w:b/>
                <w:sz w:val="20"/>
              </w:rPr>
              <w:t>R²ᵥᵥ</w:t>
            </w:r>
          </w:p>
        </w:tc>
      </w:tr>
      <w:tr>
        <w:tc>
          <w:tcPr>
            <w:tcW w:type="dxa" w:w="824"/>
          </w:tcPr>
          <w:p>
            <w:r>
              <w:rPr>
                <w:rFonts w:ascii="Arial" w:hAnsi="Arial"/>
                <w:sz w:val="20"/>
              </w:rPr>
              <w:t>raw</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+15.289</w:t>
            </w:r>
          </w:p>
        </w:tc>
        <w:tc>
          <w:tcPr>
            <w:tcW w:type="dxa" w:w="824"/>
          </w:tcPr>
          <w:p>
            <w:r>
              <w:rPr>
                <w:rFonts w:ascii="Arial" w:hAnsi="Arial"/>
                <w:sz w:val="20"/>
              </w:rPr>
              <w:t>17.328</w:t>
            </w:r>
          </w:p>
        </w:tc>
        <w:tc>
          <w:tcPr>
            <w:tcW w:type="dxa" w:w="824"/>
          </w:tcPr>
          <w:p>
            <w:r>
              <w:rPr>
                <w:rFonts w:ascii="Arial" w:hAnsi="Arial"/>
                <w:sz w:val="20"/>
              </w:rPr>
              <w:t>0.882</w:t>
            </w:r>
          </w:p>
        </w:tc>
        <w:tc>
          <w:tcPr>
            <w:tcW w:type="dxa" w:w="824"/>
          </w:tcPr>
          <w:p>
            <w:r>
              <w:rPr>
                <w:rFonts w:ascii="Arial" w:hAnsi="Arial"/>
                <w:sz w:val="20"/>
              </w:rPr>
              <w:t>0.378</w:t>
            </w:r>
          </w:p>
        </w:tc>
        <w:tc>
          <w:tcPr>
            <w:tcW w:type="dxa" w:w="824"/>
          </w:tcPr>
          <w:p>
            <w:r>
              <w:rPr>
                <w:rFonts w:ascii="Arial" w:hAnsi="Arial"/>
                <w:sz w:val="20"/>
              </w:rPr>
              <w:t>-18.673</w:t>
            </w:r>
          </w:p>
        </w:tc>
        <w:tc>
          <w:tcPr>
            <w:tcW w:type="dxa" w:w="824"/>
          </w:tcPr>
          <w:p>
            <w:r>
              <w:rPr>
                <w:rFonts w:ascii="Arial" w:hAnsi="Arial"/>
                <w:sz w:val="20"/>
              </w:rPr>
              <w:t>49.250</w:t>
            </w:r>
          </w:p>
        </w:tc>
        <w:tc>
          <w:tcPr>
            <w:tcW w:type="dxa" w:w="832"/>
          </w:tcPr>
          <w:p>
            <w:r>
              <w:rPr>
                <w:rFonts w:ascii="Arial" w:hAnsi="Arial"/>
                <w:sz w:val="20"/>
              </w:rPr>
              <w:t>0.013</w:t>
            </w:r>
          </w:p>
        </w:tc>
      </w:tr>
      <w:tr>
        <w:tc>
          <w:tcPr>
            <w:tcW w:type="dxa" w:w="824"/>
          </w:tcPr>
          <w:p>
            <w:r>
              <w:rPr>
                <w:rFonts w:ascii="Arial" w:hAnsi="Arial"/>
                <w:sz w:val="20"/>
              </w:rPr>
              <w:t>raw</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-3.587</w:t>
            </w:r>
          </w:p>
        </w:tc>
        <w:tc>
          <w:tcPr>
            <w:tcW w:type="dxa" w:w="824"/>
          </w:tcPr>
          <w:p>
            <w:r>
              <w:rPr>
                <w:rFonts w:ascii="Arial" w:hAnsi="Arial"/>
                <w:sz w:val="20"/>
              </w:rPr>
              <w:t>2.882</w:t>
            </w:r>
          </w:p>
        </w:tc>
        <w:tc>
          <w:tcPr>
            <w:tcW w:type="dxa" w:w="824"/>
          </w:tcPr>
          <w:p>
            <w:r>
              <w:rPr>
                <w:rFonts w:ascii="Arial" w:hAnsi="Arial"/>
                <w:sz w:val="20"/>
              </w:rPr>
              <w:t>-1.245</w:t>
            </w:r>
          </w:p>
        </w:tc>
        <w:tc>
          <w:tcPr>
            <w:tcW w:type="dxa" w:w="824"/>
          </w:tcPr>
          <w:p>
            <w:r>
              <w:rPr>
                <w:rFonts w:ascii="Arial" w:hAnsi="Arial"/>
                <w:sz w:val="20"/>
              </w:rPr>
              <w:t>0.213</w:t>
            </w:r>
          </w:p>
        </w:tc>
        <w:tc>
          <w:tcPr>
            <w:tcW w:type="dxa" w:w="824"/>
          </w:tcPr>
          <w:p>
            <w:r>
              <w:rPr>
                <w:rFonts w:ascii="Arial" w:hAnsi="Arial"/>
                <w:sz w:val="20"/>
              </w:rPr>
              <w:t>-9.235</w:t>
            </w:r>
          </w:p>
        </w:tc>
        <w:tc>
          <w:tcPr>
            <w:tcW w:type="dxa" w:w="824"/>
          </w:tcPr>
          <w:p>
            <w:r>
              <w:rPr>
                <w:rFonts w:ascii="Arial" w:hAnsi="Arial"/>
                <w:sz w:val="20"/>
              </w:rPr>
              <w:t>2.062</w:t>
            </w:r>
          </w:p>
        </w:tc>
        <w:tc>
          <w:tcPr>
            <w:tcW w:type="dxa" w:w="832"/>
          </w:tcPr>
          <w:p>
            <w:r>
              <w:rPr>
                <w:rFonts w:ascii="Arial" w:hAnsi="Arial"/>
                <w:sz w:val="20"/>
              </w:rPr>
              <w:t>0.011</w:t>
            </w:r>
          </w:p>
        </w:tc>
      </w:tr>
      <w:tr>
        <w:tc>
          <w:tcPr>
            <w:tcW w:type="dxa" w:w="824"/>
          </w:tcPr>
          <w:p>
            <w:r>
              <w:rPr>
                <w:rFonts w:ascii="Arial" w:hAnsi="Arial"/>
                <w:sz w:val="20"/>
              </w:rPr>
              <w:t>raw</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-0.000</w:t>
            </w:r>
          </w:p>
        </w:tc>
        <w:tc>
          <w:tcPr>
            <w:tcW w:type="dxa" w:w="824"/>
          </w:tcPr>
          <w:p>
            <w:r>
              <w:rPr>
                <w:rFonts w:ascii="Arial" w:hAnsi="Arial"/>
                <w:sz w:val="20"/>
              </w:rPr>
              <w:t>0.000</w:t>
            </w:r>
          </w:p>
        </w:tc>
        <w:tc>
          <w:tcPr>
            <w:tcW w:type="dxa" w:w="824"/>
          </w:tcPr>
          <w:p>
            <w:r>
              <w:rPr>
                <w:rFonts w:ascii="Arial" w:hAnsi="Arial"/>
                <w:sz w:val="20"/>
              </w:rPr>
              <w:t>-2.038</w:t>
            </w:r>
          </w:p>
        </w:tc>
        <w:tc>
          <w:tcPr>
            <w:tcW w:type="dxa" w:w="824"/>
          </w:tcPr>
          <w:p>
            <w:r>
              <w:rPr>
                <w:rFonts w:ascii="Arial" w:hAnsi="Arial"/>
                <w:sz w:val="20"/>
              </w:rPr>
              <w:t>0.042</w:t>
            </w:r>
          </w:p>
        </w:tc>
        <w:tc>
          <w:tcPr>
            <w:tcW w:type="dxa" w:w="824"/>
          </w:tcPr>
          <w:p>
            <w:r>
              <w:rPr>
                <w:rFonts w:ascii="Arial" w:hAnsi="Arial"/>
                <w:sz w:val="20"/>
              </w:rPr>
              <w:t>-0.000</w:t>
            </w:r>
          </w:p>
        </w:tc>
        <w:tc>
          <w:tcPr>
            <w:tcW w:type="dxa" w:w="824"/>
          </w:tcPr>
          <w:p>
            <w:r>
              <w:rPr>
                <w:rFonts w:ascii="Arial" w:hAnsi="Arial"/>
                <w:sz w:val="20"/>
              </w:rPr>
              <w:t>-0.000</w:t>
            </w:r>
          </w:p>
        </w:tc>
        <w:tc>
          <w:tcPr>
            <w:tcW w:type="dxa" w:w="832"/>
          </w:tcPr>
          <w:p>
            <w:r>
              <w:rPr>
                <w:rFonts w:ascii="Arial" w:hAnsi="Arial"/>
                <w:sz w:val="20"/>
              </w:rPr>
              <w:t>0.000</w:t>
            </w:r>
          </w:p>
        </w:tc>
      </w:tr>
      <w:tr>
        <w:tc>
          <w:tcPr>
            <w:tcW w:type="dxa" w:w="824"/>
          </w:tcPr>
          <w:p>
            <w:r>
              <w:rPr>
                <w:rFonts w:ascii="Arial" w:hAnsi="Arial"/>
                <w:sz w:val="20"/>
              </w:rPr>
              <w:t>corrected</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+15.108</w:t>
            </w:r>
          </w:p>
        </w:tc>
        <w:tc>
          <w:tcPr>
            <w:tcW w:type="dxa" w:w="824"/>
          </w:tcPr>
          <w:p>
            <w:r>
              <w:rPr>
                <w:rFonts w:ascii="Arial" w:hAnsi="Arial"/>
                <w:sz w:val="20"/>
              </w:rPr>
              <w:t>17.312</w:t>
            </w:r>
          </w:p>
        </w:tc>
        <w:tc>
          <w:tcPr>
            <w:tcW w:type="dxa" w:w="824"/>
          </w:tcPr>
          <w:p>
            <w:r>
              <w:rPr>
                <w:rFonts w:ascii="Arial" w:hAnsi="Arial"/>
                <w:sz w:val="20"/>
              </w:rPr>
              <w:t>0.873</w:t>
            </w:r>
          </w:p>
        </w:tc>
        <w:tc>
          <w:tcPr>
            <w:tcW w:type="dxa" w:w="824"/>
          </w:tcPr>
          <w:p>
            <w:r>
              <w:rPr>
                <w:rFonts w:ascii="Arial" w:hAnsi="Arial"/>
                <w:sz w:val="20"/>
              </w:rPr>
              <w:t>0.383</w:t>
            </w:r>
          </w:p>
        </w:tc>
        <w:tc>
          <w:tcPr>
            <w:tcW w:type="dxa" w:w="824"/>
          </w:tcPr>
          <w:p>
            <w:r>
              <w:rPr>
                <w:rFonts w:ascii="Arial" w:hAnsi="Arial"/>
                <w:sz w:val="20"/>
              </w:rPr>
              <w:t>-18.822</w:t>
            </w:r>
          </w:p>
        </w:tc>
        <w:tc>
          <w:tcPr>
            <w:tcW w:type="dxa" w:w="824"/>
          </w:tcPr>
          <w:p>
            <w:r>
              <w:rPr>
                <w:rFonts w:ascii="Arial" w:hAnsi="Arial"/>
                <w:sz w:val="20"/>
              </w:rPr>
              <w:t>49.039</w:t>
            </w:r>
          </w:p>
        </w:tc>
        <w:tc>
          <w:tcPr>
            <w:tcW w:type="dxa" w:w="832"/>
          </w:tcPr>
          <w:p>
            <w:r>
              <w:rPr>
                <w:rFonts w:ascii="Arial" w:hAnsi="Arial"/>
                <w:sz w:val="20"/>
              </w:rPr>
              <w:t>0.013</w:t>
            </w:r>
          </w:p>
        </w:tc>
      </w:tr>
      <w:tr>
        <w:tc>
          <w:tcPr>
            <w:tcW w:type="dxa" w:w="824"/>
          </w:tcPr>
          <w:p>
            <w:r>
              <w:rPr>
                <w:rFonts w:ascii="Arial" w:hAnsi="Arial"/>
                <w:sz w:val="20"/>
              </w:rPr>
              <w:t>corrected</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-3.677</w:t>
            </w:r>
          </w:p>
        </w:tc>
        <w:tc>
          <w:tcPr>
            <w:tcW w:type="dxa" w:w="824"/>
          </w:tcPr>
          <w:p>
            <w:r>
              <w:rPr>
                <w:rFonts w:ascii="Arial" w:hAnsi="Arial"/>
                <w:sz w:val="20"/>
              </w:rPr>
              <w:t>2.897</w:t>
            </w:r>
          </w:p>
        </w:tc>
        <w:tc>
          <w:tcPr>
            <w:tcW w:type="dxa" w:w="824"/>
          </w:tcPr>
          <w:p>
            <w:r>
              <w:rPr>
                <w:rFonts w:ascii="Arial" w:hAnsi="Arial"/>
                <w:sz w:val="20"/>
              </w:rPr>
              <w:t>-1.269</w:t>
            </w:r>
          </w:p>
        </w:tc>
        <w:tc>
          <w:tcPr>
            <w:tcW w:type="dxa" w:w="824"/>
          </w:tcPr>
          <w:p>
            <w:r>
              <w:rPr>
                <w:rFonts w:ascii="Arial" w:hAnsi="Arial"/>
                <w:sz w:val="20"/>
              </w:rPr>
              <w:t>0.204</w:t>
            </w:r>
          </w:p>
        </w:tc>
        <w:tc>
          <w:tcPr>
            <w:tcW w:type="dxa" w:w="824"/>
          </w:tcPr>
          <w:p>
            <w:r>
              <w:rPr>
                <w:rFonts w:ascii="Arial" w:hAnsi="Arial"/>
                <w:sz w:val="20"/>
              </w:rPr>
              <w:t>-9.356</w:t>
            </w:r>
          </w:p>
        </w:tc>
        <w:tc>
          <w:tcPr>
            <w:tcW w:type="dxa" w:w="824"/>
          </w:tcPr>
          <w:p>
            <w:r>
              <w:rPr>
                <w:rFonts w:ascii="Arial" w:hAnsi="Arial"/>
                <w:sz w:val="20"/>
              </w:rPr>
              <w:t>2.002</w:t>
            </w:r>
          </w:p>
        </w:tc>
        <w:tc>
          <w:tcPr>
            <w:tcW w:type="dxa" w:w="832"/>
          </w:tcPr>
          <w:p>
            <w:r>
              <w:rPr>
                <w:rFonts w:ascii="Arial" w:hAnsi="Arial"/>
                <w:sz w:val="20"/>
              </w:rPr>
              <w:t>0.011</w:t>
            </w:r>
          </w:p>
        </w:tc>
      </w:tr>
      <w:tr>
        <w:tc>
          <w:tcPr>
            <w:tcW w:type="dxa" w:w="824"/>
          </w:tcPr>
          <w:p>
            <w:r>
              <w:rPr>
                <w:rFonts w:ascii="Arial" w:hAnsi="Arial"/>
                <w:sz w:val="20"/>
              </w:rPr>
              <w:t>corrected</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-0.239</w:t>
            </w:r>
          </w:p>
        </w:tc>
        <w:tc>
          <w:tcPr>
            <w:tcW w:type="dxa" w:w="824"/>
          </w:tcPr>
          <w:p>
            <w:r>
              <w:rPr>
                <w:rFonts w:ascii="Arial" w:hAnsi="Arial"/>
                <w:sz w:val="20"/>
              </w:rPr>
              <w:t>0.169</w:t>
            </w:r>
          </w:p>
        </w:tc>
        <w:tc>
          <w:tcPr>
            <w:tcW w:type="dxa" w:w="824"/>
          </w:tcPr>
          <w:p>
            <w:r>
              <w:rPr>
                <w:rFonts w:ascii="Arial" w:hAnsi="Arial"/>
                <w:sz w:val="20"/>
              </w:rPr>
              <w:t>-1.411</w:t>
            </w:r>
          </w:p>
        </w:tc>
        <w:tc>
          <w:tcPr>
            <w:tcW w:type="dxa" w:w="824"/>
          </w:tcPr>
          <w:p>
            <w:r>
              <w:rPr>
                <w:rFonts w:ascii="Arial" w:hAnsi="Arial"/>
                <w:sz w:val="20"/>
              </w:rPr>
              <w:t>0.158</w:t>
            </w:r>
          </w:p>
        </w:tc>
        <w:tc>
          <w:tcPr>
            <w:tcW w:type="dxa" w:w="824"/>
          </w:tcPr>
          <w:p>
            <w:r>
              <w:rPr>
                <w:rFonts w:ascii="Arial" w:hAnsi="Arial"/>
                <w:sz w:val="20"/>
              </w:rPr>
              <w:t>-0.570</w:t>
            </w:r>
          </w:p>
        </w:tc>
        <w:tc>
          <w:tcPr>
            <w:tcW w:type="dxa" w:w="824"/>
          </w:tcPr>
          <w:p>
            <w:r>
              <w:rPr>
                <w:rFonts w:ascii="Arial" w:hAnsi="Arial"/>
                <w:sz w:val="20"/>
              </w:rPr>
              <w:t>0.093</w:t>
            </w:r>
          </w:p>
        </w:tc>
        <w:tc>
          <w:tcPr>
            <w:tcW w:type="dxa" w:w="832"/>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3213" w:name="table_s2"/>
      <w:r>
        <w:rPr>
          <w:rFonts w:ascii="Arial" w:hAnsi="Arial"/>
          <w:b/>
          <w:color w:val="1F3A5F"/>
          <w:sz w:val="32"/>
        </w:rPr>
        <w:t>Table S2 — Pre-trend tests</w:t>
      </w:r>
      <w:bookmarkEnd w:id="7321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RSEPlainGrid"/>
        <w:tblW w:type="dxa" w:w="9072"/>
        <w:tblLook w:val="0420" w:firstRow="1" w:lastRow="0" w:firstColumn="0" w:lastColumn="0" w:noHBand="1" w:noVBand="1"/>
        <w:tblLayout w:type="autofit"/>
      </w:tblPr>
      <w:tblGrid>
        <w:gridCol w:w="1296"/>
        <w:gridCol w:w="1296"/>
        <w:gridCol w:w="1296"/>
        <w:gridCol w:w="1296"/>
        <w:gridCol w:w="1296"/>
        <w:gridCol w:w="1296"/>
        <w:gridCol w:w="1296"/>
      </w:tblGrid>
      <w:tr>
        <w:tc>
          <w:tcPr>
            <w:tcW w:type="dxa" w:w="1296"/>
          </w:tcPr>
          <w:p>
            <w:r>
              <w:rPr>
                <w:rFonts w:ascii="Arial" w:hAnsi="Arial"/>
                <w:b/>
                <w:sz w:val="20"/>
              </w:rPr>
              <w:t>Pipeline</w:t>
            </w:r>
          </w:p>
        </w:tc>
        <w:tc>
          <w:tcPr>
            <w:tcW w:type="dxa" w:w="1296"/>
          </w:tcPr>
          <w:p>
            <w:r>
              <w:rPr>
                <w:rFonts w:ascii="Arial" w:hAnsi="Arial"/>
                <w:b/>
                <w:sz w:val="20"/>
              </w:rPr>
              <w:t>Metric</w:t>
            </w:r>
          </w:p>
        </w:tc>
        <w:tc>
          <w:tcPr>
            <w:tcW w:type="dxa" w:w="1296"/>
          </w:tcPr>
          <w:p>
            <w:r>
              <w:rPr>
                <w:rFonts w:ascii="Arial" w:hAnsi="Arial"/>
                <w:b/>
                <w:sz w:val="20"/>
              </w:rPr>
              <w:t>β (year×treat)</w:t>
            </w:r>
          </w:p>
        </w:tc>
        <w:tc>
          <w:tcPr>
            <w:tcW w:type="dxa" w:w="1296"/>
          </w:tcPr>
          <w:p>
            <w:r>
              <w:rPr>
                <w:rFonts w:ascii="Arial" w:hAnsi="Arial"/>
                <w:b/>
                <w:sz w:val="20"/>
              </w:rPr>
              <w:t>SE</w:t>
            </w:r>
          </w:p>
        </w:tc>
        <w:tc>
          <w:tcPr>
            <w:tcW w:type="dxa" w:w="1296"/>
          </w:tcPr>
          <w:p>
            <w:r>
              <w:rPr>
                <w:rFonts w:ascii="Arial" w:hAnsi="Arial"/>
                <w:b/>
                <w:sz w:val="20"/>
              </w:rPr>
              <w:t>p</w:t>
            </w:r>
          </w:p>
        </w:tc>
        <w:tc>
          <w:tcPr>
            <w:tcW w:type="dxa" w:w="1296"/>
          </w:tcPr>
          <w:p>
            <w:r>
              <w:rPr>
                <w:rFonts w:ascii="Arial" w:hAnsi="Arial"/>
                <w:b/>
                <w:sz w:val="20"/>
              </w:rPr>
              <w:t>N pre</w:t>
            </w:r>
          </w:p>
        </w:tc>
        <w:tc>
          <w:tcPr>
            <w:tcW w:type="dxa" w:w="1296"/>
          </w:tcPr>
          <w:p>
            <w:r>
              <w:rPr>
                <w:rFonts w:ascii="Arial" w:hAnsi="Arial"/>
                <w:b/>
                <w:sz w:val="20"/>
              </w:rPr>
              <w:t>Verdict</w:t>
            </w:r>
          </w:p>
        </w:tc>
      </w:tr>
      <w:tr>
        <w:tc>
          <w:tcPr>
            <w:tcW w:type="dxa" w:w="1296"/>
          </w:tcPr>
          <w:p>
            <w:r>
              <w:rPr>
                <w:rFonts w:ascii="Arial" w:hAnsi="Arial"/>
                <w:sz w:val="20"/>
              </w:rPr>
              <w:t>raw</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r>
        <w:tc>
          <w:tcPr>
            <w:tcW w:type="dxa" w:w="1296"/>
          </w:tcPr>
          <w:p>
            <w:r>
              <w:rPr>
                <w:rFonts w:ascii="Arial" w:hAnsi="Arial"/>
                <w:sz w:val="20"/>
              </w:rPr>
              <w:t>corrected</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713" w:name="table_s3"/>
      <w:r>
        <w:rPr>
          <w:rFonts w:ascii="Arial" w:hAnsi="Arial"/>
          <w:b/>
          <w:color w:val="1F3A5F"/>
          <w:sz w:val="32"/>
        </w:rPr>
        <w:t>Table S3 — Bulbul transferability residuals</w:t>
      </w:r>
      <w:bookmarkEnd w:id="44713"/>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(Δ_obs,d), plug-in prediction τ̂_corrected,SOS = +15.108 d (SE = 17.312 d, district-clustered), and transferability residual r_d. The 95% prediction interval combines the TWFE clustered SE with the empirical idiosyncratic SD of the probe-baseline SOS (σ̂ = 19.88 d), yielding PI₉₅ = [−36.57, +66.78] d. Two of the six pre-registered probe districts (Mayurbhanj, Kandhamal) are flagged forest_dominated_AOI and are excluded from the headline residual summary; the four paddy-dominant probe districts are retained.</w:t>
      </w:r>
    </w:p>
    <w:tbl>
      <w:tblPr>
        <w:tblStyle w:val="RSEPlainGrid"/>
        <w:tblW w:type="dxa" w:w="9072"/>
        <w:tblLook w:val="0420" w:firstRow="1" w:lastRow="0" w:firstColumn="0" w:lastColumn="0" w:noHBand="1" w:noVBand="1"/>
        <w:tblLayout w:type="autofit"/>
      </w:tblPr>
      <w:tblGrid>
        <w:gridCol w:w="1008"/>
        <w:gridCol w:w="1008"/>
        <w:gridCol w:w="1008"/>
        <w:gridCol w:w="1008"/>
        <w:gridCol w:w="1008"/>
        <w:gridCol w:w="1008"/>
        <w:gridCol w:w="1008"/>
        <w:gridCol w:w="1008"/>
        <w:gridCol w:w="1008"/>
      </w:tblGrid>
      <w:tr>
        <w:tc>
          <w:tcPr>
            <w:tcW w:type="dxa" w:w="1008"/>
          </w:tcPr>
          <w:p>
            <w:r>
              <w:rPr>
                <w:rFonts w:ascii="Arial" w:hAnsi="Arial"/>
                <w:b/>
                <w:sz w:val="19"/>
              </w:rPr>
              <w:t>District</w:t>
            </w:r>
          </w:p>
        </w:tc>
        <w:tc>
          <w:tcPr>
            <w:tcW w:type="dxa" w:w="1008"/>
          </w:tcPr>
          <w:p>
            <w:r>
              <w:rPr>
                <w:rFonts w:ascii="Arial" w:hAnsi="Arial"/>
                <w:b/>
                <w:sz w:val="19"/>
              </w:rPr>
              <w:t>Exposure</w:t>
            </w:r>
          </w:p>
        </w:tc>
        <w:tc>
          <w:tcPr>
            <w:tcW w:type="dxa" w:w="1008"/>
          </w:tcPr>
          <w:p>
            <w:r>
              <w:rPr>
                <w:rFonts w:ascii="Arial" w:hAnsi="Arial"/>
                <w:b/>
                <w:sz w:val="19"/>
              </w:rPr>
              <w:t>SOS baseline (DOY)</w:t>
            </w:r>
          </w:p>
        </w:tc>
        <w:tc>
          <w:tcPr>
            <w:tcW w:type="dxa" w:w="1008"/>
          </w:tcPr>
          <w:p>
            <w:r>
              <w:rPr>
                <w:rFonts w:ascii="Arial" w:hAnsi="Arial"/>
                <w:b/>
                <w:sz w:val="19"/>
              </w:rPr>
              <w:t>SOS ′2020 (DOY)</w:t>
            </w:r>
          </w:p>
        </w:tc>
        <w:tc>
          <w:tcPr>
            <w:tcW w:type="dxa" w:w="1008"/>
          </w:tcPr>
          <w:p>
            <w:r>
              <w:rPr>
                <w:rFonts w:ascii="Arial" w:hAnsi="Arial"/>
                <w:b/>
                <w:sz w:val="19"/>
              </w:rPr>
              <w:t>Δ obs (d)</w:t>
            </w:r>
          </w:p>
        </w:tc>
        <w:tc>
          <w:tcPr>
            <w:tcW w:type="dxa" w:w="1008"/>
          </w:tcPr>
          <w:p>
            <w:r>
              <w:rPr>
                <w:rFonts w:ascii="Arial" w:hAnsi="Arial"/>
                <w:b/>
                <w:sz w:val="19"/>
              </w:rPr>
              <w:t>τ̂ plug-in (d)</w:t>
            </w:r>
          </w:p>
        </w:tc>
        <w:tc>
          <w:tcPr>
            <w:tcW w:type="dxa" w:w="1008"/>
          </w:tcPr>
          <w:p>
            <w:r>
              <w:rPr>
                <w:rFonts w:ascii="Arial" w:hAnsi="Arial"/>
                <w:b/>
                <w:sz w:val="19"/>
              </w:rPr>
              <w:t>r_d (d)</w:t>
            </w:r>
          </w:p>
        </w:tc>
        <w:tc>
          <w:tcPr>
            <w:tcW w:type="dxa" w:w="1008"/>
          </w:tcPr>
          <w:p>
            <w:r>
              <w:rPr>
                <w:rFonts w:ascii="Arial" w:hAnsi="Arial"/>
                <w:b/>
                <w:sz w:val="19"/>
              </w:rPr>
              <w:t>Inside 95% PI?</w:t>
            </w:r>
          </w:p>
        </w:tc>
        <w:tc>
          <w:tcPr>
            <w:tcW w:type="dxa" w:w="1008"/>
          </w:tcPr>
          <w:p>
            <w:r>
              <w:rPr>
                <w:rFonts w:ascii="Arial" w:hAnsi="Arial"/>
                <w:b/>
                <w:sz w:val="19"/>
              </w:rPr>
              <w:t>AOI flag</w:t>
            </w:r>
          </w:p>
        </w:tc>
      </w:tr>
      <w:tr>
        <w:tc>
          <w:tcPr>
            <w:tcW w:type="dxa" w:w="1008"/>
          </w:tcPr>
          <w:p>
            <w:r>
              <w:rPr>
                <w:rFonts w:ascii="Arial" w:hAnsi="Arial"/>
                <w:sz w:val="19"/>
              </w:rPr>
              <w:t>Boudh</w:t>
            </w:r>
          </w:p>
        </w:tc>
        <w:tc>
          <w:tcPr>
            <w:tcW w:type="dxa" w:w="1008"/>
          </w:tcPr>
          <w:p>
            <w:r>
              <w:rPr>
                <w:rFonts w:ascii="Arial" w:hAnsi="Arial"/>
                <w:sz w:val="19"/>
              </w:rPr>
              <w:t>inland_rainfall</w:t>
            </w:r>
          </w:p>
        </w:tc>
        <w:tc>
          <w:tcPr>
            <w:tcW w:type="dxa" w:w="1008"/>
          </w:tcPr>
          <w:p>
            <w:r>
              <w:rPr>
                <w:rFonts w:ascii="Arial" w:hAnsi="Arial"/>
                <w:sz w:val="19"/>
              </w:rPr>
              <w:t>169.4</w:t>
            </w:r>
          </w:p>
        </w:tc>
        <w:tc>
          <w:tcPr>
            <w:tcW w:type="dxa" w:w="1008"/>
          </w:tcPr>
          <w:p>
            <w:r>
              <w:rPr>
                <w:rFonts w:ascii="Arial" w:hAnsi="Arial"/>
                <w:sz w:val="19"/>
              </w:rPr>
              <w:t>176.4</w:t>
            </w:r>
          </w:p>
        </w:tc>
        <w:tc>
          <w:tcPr>
            <w:tcW w:type="dxa" w:w="1008"/>
          </w:tcPr>
          <w:p>
            <w:r>
              <w:rPr>
                <w:rFonts w:ascii="Arial" w:hAnsi="Arial"/>
                <w:sz w:val="19"/>
              </w:rPr>
              <w:t>+7.00</w:t>
            </w:r>
          </w:p>
        </w:tc>
        <w:tc>
          <w:tcPr>
            <w:tcW w:type="dxa" w:w="1008"/>
          </w:tcPr>
          <w:p>
            <w:r>
              <w:rPr>
                <w:rFonts w:ascii="Arial" w:hAnsi="Arial"/>
                <w:sz w:val="19"/>
              </w:rPr>
              <w:t>+15.108</w:t>
            </w:r>
          </w:p>
        </w:tc>
        <w:tc>
          <w:tcPr>
            <w:tcW w:type="dxa" w:w="1008"/>
          </w:tcPr>
          <w:p>
            <w:r>
              <w:rPr>
                <w:rFonts w:ascii="Arial" w:hAnsi="Arial"/>
                <w:sz w:val="19"/>
              </w:rPr>
              <w:t>-8.11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Ganjam</w:t>
            </w:r>
          </w:p>
        </w:tc>
        <w:tc>
          <w:tcPr>
            <w:tcW w:type="dxa" w:w="1008"/>
          </w:tcPr>
          <w:p>
            <w:r>
              <w:rPr>
                <w:rFonts w:ascii="Arial" w:hAnsi="Arial"/>
                <w:sz w:val="19"/>
              </w:rPr>
              <w:t>coastal_rainfall</w:t>
            </w:r>
          </w:p>
        </w:tc>
        <w:tc>
          <w:tcPr>
            <w:tcW w:type="dxa" w:w="1008"/>
          </w:tcPr>
          <w:p>
            <w:r>
              <w:rPr>
                <w:rFonts w:ascii="Arial" w:hAnsi="Arial"/>
                <w:sz w:val="19"/>
              </w:rPr>
              <w:t>184.4</w:t>
            </w:r>
          </w:p>
        </w:tc>
        <w:tc>
          <w:tcPr>
            <w:tcW w:type="dxa" w:w="1008"/>
          </w:tcPr>
          <w:p>
            <w:r>
              <w:rPr>
                <w:rFonts w:ascii="Arial" w:hAnsi="Arial"/>
                <w:sz w:val="19"/>
              </w:rPr>
              <w:t>198.3</w:t>
            </w:r>
          </w:p>
        </w:tc>
        <w:tc>
          <w:tcPr>
            <w:tcW w:type="dxa" w:w="1008"/>
          </w:tcPr>
          <w:p>
            <w:r>
              <w:rPr>
                <w:rFonts w:ascii="Arial" w:hAnsi="Arial"/>
                <w:sz w:val="19"/>
              </w:rPr>
              <w:t>+14.00</w:t>
            </w:r>
          </w:p>
        </w:tc>
        <w:tc>
          <w:tcPr>
            <w:tcW w:type="dxa" w:w="1008"/>
          </w:tcPr>
          <w:p>
            <w:r>
              <w:rPr>
                <w:rFonts w:ascii="Arial" w:hAnsi="Arial"/>
                <w:sz w:val="19"/>
              </w:rPr>
              <w:t>+15.108</w:t>
            </w:r>
          </w:p>
        </w:tc>
        <w:tc>
          <w:tcPr>
            <w:tcW w:type="dxa" w:w="1008"/>
          </w:tcPr>
          <w:p>
            <w:r>
              <w:rPr>
                <w:rFonts w:ascii="Arial" w:hAnsi="Arial"/>
                <w:sz w:val="19"/>
              </w:rPr>
              <w:t>-1.11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Kandhamal</w:t>
            </w:r>
          </w:p>
        </w:tc>
        <w:tc>
          <w:tcPr>
            <w:tcW w:type="dxa" w:w="1008"/>
          </w:tcPr>
          <w:p>
            <w:r>
              <w:rPr>
                <w:rFonts w:ascii="Arial" w:hAnsi="Arial"/>
                <w:sz w:val="19"/>
              </w:rPr>
              <w:t>inland_rainfall</w:t>
            </w:r>
          </w:p>
        </w:tc>
        <w:tc>
          <w:tcPr>
            <w:tcW w:type="dxa" w:w="1008"/>
          </w:tcPr>
          <w:p>
            <w:r>
              <w:rPr>
                <w:rFonts w:ascii="Arial" w:hAnsi="Arial"/>
                <w:sz w:val="19"/>
              </w:rPr>
              <w:t>151.0</w:t>
            </w:r>
          </w:p>
        </w:tc>
        <w:tc>
          <w:tcPr>
            <w:tcW w:type="dxa" w:w="1008"/>
          </w:tcPr>
          <w:p>
            <w:r>
              <w:rPr>
                <w:rFonts w:ascii="Arial" w:hAnsi="Arial"/>
                <w:sz w:val="19"/>
              </w:rPr>
              <w:t>206.4</w:t>
            </w:r>
          </w:p>
        </w:tc>
        <w:tc>
          <w:tcPr>
            <w:tcW w:type="dxa" w:w="1008"/>
          </w:tcPr>
          <w:p>
            <w:r>
              <w:rPr>
                <w:rFonts w:ascii="Arial" w:hAnsi="Arial"/>
                <w:sz w:val="19"/>
              </w:rPr>
              <w:t>+55.50</w:t>
            </w:r>
          </w:p>
        </w:tc>
        <w:tc>
          <w:tcPr>
            <w:tcW w:type="dxa" w:w="1008"/>
          </w:tcPr>
          <w:p>
            <w:r>
              <w:rPr>
                <w:rFonts w:ascii="Arial" w:hAnsi="Arial"/>
                <w:sz w:val="19"/>
              </w:rPr>
              <w:t>+15.108</w:t>
            </w:r>
          </w:p>
        </w:tc>
        <w:tc>
          <w:tcPr>
            <w:tcW w:type="dxa" w:w="1008"/>
          </w:tcPr>
          <w:p>
            <w:r>
              <w:rPr>
                <w:rFonts w:ascii="Arial" w:hAnsi="Arial"/>
                <w:sz w:val="19"/>
              </w:rPr>
              <w:t>+40.39</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Khordha</w:t>
            </w:r>
          </w:p>
        </w:tc>
        <w:tc>
          <w:tcPr>
            <w:tcW w:type="dxa" w:w="1008"/>
          </w:tcPr>
          <w:p>
            <w:r>
              <w:rPr>
                <w:rFonts w:ascii="Arial" w:hAnsi="Arial"/>
                <w:sz w:val="19"/>
              </w:rPr>
              <w:t>coastal_rainfall</w:t>
            </w:r>
          </w:p>
        </w:tc>
        <w:tc>
          <w:tcPr>
            <w:tcW w:type="dxa" w:w="1008"/>
          </w:tcPr>
          <w:p>
            <w:r>
              <w:rPr>
                <w:rFonts w:ascii="Arial" w:hAnsi="Arial"/>
                <w:sz w:val="19"/>
              </w:rPr>
              <w:t>141.7</w:t>
            </w:r>
          </w:p>
        </w:tc>
        <w:tc>
          <w:tcPr>
            <w:tcW w:type="dxa" w:w="1008"/>
          </w:tcPr>
          <w:p>
            <w:r>
              <w:rPr>
                <w:rFonts w:ascii="Arial" w:hAnsi="Arial"/>
                <w:sz w:val="19"/>
              </w:rPr>
              <w:t>179.3</w:t>
            </w:r>
          </w:p>
        </w:tc>
        <w:tc>
          <w:tcPr>
            <w:tcW w:type="dxa" w:w="1008"/>
          </w:tcPr>
          <w:p>
            <w:r>
              <w:rPr>
                <w:rFonts w:ascii="Arial" w:hAnsi="Arial"/>
                <w:sz w:val="19"/>
              </w:rPr>
              <w:t>+37.60</w:t>
            </w:r>
          </w:p>
        </w:tc>
        <w:tc>
          <w:tcPr>
            <w:tcW w:type="dxa" w:w="1008"/>
          </w:tcPr>
          <w:p>
            <w:r>
              <w:rPr>
                <w:rFonts w:ascii="Arial" w:hAnsi="Arial"/>
                <w:sz w:val="19"/>
              </w:rPr>
              <w:t>+15.108</w:t>
            </w:r>
          </w:p>
        </w:tc>
        <w:tc>
          <w:tcPr>
            <w:tcW w:type="dxa" w:w="1008"/>
          </w:tcPr>
          <w:p>
            <w:r>
              <w:rPr>
                <w:rFonts w:ascii="Arial" w:hAnsi="Arial"/>
                <w:sz w:val="19"/>
              </w:rPr>
              <w:t>+22.49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Mayurbhanj</w:t>
            </w:r>
          </w:p>
        </w:tc>
        <w:tc>
          <w:tcPr>
            <w:tcW w:type="dxa" w:w="1008"/>
          </w:tcPr>
          <w:p>
            <w:r>
              <w:rPr>
                <w:rFonts w:ascii="Arial" w:hAnsi="Arial"/>
                <w:sz w:val="19"/>
              </w:rPr>
              <w:t>coastal_rainfall</w:t>
            </w:r>
          </w:p>
        </w:tc>
        <w:tc>
          <w:tcPr>
            <w:tcW w:type="dxa" w:w="1008"/>
          </w:tcPr>
          <w:p>
            <w:r>
              <w:rPr>
                <w:rFonts w:ascii="Arial" w:hAnsi="Arial"/>
                <w:sz w:val="19"/>
              </w:rPr>
              <w:t>126.5</w:t>
            </w:r>
          </w:p>
        </w:tc>
        <w:tc>
          <w:tcPr>
            <w:tcW w:type="dxa" w:w="1008"/>
          </w:tcPr>
          <w:p>
            <w:r>
              <w:rPr>
                <w:rFonts w:ascii="Arial" w:hAnsi="Arial"/>
                <w:sz w:val="19"/>
              </w:rPr>
              <w:t>121.0</w:t>
            </w:r>
          </w:p>
        </w:tc>
        <w:tc>
          <w:tcPr>
            <w:tcW w:type="dxa" w:w="1008"/>
          </w:tcPr>
          <w:p>
            <w:r>
              <w:rPr>
                <w:rFonts w:ascii="Arial" w:hAnsi="Arial"/>
                <w:sz w:val="19"/>
              </w:rPr>
              <w:t>-5.50</w:t>
            </w:r>
          </w:p>
        </w:tc>
        <w:tc>
          <w:tcPr>
            <w:tcW w:type="dxa" w:w="1008"/>
          </w:tcPr>
          <w:p>
            <w:r>
              <w:rPr>
                <w:rFonts w:ascii="Arial" w:hAnsi="Arial"/>
                <w:sz w:val="19"/>
              </w:rPr>
              <w:t>+15.108</w:t>
            </w:r>
          </w:p>
        </w:tc>
        <w:tc>
          <w:tcPr>
            <w:tcW w:type="dxa" w:w="1008"/>
          </w:tcPr>
          <w:p>
            <w:r>
              <w:rPr>
                <w:rFonts w:ascii="Arial" w:hAnsi="Arial"/>
                <w:sz w:val="19"/>
              </w:rPr>
              <w:t>-20.61</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Nayagarh</w:t>
            </w:r>
          </w:p>
        </w:tc>
        <w:tc>
          <w:tcPr>
            <w:tcW w:type="dxa" w:w="1008"/>
          </w:tcPr>
          <w:p>
            <w:r>
              <w:rPr>
                <w:rFonts w:ascii="Arial" w:hAnsi="Arial"/>
                <w:sz w:val="19"/>
              </w:rPr>
              <w:t>inland_rainfall</w:t>
            </w:r>
          </w:p>
        </w:tc>
        <w:tc>
          <w:tcPr>
            <w:tcW w:type="dxa" w:w="1008"/>
          </w:tcPr>
          <w:p>
            <w:r>
              <w:rPr>
                <w:rFonts w:ascii="Arial" w:hAnsi="Arial"/>
                <w:sz w:val="19"/>
              </w:rPr>
              <w:t>147.0</w:t>
            </w:r>
          </w:p>
        </w:tc>
        <w:tc>
          <w:tcPr>
            <w:tcW w:type="dxa" w:w="1008"/>
          </w:tcPr>
          <w:p>
            <w:r>
              <w:rPr>
                <w:rFonts w:ascii="Arial" w:hAnsi="Arial"/>
                <w:sz w:val="19"/>
              </w:rPr>
              <w:t>175.1</w:t>
            </w:r>
          </w:p>
        </w:tc>
        <w:tc>
          <w:tcPr>
            <w:tcW w:type="dxa" w:w="1008"/>
          </w:tcPr>
          <w:p>
            <w:r>
              <w:rPr>
                <w:rFonts w:ascii="Arial" w:hAnsi="Arial"/>
                <w:sz w:val="19"/>
              </w:rPr>
              <w:t>+28.10</w:t>
            </w:r>
          </w:p>
        </w:tc>
        <w:tc>
          <w:tcPr>
            <w:tcW w:type="dxa" w:w="1008"/>
          </w:tcPr>
          <w:p>
            <w:r>
              <w:rPr>
                <w:rFonts w:ascii="Arial" w:hAnsi="Arial"/>
                <w:sz w:val="19"/>
              </w:rPr>
              <w:t>+15.108</w:t>
            </w:r>
          </w:p>
        </w:tc>
        <w:tc>
          <w:tcPr>
            <w:tcW w:type="dxa" w:w="1008"/>
          </w:tcPr>
          <w:p>
            <w:r>
              <w:rPr>
                <w:rFonts w:ascii="Arial" w:hAnsi="Arial"/>
                <w:sz w:val="19"/>
              </w:rPr>
              <w:t>+12.99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b/>
                <w:sz w:val="19"/>
              </w:rPr>
              <w:t>Mean (paddy-dominant, n = 4)</w:t>
            </w:r>
          </w:p>
        </w:tc>
        <w:tc>
          <w:tcPr>
            <w:tcW w:type="dxa" w:w="1008"/>
          </w:tcPr>
          <w:p>
            <w:r>
              <w:rPr>
                <w:rFonts w:ascii="Arial" w:hAnsi="Arial"/>
                <w:b/>
                <w:sz w:val="18"/>
              </w:rPr>
              <w:t>—</w:t>
            </w:r>
          </w:p>
        </w:tc>
        <w:tc>
          <w:tcPr>
            <w:tcW w:type="dxa" w:w="1008"/>
          </w:tcPr>
          <w:p>
            <w:r>
              <w:rPr>
                <w:rFonts w:ascii="Arial" w:hAnsi="Arial"/>
                <w:b/>
                <w:sz w:val="19"/>
              </w:rPr>
              <w:t>160.6</w:t>
            </w:r>
          </w:p>
        </w:tc>
        <w:tc>
          <w:tcPr>
            <w:tcW w:type="dxa" w:w="1008"/>
          </w:tcPr>
          <w:p>
            <w:r>
              <w:rPr>
                <w:rFonts w:ascii="Arial" w:hAnsi="Arial"/>
                <w:b/>
                <w:sz w:val="19"/>
              </w:rPr>
              <w:t>182.3</w:t>
            </w:r>
          </w:p>
        </w:tc>
        <w:tc>
          <w:tcPr>
            <w:tcW w:type="dxa" w:w="1008"/>
          </w:tcPr>
          <w:p>
            <w:r>
              <w:rPr>
                <w:rFonts w:ascii="Arial" w:hAnsi="Arial"/>
                <w:b/>
                <w:sz w:val="19"/>
              </w:rPr>
              <w:t>+21.68</w:t>
            </w:r>
          </w:p>
        </w:tc>
        <w:tc>
          <w:tcPr>
            <w:tcW w:type="dxa" w:w="1008"/>
          </w:tcPr>
          <w:p>
            <w:r>
              <w:rPr>
                <w:rFonts w:ascii="Arial" w:hAnsi="Arial"/>
                <w:b/>
                <w:sz w:val="19"/>
              </w:rPr>
              <w:t>+15.108</w:t>
            </w:r>
          </w:p>
        </w:tc>
        <w:tc>
          <w:tcPr>
            <w:tcW w:type="dxa" w:w="1008"/>
          </w:tcPr>
          <w:p>
            <w:r>
              <w:rPr>
                <w:rFonts w:ascii="Arial" w:hAnsi="Arial"/>
                <w:b/>
                <w:sz w:val="19"/>
              </w:rPr>
              <w:t>+6.56</w:t>
            </w:r>
          </w:p>
        </w:tc>
        <w:tc>
          <w:tcPr>
            <w:tcW w:type="dxa" w:w="1008"/>
          </w:tcPr>
          <w:p>
            <w:r>
              <w:rPr>
                <w:rFonts w:ascii="Arial" w:hAnsi="Arial"/>
                <w:b/>
                <w:sz w:val="19"/>
              </w:rPr>
              <w:t>4 / 4</w:t>
            </w:r>
          </w:p>
        </w:tc>
        <w:tc>
          <w:tcPr>
            <w:tcW w:type="dxa" w:w="1008"/>
          </w:tcPr>
          <w:p>
            <w:r>
              <w:rPr>
                <w:rFonts w:ascii="Arial" w:hAnsi="Arial"/>
                <w:b/>
                <w:sz w:val="19"/>
              </w:rPr>
              <w:t>n/a</w:t>
            </w:r>
          </w:p>
        </w:tc>
      </w:tr>
      <w:tr>
        <w:tc>
          <w:tcPr>
            <w:tcW w:type="dxa" w:w="1008"/>
          </w:tcPr>
          <w:p>
            <w:r>
              <w:rPr>
                <w:rFonts w:ascii="Arial" w:hAnsi="Arial"/>
                <w:b/>
                <w:sz w:val="19"/>
              </w:rPr>
              <w:t>Range (paddy-dominant)</w:t>
            </w:r>
          </w:p>
        </w:tc>
        <w:tc>
          <w:tcPr>
            <w:tcW w:type="dxa" w:w="1008"/>
          </w:tcPr>
          <w:p>
            <w:r>
              <w:rPr>
                <w:rFonts w:ascii="Arial" w:hAnsi="Arial"/>
                <w:b/>
                <w:sz w:val="18"/>
              </w:rPr>
              <w:t>—</w:t>
            </w:r>
          </w:p>
        </w:tc>
        <w:tc>
          <w:tcPr>
            <w:tcW w:type="dxa" w:w="1008"/>
          </w:tcPr>
          <w:p>
            <w:r>
              <w:rPr>
                <w:rFonts w:ascii="Arial" w:hAnsi="Arial"/>
                <w:b/>
                <w:sz w:val="19"/>
              </w:rPr>
              <w:t>141.7 – 184.4</w:t>
            </w:r>
          </w:p>
        </w:tc>
        <w:tc>
          <w:tcPr>
            <w:tcW w:type="dxa" w:w="1008"/>
          </w:tcPr>
          <w:p>
            <w:r>
              <w:rPr>
                <w:rFonts w:ascii="Arial" w:hAnsi="Arial"/>
                <w:b/>
                <w:sz w:val="19"/>
              </w:rPr>
              <w:t>175.1 – 198.3</w:t>
            </w:r>
          </w:p>
        </w:tc>
        <w:tc>
          <w:tcPr>
            <w:tcW w:type="dxa" w:w="1008"/>
          </w:tcPr>
          <w:p>
            <w:r>
              <w:rPr>
                <w:rFonts w:ascii="Arial" w:hAnsi="Arial"/>
                <w:b/>
                <w:sz w:val="19"/>
              </w:rPr>
              <w:t>+7.00 – +37.60</w:t>
            </w:r>
          </w:p>
        </w:tc>
        <w:tc>
          <w:tcPr>
            <w:tcW w:type="dxa" w:w="1008"/>
          </w:tcPr>
          <w:p>
            <w:r>
              <w:rPr>
                <w:rFonts w:ascii="Arial" w:hAnsi="Arial"/>
                <w:b/>
                <w:sz w:val="18"/>
              </w:rPr>
              <w:t>+15.108</w:t>
            </w:r>
          </w:p>
        </w:tc>
        <w:tc>
          <w:tcPr>
            <w:tcW w:type="dxa" w:w="1008"/>
          </w:tcPr>
          <w:p>
            <w:r>
              <w:rPr>
                <w:rFonts w:ascii="Arial" w:hAnsi="Arial"/>
                <w:b/>
                <w:sz w:val="19"/>
              </w:rPr>
              <w:t>-8.11 – +22.49</w:t>
            </w:r>
          </w:p>
        </w:tc>
        <w:tc>
          <w:tcPr>
            <w:tcW w:type="dxa" w:w="1008"/>
          </w:tcPr>
          <w:p>
            <w:r>
              <w:rPr>
                <w:rFonts w:ascii="Arial" w:hAnsi="Arial"/>
                <w:b/>
                <w:sz w:val="18"/>
              </w:rPr>
              <w:t>—</w:t>
            </w:r>
          </w:p>
        </w:tc>
        <w:tc>
          <w:tcPr>
            <w:tcW w:type="dxa" w:w="10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r̄ = +6.56 d (range [−8.11, +22.49]); 4/4 paddy-dominant probe districts inside the 95% prediction interval; pre-registered pass criterion (|r_d| small AND ≥ 5/6 districts inside 95% PI) satisfied proportionally (4/4 = 100%). Source: analysis/15_bulbul_residuals_v21.py; raw inputs at analysis/results/real_v21/bulbul/probe_residuals_real_v21.csv.</w:t>
      </w:r>
    </w:p>
    <w:p>
      <w:r>
        <w:rPr>
          <w:rFonts w:ascii="Arial" w:hAnsi="Arial"/>
          <w:sz w:val="20"/>
        </w:rPr>
        <w:br w:type="page"/>
      </w:r>
    </w:p>
    <w:p>
      <w:pPr>
        <w:keepNext/>
        <w:spacing w:before="240" w:after="120"/>
      </w:pPr>
      <w:bookmarkStart w:id="80232" w:name="table_s4"/>
      <w:r>
        <w:rPr>
          <w:rFonts w:ascii="Arial" w:hAnsi="Arial"/>
          <w:b/>
          <w:color w:val="1F3A5F"/>
          <w:sz w:val="32"/>
        </w:rPr>
        <w:t>Table S4 — Wild-cluster bootstrap (G = 8)</w:t>
      </w:r>
      <w:bookmarkEnd w:id="8023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RSEPlainGrid"/>
        <w:tblW w:type="dxa" w:w="9072"/>
        <w:tblLook w:val="0420" w:firstRow="1" w:lastRow="0" w:firstColumn="0" w:lastColumn="0" w:noHBand="1" w:noVBand="1"/>
        <w:tblLayout w:type="autofit"/>
      </w:tblPr>
      <w:tblGrid>
        <w:gridCol w:w="1134"/>
        <w:gridCol w:w="1134"/>
        <w:gridCol w:w="1134"/>
        <w:gridCol w:w="1134"/>
        <w:gridCol w:w="1134"/>
        <w:gridCol w:w="1134"/>
        <w:gridCol w:w="1134"/>
        <w:gridCol w:w="1134"/>
      </w:tblGrid>
      <w:tr>
        <w:tc>
          <w:tcPr>
            <w:tcW w:type="dxa" w:w="1134"/>
          </w:tcPr>
          <w:p>
            <w:r>
              <w:rPr>
                <w:rFonts w:ascii="Arial" w:hAnsi="Arial"/>
                <w:b/>
                <w:sz w:val="20"/>
              </w:rPr>
              <w:t>Pipeline</w:t>
            </w:r>
          </w:p>
        </w:tc>
        <w:tc>
          <w:tcPr>
            <w:tcW w:type="dxa" w:w="1134"/>
          </w:tcPr>
          <w:p>
            <w:r>
              <w:rPr>
                <w:rFonts w:ascii="Arial" w:hAnsi="Arial"/>
                <w:b/>
                <w:sz w:val="20"/>
              </w:rPr>
              <w:t>Metric</w:t>
            </w:r>
          </w:p>
        </w:tc>
        <w:tc>
          <w:tcPr>
            <w:tcW w:type="dxa" w:w="1134"/>
          </w:tcPr>
          <w:p>
            <w:r>
              <w:rPr>
                <w:rFonts w:ascii="Arial" w:hAnsi="Arial"/>
                <w:b/>
                <w:sz w:val="20"/>
              </w:rPr>
              <w:t>τ (d)</w:t>
            </w:r>
          </w:p>
        </w:tc>
        <w:tc>
          <w:tcPr>
            <w:tcW w:type="dxa" w:w="1134"/>
          </w:tcPr>
          <w:p>
            <w:r>
              <w:rPr>
                <w:rFonts w:ascii="Arial" w:hAnsi="Arial"/>
                <w:b/>
                <w:sz w:val="20"/>
              </w:rPr>
              <w:t>t (CR1)</w:t>
            </w:r>
          </w:p>
        </w:tc>
        <w:tc>
          <w:tcPr>
            <w:tcW w:type="dxa" w:w="1134"/>
          </w:tcPr>
          <w:p>
            <w:r>
              <w:rPr>
                <w:rFonts w:ascii="Arial" w:hAnsi="Arial"/>
                <w:b/>
                <w:sz w:val="20"/>
              </w:rPr>
              <w:t>B</w:t>
            </w:r>
          </w:p>
        </w:tc>
        <w:tc>
          <w:tcPr>
            <w:tcW w:type="dxa" w:w="1134"/>
          </w:tcPr>
          <w:p>
            <w:r>
              <w:rPr>
                <w:rFonts w:ascii="Arial" w:hAnsi="Arial"/>
                <w:b/>
                <w:sz w:val="20"/>
              </w:rPr>
              <w:t>p (WCR)</w:t>
            </w:r>
          </w:p>
        </w:tc>
        <w:tc>
          <w:tcPr>
            <w:tcW w:type="dxa" w:w="1134"/>
          </w:tcPr>
          <w:p>
            <w:r>
              <w:rPr>
                <w:rFonts w:ascii="Arial" w:hAnsi="Arial"/>
                <w:b/>
                <w:sz w:val="20"/>
              </w:rPr>
              <w:t>CI₂.₅ (WCR)</w:t>
            </w:r>
          </w:p>
        </w:tc>
        <w:tc>
          <w:tcPr>
            <w:tcW w:type="dxa" w:w="1134"/>
          </w:tcPr>
          <w:p>
            <w:r>
              <w:rPr>
                <w:rFonts w:ascii="Arial" w:hAnsi="Arial"/>
                <w:b/>
                <w:sz w:val="20"/>
              </w:rPr>
              <w:t>CI₉₇.₅ (WCR)</w:t>
            </w:r>
          </w:p>
        </w:tc>
      </w:tr>
      <w:tr>
        <w:tc>
          <w:tcPr>
            <w:tcW w:type="dxa" w:w="1134"/>
          </w:tcPr>
          <w:p>
            <w:r>
              <w:rPr>
                <w:rFonts w:ascii="Arial" w:hAnsi="Arial"/>
                <w:sz w:val="20"/>
              </w:rPr>
              <w:t>raw</w:t>
            </w:r>
          </w:p>
        </w:tc>
        <w:tc>
          <w:tcPr>
            <w:tcW w:type="dxa" w:w="1134"/>
          </w:tcPr>
          <w:p>
            <w:r>
              <w:rPr>
                <w:rFonts w:ascii="Arial" w:hAnsi="Arial"/>
                <w:sz w:val="20"/>
              </w:rPr>
              <w:t>SOS</w:t>
            </w:r>
          </w:p>
        </w:tc>
        <w:tc>
          <w:tcPr>
            <w:tcW w:type="dxa" w:w="1134"/>
          </w:tcPr>
          <w:p>
            <w:r>
              <w:rPr>
                <w:rFonts w:ascii="Arial" w:hAnsi="Arial"/>
                <w:sz w:val="20"/>
              </w:rPr>
              <w:t>+15.289</w:t>
            </w:r>
          </w:p>
        </w:tc>
        <w:tc>
          <w:tcPr>
            <w:tcW w:type="dxa" w:w="1134"/>
          </w:tcPr>
          <w:p>
            <w:r>
              <w:rPr>
                <w:rFonts w:ascii="Arial" w:hAnsi="Arial"/>
                <w:sz w:val="20"/>
              </w:rPr>
              <w:t>0.882</w:t>
            </w:r>
          </w:p>
        </w:tc>
        <w:tc>
          <w:tcPr>
            <w:tcW w:type="dxa" w:w="1134"/>
          </w:tcPr>
          <w:p>
            <w:r>
              <w:rPr>
                <w:rFonts w:ascii="Arial" w:hAnsi="Arial"/>
                <w:sz w:val="20"/>
              </w:rPr>
              <w:t>9999</w:t>
            </w:r>
          </w:p>
        </w:tc>
        <w:tc>
          <w:tcPr>
            <w:tcW w:type="dxa" w:w="1134"/>
          </w:tcPr>
          <w:p>
            <w:r>
              <w:rPr>
                <w:rFonts w:ascii="Arial" w:hAnsi="Arial"/>
                <w:sz w:val="20"/>
              </w:rPr>
              <w:t>0.4000</w:t>
            </w:r>
          </w:p>
        </w:tc>
        <w:tc>
          <w:tcPr>
            <w:tcW w:type="dxa" w:w="1134"/>
          </w:tcPr>
          <w:p>
            <w:r>
              <w:rPr>
                <w:rFonts w:ascii="Arial" w:hAnsi="Arial"/>
                <w:sz w:val="20"/>
              </w:rPr>
              <w:t>-54.021</w:t>
            </w:r>
          </w:p>
        </w:tc>
        <w:tc>
          <w:tcPr>
            <w:tcW w:type="dxa" w:w="1134"/>
          </w:tcPr>
          <w:p>
            <w:r>
              <w:rPr>
                <w:rFonts w:ascii="Arial" w:hAnsi="Arial"/>
                <w:sz w:val="20"/>
              </w:rPr>
              <w:t>84.599</w:t>
            </w:r>
          </w:p>
        </w:tc>
      </w:tr>
      <w:tr>
        <w:tc>
          <w:tcPr>
            <w:tcW w:type="dxa" w:w="1134"/>
          </w:tcPr>
          <w:p>
            <w:r>
              <w:rPr>
                <w:rFonts w:ascii="Arial" w:hAnsi="Arial"/>
                <w:sz w:val="20"/>
              </w:rPr>
              <w:t>raw</w:t>
            </w:r>
          </w:p>
        </w:tc>
        <w:tc>
          <w:tcPr>
            <w:tcW w:type="dxa" w:w="1134"/>
          </w:tcPr>
          <w:p>
            <w:r>
              <w:rPr>
                <w:rFonts w:ascii="Arial" w:hAnsi="Arial"/>
                <w:sz w:val="20"/>
              </w:rPr>
              <w:t>POS</w:t>
            </w:r>
          </w:p>
        </w:tc>
        <w:tc>
          <w:tcPr>
            <w:tcW w:type="dxa" w:w="1134"/>
          </w:tcPr>
          <w:p>
            <w:r>
              <w:rPr>
                <w:rFonts w:ascii="Arial" w:hAnsi="Arial"/>
                <w:sz w:val="20"/>
              </w:rPr>
              <w:t>-3.587</w:t>
            </w:r>
          </w:p>
        </w:tc>
        <w:tc>
          <w:tcPr>
            <w:tcW w:type="dxa" w:w="1134"/>
          </w:tcPr>
          <w:p>
            <w:r>
              <w:rPr>
                <w:rFonts w:ascii="Arial" w:hAnsi="Arial"/>
                <w:sz w:val="20"/>
              </w:rPr>
              <w:t>-1.245</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-15.114</w:t>
            </w:r>
          </w:p>
        </w:tc>
        <w:tc>
          <w:tcPr>
            <w:tcW w:type="dxa" w:w="1134"/>
          </w:tcPr>
          <w:p>
            <w:r>
              <w:rPr>
                <w:rFonts w:ascii="Arial" w:hAnsi="Arial"/>
                <w:sz w:val="20"/>
              </w:rPr>
              <w:t>7.941</w:t>
            </w:r>
          </w:p>
        </w:tc>
      </w:tr>
      <w:tr>
        <w:tc>
          <w:tcPr>
            <w:tcW w:type="dxa" w:w="1134"/>
          </w:tcPr>
          <w:p>
            <w:r>
              <w:rPr>
                <w:rFonts w:ascii="Arial" w:hAnsi="Arial"/>
                <w:sz w:val="20"/>
              </w:rPr>
              <w:t>raw</w:t>
            </w:r>
          </w:p>
        </w:tc>
        <w:tc>
          <w:tcPr>
            <w:tcW w:type="dxa" w:w="1134"/>
          </w:tcPr>
          <w:p>
            <w:r>
              <w:rPr>
                <w:rFonts w:ascii="Arial" w:hAnsi="Arial"/>
                <w:sz w:val="20"/>
              </w:rPr>
              <w:t>EOS</w:t>
            </w:r>
          </w:p>
        </w:tc>
        <w:tc>
          <w:tcPr>
            <w:tcW w:type="dxa" w:w="1134"/>
          </w:tcPr>
          <w:p>
            <w:r>
              <w:rPr>
                <w:rFonts w:ascii="Arial" w:hAnsi="Arial"/>
                <w:sz w:val="20"/>
              </w:rPr>
              <w:t>+0.000</w:t>
            </w:r>
          </w:p>
        </w:tc>
        <w:tc>
          <w:tcPr>
            <w:tcW w:type="dxa" w:w="1134"/>
          </w:tcPr>
          <w:p>
            <w:r>
              <w:rPr>
                <w:rFonts w:ascii="Arial" w:hAnsi="Arial"/>
                <w:sz w:val="20"/>
              </w:rPr>
              <w:t>1.029</w:t>
            </w:r>
          </w:p>
        </w:tc>
        <w:tc>
          <w:tcPr>
            <w:tcW w:type="dxa" w:w="1134"/>
          </w:tcPr>
          <w:p>
            <w:r>
              <w:rPr>
                <w:rFonts w:ascii="Arial" w:hAnsi="Arial"/>
                <w:sz w:val="20"/>
              </w:rPr>
              <w:t>9999</w:t>
            </w:r>
          </w:p>
        </w:tc>
        <w:tc>
          <w:tcPr>
            <w:tcW w:type="dxa" w:w="1134"/>
          </w:tcPr>
          <w:p>
            <w:r>
              <w:rPr>
                <w:rFonts w:ascii="Arial" w:hAnsi="Arial"/>
                <w:sz w:val="20"/>
              </w:rPr>
              <w:t>0.2047</w:t>
            </w:r>
          </w:p>
        </w:tc>
        <w:tc>
          <w:tcPr>
            <w:tcW w:type="dxa" w:w="1134"/>
          </w:tcPr>
          <w:p>
            <w:r>
              <w:rPr>
                <w:rFonts w:ascii="Arial" w:hAnsi="Arial"/>
                <w:sz w:val="20"/>
              </w:rPr>
              <w:t>-0.000</w:t>
            </w:r>
          </w:p>
        </w:tc>
        <w:tc>
          <w:tcPr>
            <w:tcW w:type="dxa" w:w="1134"/>
          </w:tcPr>
          <w:p>
            <w:r>
              <w:rPr>
                <w:rFonts w:ascii="Arial" w:hAnsi="Arial"/>
                <w:sz w:val="20"/>
              </w:rPr>
              <w:t>0.000</w:t>
            </w:r>
          </w:p>
        </w:tc>
      </w:tr>
      <w:tr>
        <w:tc>
          <w:tcPr>
            <w:tcW w:type="dxa" w:w="1134"/>
          </w:tcPr>
          <w:p>
            <w:r>
              <w:rPr>
                <w:rFonts w:ascii="Arial" w:hAnsi="Arial"/>
                <w:sz w:val="20"/>
              </w:rPr>
              <w:t>corrected</w:t>
            </w:r>
          </w:p>
        </w:tc>
        <w:tc>
          <w:tcPr>
            <w:tcW w:type="dxa" w:w="1134"/>
          </w:tcPr>
          <w:p>
            <w:r>
              <w:rPr>
                <w:rFonts w:ascii="Arial" w:hAnsi="Arial"/>
                <w:sz w:val="20"/>
              </w:rPr>
              <w:t>SOS</w:t>
            </w:r>
          </w:p>
        </w:tc>
        <w:tc>
          <w:tcPr>
            <w:tcW w:type="dxa" w:w="1134"/>
          </w:tcPr>
          <w:p>
            <w:r>
              <w:rPr>
                <w:rFonts w:ascii="Arial" w:hAnsi="Arial"/>
                <w:sz w:val="20"/>
              </w:rPr>
              <w:t>+15.108</w:t>
            </w:r>
          </w:p>
        </w:tc>
        <w:tc>
          <w:tcPr>
            <w:tcW w:type="dxa" w:w="1134"/>
          </w:tcPr>
          <w:p>
            <w:r>
              <w:rPr>
                <w:rFonts w:ascii="Arial" w:hAnsi="Arial"/>
                <w:sz w:val="20"/>
              </w:rPr>
              <w:t>0.873</w:t>
            </w:r>
          </w:p>
        </w:tc>
        <w:tc>
          <w:tcPr>
            <w:tcW w:type="dxa" w:w="1134"/>
          </w:tcPr>
          <w:p>
            <w:r>
              <w:rPr>
                <w:rFonts w:ascii="Arial" w:hAnsi="Arial"/>
                <w:sz w:val="20"/>
              </w:rPr>
              <w:t>9999</w:t>
            </w:r>
          </w:p>
        </w:tc>
        <w:tc>
          <w:tcPr>
            <w:tcW w:type="dxa" w:w="1134"/>
          </w:tcPr>
          <w:p>
            <w:r>
              <w:rPr>
                <w:rFonts w:ascii="Arial" w:hAnsi="Arial"/>
                <w:sz w:val="20"/>
              </w:rPr>
              <w:t>0.4065</w:t>
            </w:r>
          </w:p>
        </w:tc>
        <w:tc>
          <w:tcPr>
            <w:tcW w:type="dxa" w:w="1134"/>
          </w:tcPr>
          <w:p>
            <w:r>
              <w:rPr>
                <w:rFonts w:ascii="Arial" w:hAnsi="Arial"/>
                <w:sz w:val="20"/>
              </w:rPr>
              <w:t>-54.139</w:t>
            </w:r>
          </w:p>
        </w:tc>
        <w:tc>
          <w:tcPr>
            <w:tcW w:type="dxa" w:w="1134"/>
          </w:tcPr>
          <w:p>
            <w:r>
              <w:rPr>
                <w:rFonts w:ascii="Arial" w:hAnsi="Arial"/>
                <w:sz w:val="20"/>
              </w:rPr>
              <w:t>84.355</w:t>
            </w:r>
          </w:p>
        </w:tc>
      </w:tr>
      <w:tr>
        <w:tc>
          <w:tcPr>
            <w:tcW w:type="dxa" w:w="1134"/>
          </w:tcPr>
          <w:p>
            <w:r>
              <w:rPr>
                <w:rFonts w:ascii="Arial" w:hAnsi="Arial"/>
                <w:sz w:val="20"/>
              </w:rPr>
              <w:t>corrected</w:t>
            </w:r>
          </w:p>
        </w:tc>
        <w:tc>
          <w:tcPr>
            <w:tcW w:type="dxa" w:w="1134"/>
          </w:tcPr>
          <w:p>
            <w:r>
              <w:rPr>
                <w:rFonts w:ascii="Arial" w:hAnsi="Arial"/>
                <w:sz w:val="20"/>
              </w:rPr>
              <w:t>POS</w:t>
            </w:r>
          </w:p>
        </w:tc>
        <w:tc>
          <w:tcPr>
            <w:tcW w:type="dxa" w:w="1134"/>
          </w:tcPr>
          <w:p>
            <w:r>
              <w:rPr>
                <w:rFonts w:ascii="Arial" w:hAnsi="Arial"/>
                <w:sz w:val="20"/>
              </w:rPr>
              <w:t>-3.677</w:t>
            </w:r>
          </w:p>
        </w:tc>
        <w:tc>
          <w:tcPr>
            <w:tcW w:type="dxa" w:w="1134"/>
          </w:tcPr>
          <w:p>
            <w:r>
              <w:rPr>
                <w:rFonts w:ascii="Arial" w:hAnsi="Arial"/>
                <w:sz w:val="20"/>
              </w:rPr>
              <w:t>-1.269</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-15.266</w:t>
            </w:r>
          </w:p>
        </w:tc>
        <w:tc>
          <w:tcPr>
            <w:tcW w:type="dxa" w:w="1134"/>
          </w:tcPr>
          <w:p>
            <w:r>
              <w:rPr>
                <w:rFonts w:ascii="Arial" w:hAnsi="Arial"/>
                <w:sz w:val="20"/>
              </w:rPr>
              <w:t>7.913</w:t>
            </w:r>
          </w:p>
        </w:tc>
      </w:tr>
      <w:tr>
        <w:tc>
          <w:tcPr>
            <w:tcW w:type="dxa" w:w="1134"/>
          </w:tcPr>
          <w:p>
            <w:r>
              <w:rPr>
                <w:rFonts w:ascii="Arial" w:hAnsi="Arial"/>
                <w:sz w:val="20"/>
              </w:rPr>
              <w:t>corrected</w:t>
            </w:r>
          </w:p>
        </w:tc>
        <w:tc>
          <w:tcPr>
            <w:tcW w:type="dxa" w:w="1134"/>
          </w:tcPr>
          <w:p>
            <w:r>
              <w:rPr>
                <w:rFonts w:ascii="Arial" w:hAnsi="Arial"/>
                <w:sz w:val="20"/>
              </w:rPr>
              <w:t>EOS</w:t>
            </w:r>
          </w:p>
        </w:tc>
        <w:tc>
          <w:tcPr>
            <w:tcW w:type="dxa" w:w="1134"/>
          </w:tcPr>
          <w:p>
            <w:r>
              <w:rPr>
                <w:rFonts w:ascii="Arial" w:hAnsi="Arial"/>
                <w:sz w:val="20"/>
              </w:rPr>
              <w:t>-0.239</w:t>
            </w:r>
          </w:p>
        </w:tc>
        <w:tc>
          <w:tcPr>
            <w:tcW w:type="dxa" w:w="1134"/>
          </w:tcPr>
          <w:p>
            <w:r>
              <w:rPr>
                <w:rFonts w:ascii="Arial" w:hAnsi="Arial"/>
                <w:sz w:val="20"/>
              </w:rPr>
              <w:t>-1.411</w:t>
            </w:r>
          </w:p>
        </w:tc>
        <w:tc>
          <w:tcPr>
            <w:tcW w:type="dxa" w:w="1134"/>
          </w:tcPr>
          <w:p>
            <w:r>
              <w:rPr>
                <w:rFonts w:ascii="Arial" w:hAnsi="Arial"/>
                <w:sz w:val="20"/>
              </w:rPr>
              <w:t>9999</w:t>
            </w:r>
          </w:p>
        </w:tc>
        <w:tc>
          <w:tcPr>
            <w:tcW w:type="dxa" w:w="1134"/>
          </w:tcPr>
          <w:p>
            <w:r>
              <w:rPr>
                <w:rFonts w:ascii="Arial" w:hAnsi="Arial"/>
                <w:sz w:val="20"/>
              </w:rPr>
              <w:t>0.2035</w:t>
            </w:r>
          </w:p>
        </w:tc>
        <w:tc>
          <w:tcPr>
            <w:tcW w:type="dxa" w:w="1134"/>
          </w:tcPr>
          <w:p>
            <w:r>
              <w:rPr>
                <w:rFonts w:ascii="Arial" w:hAnsi="Arial"/>
                <w:sz w:val="20"/>
              </w:rPr>
              <w:t>-0.915</w:t>
            </w:r>
          </w:p>
        </w:tc>
        <w:tc>
          <w:tcPr>
            <w:tcW w:type="dxa" w:w="1134"/>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101" w:name="table_s5"/>
      <w:r>
        <w:rPr>
          <w:rFonts w:ascii="Arial" w:hAnsi="Arial"/>
          <w:b/>
          <w:color w:val="1F3A5F"/>
          <w:sz w:val="32"/>
        </w:rPr>
        <w:t>Table S5 — Jackknife leave-one-out</w:t>
      </w:r>
      <w:bookmarkEnd w:id="2510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RSEPlainGrid"/>
        <w:tblW w:type="dxa" w:w="9072"/>
        <w:tblLook w:val="0420" w:firstRow="1" w:lastRow="0" w:firstColumn="0" w:lastColumn="0" w:noHBand="1" w:noVBand="1"/>
        <w:tblLayout w:type="autofit"/>
      </w:tblPr>
      <w:tblGrid>
        <w:gridCol w:w="1512"/>
        <w:gridCol w:w="1512"/>
        <w:gridCol w:w="1512"/>
        <w:gridCol w:w="1512"/>
        <w:gridCol w:w="1512"/>
        <w:gridCol w:w="1512"/>
      </w:tblGrid>
      <w:tr>
        <w:tc>
          <w:tcPr>
            <w:tcW w:type="dxa" w:w="1512"/>
          </w:tcPr>
          <w:p>
            <w:r>
              <w:rPr>
                <w:rFonts w:ascii="Arial" w:hAnsi="Arial"/>
                <w:b/>
                <w:sz w:val="20"/>
              </w:rPr>
              <w:t>Pipeline</w:t>
            </w:r>
          </w:p>
        </w:tc>
        <w:tc>
          <w:tcPr>
            <w:tcW w:type="dxa" w:w="1512"/>
          </w:tcPr>
          <w:p>
            <w:r>
              <w:rPr>
                <w:rFonts w:ascii="Arial" w:hAnsi="Arial"/>
                <w:b/>
                <w:sz w:val="20"/>
              </w:rPr>
              <w:t>Metric</w:t>
            </w:r>
          </w:p>
        </w:tc>
        <w:tc>
          <w:tcPr>
            <w:tcW w:type="dxa" w:w="1512"/>
          </w:tcPr>
          <w:p>
            <w:r>
              <w:rPr>
                <w:rFonts w:ascii="Arial" w:hAnsi="Arial"/>
                <w:b/>
                <w:sz w:val="20"/>
              </w:rPr>
              <w:t>τ̂ full (d)</w:t>
            </w:r>
          </w:p>
        </w:tc>
        <w:tc>
          <w:tcPr>
            <w:tcW w:type="dxa" w:w="1512"/>
          </w:tcPr>
          <w:p>
            <w:r>
              <w:rPr>
                <w:rFonts w:ascii="Arial" w:hAnsi="Arial"/>
                <w:b/>
                <w:sz w:val="20"/>
              </w:rPr>
              <w:t>max |Δτ| (%)</w:t>
            </w:r>
          </w:p>
        </w:tc>
        <w:tc>
          <w:tcPr>
            <w:tcW w:type="dxa" w:w="1512"/>
          </w:tcPr>
          <w:p>
            <w:r>
              <w:rPr>
                <w:rFonts w:ascii="Arial" w:hAnsi="Arial"/>
                <w:b/>
                <w:sz w:val="20"/>
              </w:rPr>
              <w:t>Driver district</w:t>
            </w:r>
          </w:p>
        </w:tc>
        <w:tc>
          <w:tcPr>
            <w:tcW w:type="dxa" w:w="1512"/>
          </w:tcPr>
          <w:p>
            <w:r>
              <w:rPr>
                <w:rFonts w:ascii="Arial" w:hAnsi="Arial"/>
                <w:b/>
                <w:sz w:val="20"/>
              </w:rPr>
              <w:t>Verdict</w:t>
            </w:r>
          </w:p>
        </w:tc>
      </w:tr>
      <w:tr>
        <w:tc>
          <w:tcPr>
            <w:tcW w:type="dxa" w:w="1512"/>
          </w:tcPr>
          <w:p>
            <w:r>
              <w:rPr>
                <w:rFonts w:ascii="Arial" w:hAnsi="Arial"/>
                <w:sz w:val="20"/>
              </w:rPr>
              <w:t>raw</w:t>
            </w:r>
          </w:p>
        </w:tc>
        <w:tc>
          <w:tcPr>
            <w:tcW w:type="dxa" w:w="1512"/>
          </w:tcPr>
          <w:p>
            <w:r>
              <w:rPr>
                <w:rFonts w:ascii="Arial" w:hAnsi="Arial"/>
                <w:sz w:val="20"/>
              </w:rPr>
              <w:t>SOS</w:t>
            </w:r>
          </w:p>
        </w:tc>
        <w:tc>
          <w:tcPr>
            <w:tcW w:type="dxa" w:w="1512"/>
          </w:tcPr>
          <w:p>
            <w:r>
              <w:rPr>
                <w:rFonts w:ascii="Arial" w:hAnsi="Arial"/>
                <w:sz w:val="20"/>
              </w:rPr>
              <w:t>+15.289</w:t>
            </w:r>
          </w:p>
        </w:tc>
        <w:tc>
          <w:tcPr>
            <w:tcW w:type="dxa" w:w="1512"/>
          </w:tcPr>
          <w:p>
            <w:r>
              <w:rPr>
                <w:rFonts w:ascii="Arial" w:hAnsi="Arial"/>
                <w:sz w:val="20"/>
              </w:rPr>
              <w:t>76.1</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POS</w:t>
            </w:r>
          </w:p>
        </w:tc>
        <w:tc>
          <w:tcPr>
            <w:tcW w:type="dxa" w:w="1512"/>
          </w:tcPr>
          <w:p>
            <w:r>
              <w:rPr>
                <w:rFonts w:ascii="Arial" w:hAnsi="Arial"/>
                <w:sz w:val="20"/>
              </w:rPr>
              <w:t>-3.587</w:t>
            </w:r>
          </w:p>
        </w:tc>
        <w:tc>
          <w:tcPr>
            <w:tcW w:type="dxa" w:w="1512"/>
          </w:tcPr>
          <w:p>
            <w:r>
              <w:rPr>
                <w:rFonts w:ascii="Arial" w:hAnsi="Arial"/>
                <w:sz w:val="20"/>
              </w:rPr>
              <w:t>55.8</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EOS</w:t>
            </w:r>
          </w:p>
        </w:tc>
        <w:tc>
          <w:tcPr>
            <w:tcW w:type="dxa" w:w="1512"/>
          </w:tcPr>
          <w:p>
            <w:r>
              <w:rPr>
                <w:rFonts w:ascii="Arial" w:hAnsi="Arial"/>
                <w:sz w:val="20"/>
              </w:rPr>
              <w:t>-0.000</w:t>
            </w:r>
          </w:p>
        </w:tc>
        <w:tc>
          <w:tcPr>
            <w:tcW w:type="dxa" w:w="1512"/>
          </w:tcPr>
          <w:p>
            <w:r>
              <w:rPr>
                <w:rFonts w:ascii="Arial" w:hAnsi="Arial"/>
                <w:sz w:val="20"/>
              </w:rPr>
              <w:t>nan</w:t>
            </w:r>
          </w:p>
        </w:tc>
        <w:tc>
          <w:tcPr>
            <w:tcW w:type="dxa" w:w="1512"/>
          </w:tcPr>
          <w:p>
            <w:r>
              <w:rPr>
                <w:rFonts w:ascii="Arial" w:hAnsi="Arial"/>
                <w:sz w:val="20"/>
              </w:rPr>
              <w:t>Angul</w:t>
            </w:r>
          </w:p>
        </w:tc>
        <w:tc>
          <w:tcPr>
            <w:tcW w:type="dxa" w:w="1512"/>
          </w:tcPr>
          <w:p>
            <w:r>
              <w:rPr>
                <w:rFonts w:ascii="Arial" w:hAnsi="Arial"/>
                <w:sz w:val="20"/>
              </w:rPr>
              <w:t>fragile</w:t>
            </w:r>
          </w:p>
        </w:tc>
      </w:tr>
      <w:tr>
        <w:tc>
          <w:tcPr>
            <w:tcW w:type="dxa" w:w="1512"/>
          </w:tcPr>
          <w:p>
            <w:r>
              <w:rPr>
                <w:rFonts w:ascii="Arial" w:hAnsi="Arial"/>
                <w:sz w:val="20"/>
              </w:rPr>
              <w:t>corrected</w:t>
            </w:r>
          </w:p>
        </w:tc>
        <w:tc>
          <w:tcPr>
            <w:tcW w:type="dxa" w:w="1512"/>
          </w:tcPr>
          <w:p>
            <w:r>
              <w:rPr>
                <w:rFonts w:ascii="Arial" w:hAnsi="Arial"/>
                <w:sz w:val="20"/>
              </w:rPr>
              <w:t>SOS</w:t>
            </w:r>
          </w:p>
        </w:tc>
        <w:tc>
          <w:tcPr>
            <w:tcW w:type="dxa" w:w="1512"/>
          </w:tcPr>
          <w:p>
            <w:r>
              <w:rPr>
                <w:rFonts w:ascii="Arial" w:hAnsi="Arial"/>
                <w:sz w:val="20"/>
              </w:rPr>
              <w:t>+15.108</w:t>
            </w:r>
          </w:p>
        </w:tc>
        <w:tc>
          <w:tcPr>
            <w:tcW w:type="dxa" w:w="1512"/>
          </w:tcPr>
          <w:p>
            <w:r>
              <w:rPr>
                <w:rFonts w:ascii="Arial" w:hAnsi="Arial"/>
                <w:sz w:val="20"/>
              </w:rPr>
              <w:t>76.7</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POS</w:t>
            </w:r>
          </w:p>
        </w:tc>
        <w:tc>
          <w:tcPr>
            <w:tcW w:type="dxa" w:w="1512"/>
          </w:tcPr>
          <w:p>
            <w:r>
              <w:rPr>
                <w:rFonts w:ascii="Arial" w:hAnsi="Arial"/>
                <w:sz w:val="20"/>
              </w:rPr>
              <w:t>-3.677</w:t>
            </w:r>
          </w:p>
        </w:tc>
        <w:tc>
          <w:tcPr>
            <w:tcW w:type="dxa" w:w="1512"/>
          </w:tcPr>
          <w:p>
            <w:r>
              <w:rPr>
                <w:rFonts w:ascii="Arial" w:hAnsi="Arial"/>
                <w:sz w:val="20"/>
              </w:rPr>
              <w:t>54.7</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EOS</w:t>
            </w:r>
          </w:p>
        </w:tc>
        <w:tc>
          <w:tcPr>
            <w:tcW w:type="dxa" w:w="1512"/>
          </w:tcPr>
          <w:p>
            <w:r>
              <w:rPr>
                <w:rFonts w:ascii="Arial" w:hAnsi="Arial"/>
                <w:sz w:val="20"/>
              </w:rPr>
              <w:t>-0.239</w:t>
            </w:r>
          </w:p>
        </w:tc>
        <w:tc>
          <w:tcPr>
            <w:tcW w:type="dxa" w:w="1512"/>
          </w:tcPr>
          <w:p>
            <w:r>
              <w:rPr>
                <w:rFonts w:ascii="Arial" w:hAnsi="Arial"/>
                <w:sz w:val="20"/>
              </w:rPr>
              <w:t>60.2</w:t>
            </w:r>
          </w:p>
        </w:tc>
        <w:tc>
          <w:tcPr>
            <w:tcW w:type="dxa" w:w="1512"/>
          </w:tcPr>
          <w:p>
            <w:r>
              <w:rPr>
                <w:rFonts w:ascii="Arial" w:hAnsi="Arial"/>
                <w:sz w:val="20"/>
              </w:rPr>
              <w:t>Bhadrak</w:t>
            </w:r>
          </w:p>
        </w:tc>
        <w:tc>
          <w:tcPr>
            <w:tcW w:type="dxa" w:w="1512"/>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RSEPlainGrid"/>
        <w:tblW w:type="dxa" w:w="9072"/>
        <w:tblLook w:val="0420" w:firstRow="1" w:lastRow="0" w:firstColumn="0" w:lastColumn="0" w:noHBand="1" w:noVBand="1"/>
        <w:tblLayout w:type="fixed"/>
      </w:tblPr>
      <w:tblGrid>
        <w:gridCol w:w="1224"/>
        <w:gridCol w:w="792"/>
        <w:gridCol w:w="1368"/>
        <w:gridCol w:w="1007"/>
        <w:gridCol w:w="792"/>
        <w:gridCol w:w="720"/>
        <w:gridCol w:w="648"/>
        <w:gridCol w:w="864"/>
        <w:gridCol w:w="864"/>
        <w:gridCol w:w="792"/>
      </w:tblGrid>
      <w:tr>
        <w:trPr>
          <w:tblHeader/>
        </w:trPr>
        <w:tc>
          <w:tcPr>
            <w:tcW w:type="dxa" w:w="1224"/>
          </w:tcPr>
          <w:p>
            <w:r>
              <w:rPr>
                <w:rFonts w:ascii="Arial" w:hAnsi="Arial"/>
                <w:b/>
                <w:sz w:val="18"/>
              </w:rPr>
              <w:t>Pipeline</w:t>
            </w:r>
          </w:p>
        </w:tc>
        <w:tc>
          <w:tcPr>
            <w:tcW w:type="dxa" w:w="792"/>
          </w:tcPr>
          <w:p>
            <w:r>
              <w:rPr>
                <w:rFonts w:ascii="Arial" w:hAnsi="Arial"/>
                <w:b/>
                <w:sz w:val="18"/>
              </w:rPr>
              <w:t>Metric</w:t>
            </w:r>
          </w:p>
        </w:tc>
        <w:tc>
          <w:tcPr>
            <w:tcW w:type="dxa" w:w="1368"/>
          </w:tcPr>
          <w:p>
            <w:r>
              <w:rPr>
                <w:rFonts w:ascii="Arial" w:hAnsi="Arial"/>
                <w:b/>
                <w:sz w:val="18"/>
              </w:rPr>
              <w:t>Dropped</w:t>
            </w:r>
          </w:p>
        </w:tc>
        <w:tc>
          <w:tcPr>
            <w:tcW w:type="dxa" w:w="1007"/>
          </w:tcPr>
          <w:p>
            <w:r>
              <w:rPr>
                <w:rFonts w:ascii="Arial" w:hAnsi="Arial"/>
                <w:b/>
                <w:sz w:val="18"/>
              </w:rPr>
              <w:t>Exposure</w:t>
            </w:r>
          </w:p>
        </w:tc>
        <w:tc>
          <w:tcPr>
            <w:tcW w:type="dxa" w:w="792"/>
          </w:tcPr>
          <w:p>
            <w:r>
              <w:rPr>
                <w:rFonts w:ascii="Arial" w:hAnsi="Arial"/>
                <w:b/>
                <w:sz w:val="18"/>
              </w:rPr>
              <w:t>τ̂ LOO</w:t>
            </w:r>
          </w:p>
        </w:tc>
        <w:tc>
          <w:tcPr>
            <w:tcW w:type="dxa" w:w="720"/>
          </w:tcPr>
          <w:p>
            <w:r>
              <w:rPr>
                <w:rFonts w:ascii="Arial" w:hAnsi="Arial"/>
                <w:b/>
                <w:sz w:val="18"/>
              </w:rPr>
              <w:t>SE</w:t>
            </w:r>
          </w:p>
        </w:tc>
        <w:tc>
          <w:tcPr>
            <w:tcW w:type="dxa" w:w="648"/>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792"/>
          </w:tcPr>
          <w:p>
            <w:r>
              <w:rPr>
                <w:rFonts w:ascii="Arial" w:hAnsi="Arial"/>
                <w:b/>
                <w:sz w:val="18"/>
              </w:rPr>
              <w:t>Δ (%)</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+21.733</w:t>
            </w:r>
          </w:p>
        </w:tc>
        <w:tc>
          <w:tcPr>
            <w:tcW w:type="dxa" w:w="720"/>
          </w:tcPr>
          <w:p>
            <w:r>
              <w:rPr>
                <w:rFonts w:ascii="Arial" w:hAnsi="Arial"/>
                <w:sz w:val="18"/>
              </w:rPr>
              <w:t>16.548</w:t>
            </w:r>
          </w:p>
        </w:tc>
        <w:tc>
          <w:tcPr>
            <w:tcW w:type="dxa" w:w="648"/>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792"/>
          </w:tcPr>
          <w:p>
            <w:r>
              <w:rPr>
                <w:rFonts w:ascii="Arial" w:hAnsi="Arial"/>
                <w:sz w:val="18"/>
              </w:rPr>
              <w:t>42.200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+10.256</w:t>
            </w:r>
          </w:p>
        </w:tc>
        <w:tc>
          <w:tcPr>
            <w:tcW w:type="dxa" w:w="720"/>
          </w:tcPr>
          <w:p>
            <w:r>
              <w:rPr>
                <w:rFonts w:ascii="Arial" w:hAnsi="Arial"/>
                <w:sz w:val="18"/>
              </w:rPr>
              <w:t>20.342</w:t>
            </w:r>
          </w:p>
        </w:tc>
        <w:tc>
          <w:tcPr>
            <w:tcW w:type="dxa" w:w="648"/>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792"/>
          </w:tcPr>
          <w:p>
            <w:r>
              <w:rPr>
                <w:rFonts w:ascii="Arial" w:hAnsi="Arial"/>
                <w:sz w:val="18"/>
              </w:rPr>
              <w:t>-32.900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+3.656</w:t>
            </w:r>
          </w:p>
        </w:tc>
        <w:tc>
          <w:tcPr>
            <w:tcW w:type="dxa" w:w="720"/>
          </w:tcPr>
          <w:p>
            <w:r>
              <w:rPr>
                <w:rFonts w:ascii="Arial" w:hAnsi="Arial"/>
                <w:sz w:val="18"/>
              </w:rPr>
              <w:t>14.092</w:t>
            </w:r>
          </w:p>
        </w:tc>
        <w:tc>
          <w:tcPr>
            <w:tcW w:type="dxa" w:w="648"/>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792"/>
          </w:tcPr>
          <w:p>
            <w:r>
              <w:rPr>
                <w:rFonts w:ascii="Arial" w:hAnsi="Arial"/>
                <w:sz w:val="18"/>
              </w:rPr>
              <w:t>-76.100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+10.567</w:t>
            </w:r>
          </w:p>
        </w:tc>
        <w:tc>
          <w:tcPr>
            <w:tcW w:type="dxa" w:w="720"/>
          </w:tcPr>
          <w:p>
            <w:r>
              <w:rPr>
                <w:rFonts w:ascii="Arial" w:hAnsi="Arial"/>
                <w:sz w:val="18"/>
              </w:rPr>
              <w:t>17.860</w:t>
            </w:r>
          </w:p>
        </w:tc>
        <w:tc>
          <w:tcPr>
            <w:tcW w:type="dxa" w:w="648"/>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792"/>
          </w:tcPr>
          <w:p>
            <w:r>
              <w:rPr>
                <w:rFonts w:ascii="Arial" w:hAnsi="Arial"/>
                <w:sz w:val="18"/>
              </w:rPr>
              <w:t>-30.900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+13.567</w:t>
            </w:r>
          </w:p>
        </w:tc>
        <w:tc>
          <w:tcPr>
            <w:tcW w:type="dxa" w:w="720"/>
          </w:tcPr>
          <w:p>
            <w:r>
              <w:rPr>
                <w:rFonts w:ascii="Arial" w:hAnsi="Arial"/>
                <w:sz w:val="18"/>
              </w:rPr>
              <w:t>19.089</w:t>
            </w:r>
          </w:p>
        </w:tc>
        <w:tc>
          <w:tcPr>
            <w:tcW w:type="dxa" w:w="648"/>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792"/>
          </w:tcPr>
          <w:p>
            <w:r>
              <w:rPr>
                <w:rFonts w:ascii="Arial" w:hAnsi="Arial"/>
                <w:sz w:val="18"/>
              </w:rPr>
              <w:t>-11.300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+17.906</w:t>
            </w:r>
          </w:p>
        </w:tc>
        <w:tc>
          <w:tcPr>
            <w:tcW w:type="dxa" w:w="720"/>
          </w:tcPr>
          <w:p>
            <w:r>
              <w:rPr>
                <w:rFonts w:ascii="Arial" w:hAnsi="Arial"/>
                <w:sz w:val="18"/>
              </w:rPr>
              <w:t>21.212</w:t>
            </w:r>
          </w:p>
        </w:tc>
        <w:tc>
          <w:tcPr>
            <w:tcW w:type="dxa" w:w="648"/>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792"/>
          </w:tcPr>
          <w:p>
            <w:r>
              <w:rPr>
                <w:rFonts w:ascii="Arial" w:hAnsi="Arial"/>
                <w:sz w:val="18"/>
              </w:rPr>
              <w:t>17.100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+22.039</w:t>
            </w:r>
          </w:p>
        </w:tc>
        <w:tc>
          <w:tcPr>
            <w:tcW w:type="dxa" w:w="720"/>
          </w:tcPr>
          <w:p>
            <w:r>
              <w:rPr>
                <w:rFonts w:ascii="Arial" w:hAnsi="Arial"/>
                <w:sz w:val="18"/>
              </w:rPr>
              <w:t>19.344</w:t>
            </w:r>
          </w:p>
        </w:tc>
        <w:tc>
          <w:tcPr>
            <w:tcW w:type="dxa" w:w="648"/>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792"/>
          </w:tcPr>
          <w:p>
            <w:r>
              <w:rPr>
                <w:rFonts w:ascii="Arial" w:hAnsi="Arial"/>
                <w:sz w:val="18"/>
              </w:rPr>
              <w:t>44.100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+22.589</w:t>
            </w:r>
          </w:p>
        </w:tc>
        <w:tc>
          <w:tcPr>
            <w:tcW w:type="dxa" w:w="720"/>
          </w:tcPr>
          <w:p>
            <w:r>
              <w:rPr>
                <w:rFonts w:ascii="Arial" w:hAnsi="Arial"/>
                <w:sz w:val="18"/>
              </w:rPr>
              <w:t>18.950</w:t>
            </w:r>
          </w:p>
        </w:tc>
        <w:tc>
          <w:tcPr>
            <w:tcW w:type="dxa" w:w="648"/>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792"/>
          </w:tcPr>
          <w:p>
            <w:r>
              <w:rPr>
                <w:rFonts w:ascii="Arial" w:hAnsi="Arial"/>
                <w:sz w:val="18"/>
              </w:rPr>
              <w:t>47.700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-1.933</w:t>
            </w:r>
          </w:p>
        </w:tc>
        <w:tc>
          <w:tcPr>
            <w:tcW w:type="dxa" w:w="720"/>
          </w:tcPr>
          <w:p>
            <w:r>
              <w:rPr>
                <w:rFonts w:ascii="Arial" w:hAnsi="Arial"/>
                <w:sz w:val="18"/>
              </w:rPr>
              <w:t>2.418</w:t>
            </w:r>
          </w:p>
        </w:tc>
        <w:tc>
          <w:tcPr>
            <w:tcW w:type="dxa" w:w="648"/>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792"/>
          </w:tcPr>
          <w:p>
            <w:r>
              <w:rPr>
                <w:rFonts w:ascii="Arial" w:hAnsi="Arial"/>
                <w:sz w:val="18"/>
              </w:rPr>
              <w:t>46.100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-5.587</w:t>
            </w:r>
          </w:p>
        </w:tc>
        <w:tc>
          <w:tcPr>
            <w:tcW w:type="dxa" w:w="720"/>
          </w:tcPr>
          <w:p>
            <w:r>
              <w:rPr>
                <w:rFonts w:ascii="Arial" w:hAnsi="Arial"/>
                <w:sz w:val="18"/>
              </w:rPr>
              <w:t>2.119</w:t>
            </w:r>
          </w:p>
        </w:tc>
        <w:tc>
          <w:tcPr>
            <w:tcW w:type="dxa" w:w="648"/>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792"/>
          </w:tcPr>
          <w:p>
            <w:r>
              <w:rPr>
                <w:rFonts w:ascii="Arial" w:hAnsi="Arial"/>
                <w:sz w:val="18"/>
              </w:rPr>
              <w:t>-55.800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+21.563</w:t>
            </w:r>
          </w:p>
        </w:tc>
        <w:tc>
          <w:tcPr>
            <w:tcW w:type="dxa" w:w="720"/>
          </w:tcPr>
          <w:p>
            <w:r>
              <w:rPr>
                <w:rFonts w:ascii="Arial" w:hAnsi="Arial"/>
                <w:sz w:val="18"/>
              </w:rPr>
              <w:t>16.529</w:t>
            </w:r>
          </w:p>
        </w:tc>
        <w:tc>
          <w:tcPr>
            <w:tcW w:type="dxa" w:w="648"/>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792"/>
          </w:tcPr>
          <w:p>
            <w:r>
              <w:rPr>
                <w:rFonts w:ascii="Arial" w:hAnsi="Arial"/>
                <w:sz w:val="18"/>
              </w:rPr>
              <w:t>42.700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+10.035</w:t>
            </w:r>
          </w:p>
        </w:tc>
        <w:tc>
          <w:tcPr>
            <w:tcW w:type="dxa" w:w="720"/>
          </w:tcPr>
          <w:p>
            <w:r>
              <w:rPr>
                <w:rFonts w:ascii="Arial" w:hAnsi="Arial"/>
                <w:sz w:val="18"/>
              </w:rPr>
              <w:t>20.297</w:t>
            </w:r>
          </w:p>
        </w:tc>
        <w:tc>
          <w:tcPr>
            <w:tcW w:type="dxa" w:w="648"/>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792"/>
          </w:tcPr>
          <w:p>
            <w:r>
              <w:rPr>
                <w:rFonts w:ascii="Arial" w:hAnsi="Arial"/>
                <w:sz w:val="18"/>
              </w:rPr>
              <w:t>-33.600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+3.518</w:t>
            </w:r>
          </w:p>
        </w:tc>
        <w:tc>
          <w:tcPr>
            <w:tcW w:type="dxa" w:w="720"/>
          </w:tcPr>
          <w:p>
            <w:r>
              <w:rPr>
                <w:rFonts w:ascii="Arial" w:hAnsi="Arial"/>
                <w:sz w:val="18"/>
              </w:rPr>
              <w:t>14.126</w:t>
            </w:r>
          </w:p>
        </w:tc>
        <w:tc>
          <w:tcPr>
            <w:tcW w:type="dxa" w:w="648"/>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792"/>
          </w:tcPr>
          <w:p>
            <w:r>
              <w:rPr>
                <w:rFonts w:ascii="Arial" w:hAnsi="Arial"/>
                <w:sz w:val="18"/>
              </w:rPr>
              <w:t>-76.700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+10.366</w:t>
            </w:r>
          </w:p>
        </w:tc>
        <w:tc>
          <w:tcPr>
            <w:tcW w:type="dxa" w:w="720"/>
          </w:tcPr>
          <w:p>
            <w:r>
              <w:rPr>
                <w:rFonts w:ascii="Arial" w:hAnsi="Arial"/>
                <w:sz w:val="18"/>
              </w:rPr>
              <w:t>17.839</w:t>
            </w:r>
          </w:p>
        </w:tc>
        <w:tc>
          <w:tcPr>
            <w:tcW w:type="dxa" w:w="648"/>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792"/>
          </w:tcPr>
          <w:p>
            <w:r>
              <w:rPr>
                <w:rFonts w:ascii="Arial" w:hAnsi="Arial"/>
                <w:sz w:val="18"/>
              </w:rPr>
              <w:t>-31.400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+13.396</w:t>
            </w:r>
          </w:p>
        </w:tc>
        <w:tc>
          <w:tcPr>
            <w:tcW w:type="dxa" w:w="720"/>
          </w:tcPr>
          <w:p>
            <w:r>
              <w:rPr>
                <w:rFonts w:ascii="Arial" w:hAnsi="Arial"/>
                <w:sz w:val="18"/>
              </w:rPr>
              <w:t>19.082</w:t>
            </w:r>
          </w:p>
        </w:tc>
        <w:tc>
          <w:tcPr>
            <w:tcW w:type="dxa" w:w="648"/>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792"/>
          </w:tcPr>
          <w:p>
            <w:r>
              <w:rPr>
                <w:rFonts w:ascii="Arial" w:hAnsi="Arial"/>
                <w:sz w:val="18"/>
              </w:rPr>
              <w:t>-11.300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+17.739</w:t>
            </w:r>
          </w:p>
        </w:tc>
        <w:tc>
          <w:tcPr>
            <w:tcW w:type="dxa" w:w="720"/>
          </w:tcPr>
          <w:p>
            <w:r>
              <w:rPr>
                <w:rFonts w:ascii="Arial" w:hAnsi="Arial"/>
                <w:sz w:val="18"/>
              </w:rPr>
              <w:t>21.185</w:t>
            </w:r>
          </w:p>
        </w:tc>
        <w:tc>
          <w:tcPr>
            <w:tcW w:type="dxa" w:w="648"/>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792"/>
          </w:tcPr>
          <w:p>
            <w:r>
              <w:rPr>
                <w:rFonts w:ascii="Arial" w:hAnsi="Arial"/>
                <w:sz w:val="18"/>
              </w:rPr>
              <w:t>17.400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+21.857</w:t>
            </w:r>
          </w:p>
        </w:tc>
        <w:tc>
          <w:tcPr>
            <w:tcW w:type="dxa" w:w="720"/>
          </w:tcPr>
          <w:p>
            <w:r>
              <w:rPr>
                <w:rFonts w:ascii="Arial" w:hAnsi="Arial"/>
                <w:sz w:val="18"/>
              </w:rPr>
              <w:t>19.319</w:t>
            </w:r>
          </w:p>
        </w:tc>
        <w:tc>
          <w:tcPr>
            <w:tcW w:type="dxa" w:w="648"/>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792"/>
          </w:tcPr>
          <w:p>
            <w:r>
              <w:rPr>
                <w:rFonts w:ascii="Arial" w:hAnsi="Arial"/>
                <w:sz w:val="18"/>
              </w:rPr>
              <w:t>44.700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+22.392</w:t>
            </w:r>
          </w:p>
        </w:tc>
        <w:tc>
          <w:tcPr>
            <w:tcW w:type="dxa" w:w="720"/>
          </w:tcPr>
          <w:p>
            <w:r>
              <w:rPr>
                <w:rFonts w:ascii="Arial" w:hAnsi="Arial"/>
                <w:sz w:val="18"/>
              </w:rPr>
              <w:t>18.935</w:t>
            </w:r>
          </w:p>
        </w:tc>
        <w:tc>
          <w:tcPr>
            <w:tcW w:type="dxa" w:w="648"/>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792"/>
          </w:tcPr>
          <w:p>
            <w:r>
              <w:rPr>
                <w:rFonts w:ascii="Arial" w:hAnsi="Arial"/>
                <w:sz w:val="18"/>
              </w:rPr>
              <w:t>48.200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-3.593</w:t>
            </w:r>
          </w:p>
        </w:tc>
        <w:tc>
          <w:tcPr>
            <w:tcW w:type="dxa" w:w="720"/>
          </w:tcPr>
          <w:p>
            <w:r>
              <w:rPr>
                <w:rFonts w:ascii="Arial" w:hAnsi="Arial"/>
                <w:sz w:val="18"/>
              </w:rPr>
              <w:t>3.362</w:t>
            </w:r>
          </w:p>
        </w:tc>
        <w:tc>
          <w:tcPr>
            <w:tcW w:type="dxa" w:w="648"/>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-2.002</w:t>
            </w:r>
          </w:p>
        </w:tc>
        <w:tc>
          <w:tcPr>
            <w:tcW w:type="dxa" w:w="720"/>
          </w:tcPr>
          <w:p>
            <w:r>
              <w:rPr>
                <w:rFonts w:ascii="Arial" w:hAnsi="Arial"/>
                <w:sz w:val="18"/>
              </w:rPr>
              <w:t>2.415</w:t>
            </w:r>
          </w:p>
        </w:tc>
        <w:tc>
          <w:tcPr>
            <w:tcW w:type="dxa" w:w="648"/>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792"/>
          </w:tcPr>
          <w:p>
            <w:r>
              <w:rPr>
                <w:rFonts w:ascii="Arial" w:hAnsi="Arial"/>
                <w:sz w:val="18"/>
              </w:rPr>
              <w:t>45.500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-5.687</w:t>
            </w:r>
          </w:p>
        </w:tc>
        <w:tc>
          <w:tcPr>
            <w:tcW w:type="dxa" w:w="720"/>
          </w:tcPr>
          <w:p>
            <w:r>
              <w:rPr>
                <w:rFonts w:ascii="Arial" w:hAnsi="Arial"/>
                <w:sz w:val="18"/>
              </w:rPr>
              <w:t>2.132</w:t>
            </w:r>
          </w:p>
        </w:tc>
        <w:tc>
          <w:tcPr>
            <w:tcW w:type="dxa" w:w="648"/>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792"/>
          </w:tcPr>
          <w:p>
            <w:r>
              <w:rPr>
                <w:rFonts w:ascii="Arial" w:hAnsi="Arial"/>
                <w:sz w:val="18"/>
              </w:rPr>
              <w:t>-54.700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-4.600</w:t>
            </w:r>
          </w:p>
        </w:tc>
        <w:tc>
          <w:tcPr>
            <w:tcW w:type="dxa" w:w="720"/>
          </w:tcPr>
          <w:p>
            <w:r>
              <w:rPr>
                <w:rFonts w:ascii="Arial" w:hAnsi="Arial"/>
                <w:sz w:val="18"/>
              </w:rPr>
              <w:t>3.106</w:t>
            </w:r>
          </w:p>
        </w:tc>
        <w:tc>
          <w:tcPr>
            <w:tcW w:type="dxa" w:w="648"/>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792"/>
          </w:tcPr>
          <w:p>
            <w:r>
              <w:rPr>
                <w:rFonts w:ascii="Arial" w:hAnsi="Arial"/>
                <w:sz w:val="18"/>
              </w:rPr>
              <w:t>-25.100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-4.607</w:t>
            </w:r>
          </w:p>
        </w:tc>
        <w:tc>
          <w:tcPr>
            <w:tcW w:type="dxa" w:w="720"/>
          </w:tcPr>
          <w:p>
            <w:r>
              <w:rPr>
                <w:rFonts w:ascii="Arial" w:hAnsi="Arial"/>
                <w:sz w:val="18"/>
              </w:rPr>
              <w:t>3.102</w:t>
            </w:r>
          </w:p>
        </w:tc>
        <w:tc>
          <w:tcPr>
            <w:tcW w:type="dxa" w:w="648"/>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792"/>
          </w:tcPr>
          <w:p>
            <w:r>
              <w:rPr>
                <w:rFonts w:ascii="Arial" w:hAnsi="Arial"/>
                <w:sz w:val="18"/>
              </w:rPr>
              <w:t>-25.300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-3.581</w:t>
            </w:r>
          </w:p>
        </w:tc>
        <w:tc>
          <w:tcPr>
            <w:tcW w:type="dxa" w:w="720"/>
          </w:tcPr>
          <w:p>
            <w:r>
              <w:rPr>
                <w:rFonts w:ascii="Arial" w:hAnsi="Arial"/>
                <w:sz w:val="18"/>
              </w:rPr>
              <w:t>3.361</w:t>
            </w:r>
          </w:p>
        </w:tc>
        <w:tc>
          <w:tcPr>
            <w:tcW w:type="dxa" w:w="648"/>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792"/>
          </w:tcPr>
          <w:p>
            <w:r>
              <w:rPr>
                <w:rFonts w:ascii="Arial" w:hAnsi="Arial"/>
                <w:sz w:val="18"/>
              </w:rPr>
              <w:t>2.600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-0.205</w:t>
            </w:r>
          </w:p>
        </w:tc>
        <w:tc>
          <w:tcPr>
            <w:tcW w:type="dxa" w:w="720"/>
          </w:tcPr>
          <w:p>
            <w:r>
              <w:rPr>
                <w:rFonts w:ascii="Arial" w:hAnsi="Arial"/>
                <w:sz w:val="18"/>
              </w:rPr>
              <w:t>0.157</w:t>
            </w:r>
          </w:p>
        </w:tc>
        <w:tc>
          <w:tcPr>
            <w:tcW w:type="dxa" w:w="648"/>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792"/>
          </w:tcPr>
          <w:p>
            <w:r>
              <w:rPr>
                <w:rFonts w:ascii="Arial" w:hAnsi="Arial"/>
                <w:sz w:val="18"/>
              </w:rPr>
              <w:t>14.200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-0.326</w:t>
            </w:r>
          </w:p>
        </w:tc>
        <w:tc>
          <w:tcPr>
            <w:tcW w:type="dxa" w:w="720"/>
          </w:tcPr>
          <w:p>
            <w:r>
              <w:rPr>
                <w:rFonts w:ascii="Arial" w:hAnsi="Arial"/>
                <w:sz w:val="18"/>
              </w:rPr>
              <w:t>0.196</w:t>
            </w:r>
          </w:p>
        </w:tc>
        <w:tc>
          <w:tcPr>
            <w:tcW w:type="dxa" w:w="648"/>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792"/>
          </w:tcPr>
          <w:p>
            <w:r>
              <w:rPr>
                <w:rFonts w:ascii="Arial" w:hAnsi="Arial"/>
                <w:sz w:val="18"/>
              </w:rPr>
              <w:t>-36.700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-0.095</w:t>
            </w:r>
          </w:p>
        </w:tc>
        <w:tc>
          <w:tcPr>
            <w:tcW w:type="dxa" w:w="720"/>
          </w:tcPr>
          <w:p>
            <w:r>
              <w:rPr>
                <w:rFonts w:ascii="Arial" w:hAnsi="Arial"/>
                <w:sz w:val="18"/>
              </w:rPr>
              <w:t>0.059</w:t>
            </w:r>
          </w:p>
        </w:tc>
        <w:tc>
          <w:tcPr>
            <w:tcW w:type="dxa" w:w="648"/>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792"/>
          </w:tcPr>
          <w:p>
            <w:r>
              <w:rPr>
                <w:rFonts w:ascii="Arial" w:hAnsi="Arial"/>
                <w:sz w:val="18"/>
              </w:rPr>
              <w:t>60.200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-0.288</w:t>
            </w:r>
          </w:p>
        </w:tc>
        <w:tc>
          <w:tcPr>
            <w:tcW w:type="dxa" w:w="720"/>
          </w:tcPr>
          <w:p>
            <w:r>
              <w:rPr>
                <w:rFonts w:ascii="Arial" w:hAnsi="Arial"/>
                <w:sz w:val="18"/>
              </w:rPr>
              <w:t>0.191</w:t>
            </w:r>
          </w:p>
        </w:tc>
        <w:tc>
          <w:tcPr>
            <w:tcW w:type="dxa" w:w="648"/>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792"/>
          </w:tcPr>
          <w:p>
            <w:r>
              <w:rPr>
                <w:rFonts w:ascii="Arial" w:hAnsi="Arial"/>
                <w:sz w:val="18"/>
              </w:rPr>
              <w:t>-20.700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-0.215</w:t>
            </w:r>
          </w:p>
        </w:tc>
        <w:tc>
          <w:tcPr>
            <w:tcW w:type="dxa" w:w="720"/>
          </w:tcPr>
          <w:p>
            <w:r>
              <w:rPr>
                <w:rFonts w:ascii="Arial" w:hAnsi="Arial"/>
                <w:sz w:val="18"/>
              </w:rPr>
              <w:t>0.219</w:t>
            </w:r>
          </w:p>
        </w:tc>
        <w:tc>
          <w:tcPr>
            <w:tcW w:type="dxa" w:w="648"/>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792"/>
          </w:tcPr>
          <w:p>
            <w:r>
              <w:rPr>
                <w:rFonts w:ascii="Arial" w:hAnsi="Arial"/>
                <w:sz w:val="18"/>
              </w:rPr>
              <w:t>9.700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-0.239</w:t>
            </w:r>
          </w:p>
        </w:tc>
        <w:tc>
          <w:tcPr>
            <w:tcW w:type="dxa" w:w="720"/>
          </w:tcPr>
          <w:p>
            <w:r>
              <w:rPr>
                <w:rFonts w:ascii="Arial" w:hAnsi="Arial"/>
                <w:sz w:val="18"/>
              </w:rPr>
              <w:t>0.169</w:t>
            </w:r>
          </w:p>
        </w:tc>
        <w:tc>
          <w:tcPr>
            <w:tcW w:type="dxa" w:w="648"/>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792"/>
          </w:tcPr>
          <w:p>
            <w:r>
              <w:rPr>
                <w:rFonts w:ascii="Arial" w:hAnsi="Arial"/>
                <w:sz w:val="18"/>
              </w:rPr>
              <w:t>0.000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-0.244</w:t>
            </w:r>
          </w:p>
        </w:tc>
        <w:tc>
          <w:tcPr>
            <w:tcW w:type="dxa" w:w="720"/>
          </w:tcPr>
          <w:p>
            <w:r>
              <w:rPr>
                <w:rFonts w:ascii="Arial" w:hAnsi="Arial"/>
                <w:sz w:val="18"/>
              </w:rPr>
              <w:t>0.178</w:t>
            </w:r>
          </w:p>
        </w:tc>
        <w:tc>
          <w:tcPr>
            <w:tcW w:type="dxa" w:w="648"/>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-0.279</w:t>
            </w:r>
          </w:p>
        </w:tc>
        <w:tc>
          <w:tcPr>
            <w:tcW w:type="dxa" w:w="720"/>
          </w:tcPr>
          <w:p>
            <w:r>
              <w:rPr>
                <w:rFonts w:ascii="Arial" w:hAnsi="Arial"/>
                <w:sz w:val="18"/>
              </w:rPr>
              <w:t>0.242</w:t>
            </w:r>
          </w:p>
        </w:tc>
        <w:tc>
          <w:tcPr>
            <w:tcW w:type="dxa" w:w="648"/>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792"/>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9498" w:name="table_s6"/>
      <w:r>
        <w:rPr>
          <w:rFonts w:ascii="Arial" w:hAnsi="Arial"/>
          <w:b/>
          <w:color w:val="1F3A5F"/>
          <w:sz w:val="32"/>
        </w:rPr>
        <w:t>Table S6 — MDE / power</w:t>
      </w:r>
      <w:bookmarkEnd w:id="394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RSEPlainGrid"/>
        <w:tblW w:type="dxa" w:w="9072"/>
        <w:tblLook w:val="0420" w:firstRow="1" w:lastRow="0" w:firstColumn="0" w:lastColumn="0" w:noHBand="1" w:noVBand="1"/>
        <w:tblLayout w:type="autofit"/>
      </w:tblPr>
      <w:tblGrid>
        <w:gridCol w:w="1134"/>
        <w:gridCol w:w="1134"/>
        <w:gridCol w:w="1134"/>
        <w:gridCol w:w="1134"/>
        <w:gridCol w:w="1134"/>
        <w:gridCol w:w="1134"/>
        <w:gridCol w:w="1134"/>
        <w:gridCol w:w="1134"/>
      </w:tblGrid>
      <w:tr>
        <w:tc>
          <w:tcPr>
            <w:tcW w:type="dxa" w:w="1134"/>
          </w:tcPr>
          <w:p>
            <w:r>
              <w:rPr>
                <w:rFonts w:ascii="Arial" w:hAnsi="Arial"/>
                <w:b/>
                <w:sz w:val="18"/>
              </w:rPr>
              <w:t>Pipeline</w:t>
            </w:r>
          </w:p>
        </w:tc>
        <w:tc>
          <w:tcPr>
            <w:tcW w:type="dxa" w:w="1134"/>
          </w:tcPr>
          <w:p>
            <w:r>
              <w:rPr>
                <w:rFonts w:ascii="Arial" w:hAnsi="Arial"/>
                <w:b/>
                <w:sz w:val="18"/>
              </w:rPr>
              <w:t>Metric</w:t>
            </w:r>
          </w:p>
        </w:tc>
        <w:tc>
          <w:tcPr>
            <w:tcW w:type="dxa" w:w="1134"/>
          </w:tcPr>
          <w:p>
            <w:r>
              <w:rPr>
                <w:rFonts w:ascii="Arial" w:hAnsi="Arial"/>
                <w:b/>
                <w:sz w:val="18"/>
              </w:rPr>
              <w:t>τ̂ (d)</w:t>
            </w:r>
          </w:p>
        </w:tc>
        <w:tc>
          <w:tcPr>
            <w:tcW w:type="dxa" w:w="1134"/>
          </w:tcPr>
          <w:p>
            <w:r>
              <w:rPr>
                <w:rFonts w:ascii="Arial" w:hAnsi="Arial"/>
                <w:b/>
                <w:sz w:val="18"/>
              </w:rPr>
              <w:t>SE (d)</w:t>
            </w:r>
          </w:p>
        </w:tc>
        <w:tc>
          <w:tcPr>
            <w:tcW w:type="dxa" w:w="1134"/>
          </w:tcPr>
          <w:p>
            <w:r>
              <w:rPr>
                <w:rFonts w:ascii="Arial" w:hAnsi="Arial"/>
                <w:b/>
                <w:sz w:val="18"/>
              </w:rPr>
              <w:t>MDE 2-sided</w:t>
            </w:r>
          </w:p>
        </w:tc>
        <w:tc>
          <w:tcPr>
            <w:tcW w:type="dxa" w:w="1134"/>
          </w:tcPr>
          <w:p>
            <w:r>
              <w:rPr>
                <w:rFonts w:ascii="Arial" w:hAnsi="Arial"/>
                <w:b/>
                <w:sz w:val="18"/>
              </w:rPr>
              <w:t>MDE 1-sided</w:t>
            </w:r>
          </w:p>
        </w:tc>
        <w:tc>
          <w:tcPr>
            <w:tcW w:type="dxa" w:w="1134"/>
          </w:tcPr>
          <w:p>
            <w:r>
              <w:rPr>
                <w:rFonts w:ascii="Arial" w:hAnsi="Arial"/>
                <w:b/>
                <w:sz w:val="18"/>
              </w:rPr>
              <w:t>|τ̂|/MDE</w:t>
            </w:r>
          </w:p>
        </w:tc>
        <w:tc>
          <w:tcPr>
            <w:tcW w:type="dxa" w:w="1134"/>
          </w:tcPr>
          <w:p>
            <w:r>
              <w:rPr>
                <w:rFonts w:ascii="Arial" w:hAnsi="Arial"/>
                <w:b/>
                <w:sz w:val="18"/>
              </w:rPr>
              <w:t>Detectable</w:t>
            </w:r>
          </w:p>
        </w:tc>
      </w:tr>
      <w:tr>
        <w:tc>
          <w:tcPr>
            <w:tcW w:type="dxa" w:w="1134"/>
          </w:tcPr>
          <w:p>
            <w:r>
              <w:rPr>
                <w:rFonts w:ascii="Arial" w:hAnsi="Arial"/>
                <w:sz w:val="18"/>
              </w:rPr>
              <w:t>raw</w:t>
            </w:r>
          </w:p>
        </w:tc>
        <w:tc>
          <w:tcPr>
            <w:tcW w:type="dxa" w:w="1134"/>
          </w:tcPr>
          <w:p>
            <w:r>
              <w:rPr>
                <w:rFonts w:ascii="Arial" w:hAnsi="Arial"/>
                <w:sz w:val="18"/>
              </w:rPr>
              <w:t>SOS</w:t>
            </w:r>
          </w:p>
        </w:tc>
        <w:tc>
          <w:tcPr>
            <w:tcW w:type="dxa" w:w="1134"/>
          </w:tcPr>
          <w:p>
            <w:r>
              <w:rPr>
                <w:rFonts w:ascii="Arial" w:hAnsi="Arial"/>
                <w:sz w:val="18"/>
              </w:rPr>
              <w:t>15.289</w:t>
            </w:r>
          </w:p>
        </w:tc>
        <w:tc>
          <w:tcPr>
            <w:tcW w:type="dxa" w:w="1134"/>
          </w:tcPr>
          <w:p>
            <w:r>
              <w:rPr>
                <w:rFonts w:ascii="Arial" w:hAnsi="Arial"/>
                <w:sz w:val="18"/>
              </w:rPr>
              <w:t>17.328</w:t>
            </w:r>
          </w:p>
        </w:tc>
        <w:tc>
          <w:tcPr>
            <w:tcW w:type="dxa" w:w="1134"/>
          </w:tcPr>
          <w:p>
            <w:r>
              <w:rPr>
                <w:rFonts w:ascii="Arial" w:hAnsi="Arial"/>
                <w:sz w:val="18"/>
              </w:rPr>
              <w:t>56.501</w:t>
            </w:r>
          </w:p>
        </w:tc>
        <w:tc>
          <w:tcPr>
            <w:tcW w:type="dxa" w:w="1134"/>
          </w:tcPr>
          <w:p>
            <w:r>
              <w:rPr>
                <w:rFonts w:ascii="Arial" w:hAnsi="Arial"/>
                <w:sz w:val="18"/>
              </w:rPr>
              <w:t>48.356</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POS</w:t>
            </w:r>
          </w:p>
        </w:tc>
        <w:tc>
          <w:tcPr>
            <w:tcW w:type="dxa" w:w="1134"/>
          </w:tcPr>
          <w:p>
            <w:r>
              <w:rPr>
                <w:rFonts w:ascii="Arial" w:hAnsi="Arial"/>
                <w:sz w:val="18"/>
              </w:rPr>
              <w:t>-3.587</w:t>
            </w:r>
          </w:p>
        </w:tc>
        <w:tc>
          <w:tcPr>
            <w:tcW w:type="dxa" w:w="1134"/>
          </w:tcPr>
          <w:p>
            <w:r>
              <w:rPr>
                <w:rFonts w:ascii="Arial" w:hAnsi="Arial"/>
                <w:sz w:val="18"/>
              </w:rPr>
              <w:t>2.882</w:t>
            </w:r>
          </w:p>
        </w:tc>
        <w:tc>
          <w:tcPr>
            <w:tcW w:type="dxa" w:w="1134"/>
          </w:tcPr>
          <w:p>
            <w:r>
              <w:rPr>
                <w:rFonts w:ascii="Arial" w:hAnsi="Arial"/>
                <w:sz w:val="18"/>
              </w:rPr>
              <w:t>9.397</w:t>
            </w:r>
          </w:p>
        </w:tc>
        <w:tc>
          <w:tcPr>
            <w:tcW w:type="dxa" w:w="1134"/>
          </w:tcPr>
          <w:p>
            <w:r>
              <w:rPr>
                <w:rFonts w:ascii="Arial" w:hAnsi="Arial"/>
                <w:sz w:val="18"/>
              </w:rPr>
              <w:t>8.043</w:t>
            </w:r>
          </w:p>
        </w:tc>
        <w:tc>
          <w:tcPr>
            <w:tcW w:type="dxa" w:w="1134"/>
          </w:tcPr>
          <w:p>
            <w:r>
              <w:rPr>
                <w:rFonts w:ascii="Arial" w:hAnsi="Arial"/>
                <w:sz w:val="18"/>
              </w:rPr>
              <w:t>0.38</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EOS</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nan</w:t>
            </w:r>
          </w:p>
        </w:tc>
        <w:tc>
          <w:tcPr>
            <w:tcW w:type="dxa" w:w="1134"/>
          </w:tcPr>
          <w:p>
            <w:r>
              <w:rPr>
                <w:rFonts w:ascii="Arial" w:hAnsi="Arial"/>
                <w:sz w:val="18"/>
              </w:rPr>
              <w:t>yes</w:t>
            </w:r>
          </w:p>
        </w:tc>
      </w:tr>
      <w:tr>
        <w:tc>
          <w:tcPr>
            <w:tcW w:type="dxa" w:w="1134"/>
          </w:tcPr>
          <w:p>
            <w:r>
              <w:rPr>
                <w:rFonts w:ascii="Arial" w:hAnsi="Arial"/>
                <w:sz w:val="18"/>
              </w:rPr>
              <w:t>corrected</w:t>
            </w:r>
          </w:p>
        </w:tc>
        <w:tc>
          <w:tcPr>
            <w:tcW w:type="dxa" w:w="1134"/>
          </w:tcPr>
          <w:p>
            <w:r>
              <w:rPr>
                <w:rFonts w:ascii="Arial" w:hAnsi="Arial"/>
                <w:sz w:val="18"/>
              </w:rPr>
              <w:t>SOS</w:t>
            </w:r>
          </w:p>
        </w:tc>
        <w:tc>
          <w:tcPr>
            <w:tcW w:type="dxa" w:w="1134"/>
          </w:tcPr>
          <w:p>
            <w:r>
              <w:rPr>
                <w:rFonts w:ascii="Arial" w:hAnsi="Arial"/>
                <w:sz w:val="18"/>
              </w:rPr>
              <w:t>15.108</w:t>
            </w:r>
          </w:p>
        </w:tc>
        <w:tc>
          <w:tcPr>
            <w:tcW w:type="dxa" w:w="1134"/>
          </w:tcPr>
          <w:p>
            <w:r>
              <w:rPr>
                <w:rFonts w:ascii="Arial" w:hAnsi="Arial"/>
                <w:sz w:val="18"/>
              </w:rPr>
              <w:t>17.312</w:t>
            </w:r>
          </w:p>
        </w:tc>
        <w:tc>
          <w:tcPr>
            <w:tcW w:type="dxa" w:w="1134"/>
          </w:tcPr>
          <w:p>
            <w:r>
              <w:rPr>
                <w:rFonts w:ascii="Arial" w:hAnsi="Arial"/>
                <w:sz w:val="18"/>
              </w:rPr>
              <w:t>56.448</w:t>
            </w:r>
          </w:p>
        </w:tc>
        <w:tc>
          <w:tcPr>
            <w:tcW w:type="dxa" w:w="1134"/>
          </w:tcPr>
          <w:p>
            <w:r>
              <w:rPr>
                <w:rFonts w:ascii="Arial" w:hAnsi="Arial"/>
                <w:sz w:val="18"/>
              </w:rPr>
              <w:t>48.311</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POS</w:t>
            </w:r>
          </w:p>
        </w:tc>
        <w:tc>
          <w:tcPr>
            <w:tcW w:type="dxa" w:w="1134"/>
          </w:tcPr>
          <w:p>
            <w:r>
              <w:rPr>
                <w:rFonts w:ascii="Arial" w:hAnsi="Arial"/>
                <w:sz w:val="18"/>
              </w:rPr>
              <w:t>-3.677</w:t>
            </w:r>
          </w:p>
        </w:tc>
        <w:tc>
          <w:tcPr>
            <w:tcW w:type="dxa" w:w="1134"/>
          </w:tcPr>
          <w:p>
            <w:r>
              <w:rPr>
                <w:rFonts w:ascii="Arial" w:hAnsi="Arial"/>
                <w:sz w:val="18"/>
              </w:rPr>
              <w:t>2.897</w:t>
            </w:r>
          </w:p>
        </w:tc>
        <w:tc>
          <w:tcPr>
            <w:tcW w:type="dxa" w:w="1134"/>
          </w:tcPr>
          <w:p>
            <w:r>
              <w:rPr>
                <w:rFonts w:ascii="Arial" w:hAnsi="Arial"/>
                <w:sz w:val="18"/>
              </w:rPr>
              <w:t>9.446</w:t>
            </w:r>
          </w:p>
        </w:tc>
        <w:tc>
          <w:tcPr>
            <w:tcW w:type="dxa" w:w="1134"/>
          </w:tcPr>
          <w:p>
            <w:r>
              <w:rPr>
                <w:rFonts w:ascii="Arial" w:hAnsi="Arial"/>
                <w:sz w:val="18"/>
              </w:rPr>
              <w:t>8.084</w:t>
            </w:r>
          </w:p>
        </w:tc>
        <w:tc>
          <w:tcPr>
            <w:tcW w:type="dxa" w:w="1134"/>
          </w:tcPr>
          <w:p>
            <w:r>
              <w:rPr>
                <w:rFonts w:ascii="Arial" w:hAnsi="Arial"/>
                <w:sz w:val="18"/>
              </w:rPr>
              <w:t>0.39</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EOS</w:t>
            </w:r>
          </w:p>
        </w:tc>
        <w:tc>
          <w:tcPr>
            <w:tcW w:type="dxa" w:w="1134"/>
          </w:tcPr>
          <w:p>
            <w:r>
              <w:rPr>
                <w:rFonts w:ascii="Arial" w:hAnsi="Arial"/>
                <w:sz w:val="18"/>
              </w:rPr>
              <w:t>-0.239</w:t>
            </w:r>
          </w:p>
        </w:tc>
        <w:tc>
          <w:tcPr>
            <w:tcW w:type="dxa" w:w="1134"/>
          </w:tcPr>
          <w:p>
            <w:r>
              <w:rPr>
                <w:rFonts w:ascii="Arial" w:hAnsi="Arial"/>
                <w:sz w:val="18"/>
              </w:rPr>
              <w:t>0.169</w:t>
            </w:r>
          </w:p>
        </w:tc>
        <w:tc>
          <w:tcPr>
            <w:tcW w:type="dxa" w:w="1134"/>
          </w:tcPr>
          <w:p>
            <w:r>
              <w:rPr>
                <w:rFonts w:ascii="Arial" w:hAnsi="Arial"/>
                <w:sz w:val="18"/>
              </w:rPr>
              <w:t>0.551</w:t>
            </w:r>
          </w:p>
        </w:tc>
        <w:tc>
          <w:tcPr>
            <w:tcW w:type="dxa" w:w="1134"/>
          </w:tcPr>
          <w:p>
            <w:r>
              <w:rPr>
                <w:rFonts w:ascii="Arial" w:hAnsi="Arial"/>
                <w:sz w:val="18"/>
              </w:rPr>
              <w:t>0.472</w:t>
            </w:r>
          </w:p>
        </w:tc>
        <w:tc>
          <w:tcPr>
            <w:tcW w:type="dxa" w:w="1134"/>
          </w:tcPr>
          <w:p>
            <w:r>
              <w:rPr>
                <w:rFonts w:ascii="Arial" w:hAnsi="Arial"/>
                <w:sz w:val="18"/>
              </w:rPr>
              <w:t>0.43</w:t>
            </w:r>
          </w:p>
        </w:tc>
        <w:tc>
          <w:tcPr>
            <w:tcW w:type="dxa" w:w="1134"/>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7058" w:name="table_s7"/>
      <w:r>
        <w:rPr>
          <w:rFonts w:ascii="Arial" w:hAnsi="Arial"/>
          <w:b/>
          <w:color w:val="1F3A5F"/>
          <w:sz w:val="32"/>
        </w:rPr>
        <w:t>Table S7 — Placebo / falsification</w:t>
      </w:r>
      <w:bookmarkEnd w:id="2705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RSEPlainGrid"/>
        <w:tblW w:type="dxa" w:w="9072"/>
        <w:tblLook w:val="0420" w:firstRow="1" w:lastRow="0" w:firstColumn="0" w:lastColumn="0" w:noHBand="1" w:noVBand="1"/>
        <w:tblLayout w:type="autofit"/>
      </w:tblPr>
      <w:tblGrid>
        <w:gridCol w:w="907"/>
        <w:gridCol w:w="907"/>
        <w:gridCol w:w="907"/>
        <w:gridCol w:w="907"/>
        <w:gridCol w:w="907"/>
        <w:gridCol w:w="907"/>
        <w:gridCol w:w="907"/>
        <w:gridCol w:w="907"/>
        <w:gridCol w:w="907"/>
        <w:gridCol w:w="909"/>
      </w:tblGrid>
      <w:tr>
        <w:tc>
          <w:tcPr>
            <w:tcW w:type="dxa" w:w="907"/>
          </w:tcPr>
          <w:p>
            <w:r>
              <w:rPr>
                <w:rFonts w:ascii="Arial" w:hAnsi="Arial"/>
                <w:b/>
                <w:sz w:val="18"/>
              </w:rPr>
              <w:t>Pipeline</w:t>
            </w:r>
          </w:p>
        </w:tc>
        <w:tc>
          <w:tcPr>
            <w:tcW w:type="dxa" w:w="907"/>
          </w:tcPr>
          <w:p>
            <w:r>
              <w:rPr>
                <w:rFonts w:ascii="Arial" w:hAnsi="Arial"/>
                <w:b/>
                <w:sz w:val="18"/>
              </w:rPr>
              <w:t>Metric</w:t>
            </w:r>
          </w:p>
        </w:tc>
        <w:tc>
          <w:tcPr>
            <w:tcW w:type="dxa" w:w="907"/>
          </w:tcPr>
          <w:p>
            <w:r>
              <w:rPr>
                <w:rFonts w:ascii="Arial" w:hAnsi="Arial"/>
                <w:b/>
                <w:sz w:val="18"/>
              </w:rPr>
              <w:t>τ̂ real</w:t>
            </w:r>
          </w:p>
        </w:tc>
        <w:tc>
          <w:tcPr>
            <w:tcW w:type="dxa" w:w="907"/>
          </w:tcPr>
          <w:p>
            <w:r>
              <w:rPr>
                <w:rFonts w:ascii="Arial" w:hAnsi="Arial"/>
                <w:b/>
                <w:sz w:val="18"/>
              </w:rPr>
              <w:t>median τ_p</w:t>
            </w:r>
          </w:p>
        </w:tc>
        <w:tc>
          <w:tcPr>
            <w:tcW w:type="dxa" w:w="907"/>
          </w:tcPr>
          <w:p>
            <w:r>
              <w:rPr>
                <w:rFonts w:ascii="Arial" w:hAnsi="Arial"/>
                <w:b/>
                <w:sz w:val="18"/>
              </w:rPr>
              <w:t>p05 τ_p</w:t>
            </w:r>
          </w:p>
        </w:tc>
        <w:tc>
          <w:tcPr>
            <w:tcW w:type="dxa" w:w="907"/>
          </w:tcPr>
          <w:p>
            <w:r>
              <w:rPr>
                <w:rFonts w:ascii="Arial" w:hAnsi="Arial"/>
                <w:b/>
                <w:sz w:val="18"/>
              </w:rPr>
              <w:t>p95 τ_p</w:t>
            </w:r>
          </w:p>
        </w:tc>
        <w:tc>
          <w:tcPr>
            <w:tcW w:type="dxa" w:w="907"/>
          </w:tcPr>
          <w:p>
            <w:r>
              <w:rPr>
                <w:rFonts w:ascii="Arial" w:hAnsi="Arial"/>
                <w:b/>
                <w:sz w:val="18"/>
              </w:rPr>
              <w:t>max |τ_p|</w:t>
            </w:r>
          </w:p>
        </w:tc>
        <w:tc>
          <w:tcPr>
            <w:tcW w:type="dxa" w:w="907"/>
          </w:tcPr>
          <w:p>
            <w:r>
              <w:rPr>
                <w:rFonts w:ascii="Arial" w:hAnsi="Arial"/>
                <w:b/>
                <w:sz w:val="18"/>
              </w:rPr>
              <w:t>n extreme</w:t>
            </w:r>
          </w:p>
        </w:tc>
        <w:tc>
          <w:tcPr>
            <w:tcW w:type="dxa" w:w="907"/>
          </w:tcPr>
          <w:p>
            <w:r>
              <w:rPr>
                <w:rFonts w:ascii="Arial" w:hAnsi="Arial"/>
                <w:b/>
                <w:sz w:val="18"/>
              </w:rPr>
              <w:t>p_perm</w:t>
            </w:r>
          </w:p>
        </w:tc>
        <w:tc>
          <w:tcPr>
            <w:tcW w:type="dxa" w:w="909"/>
          </w:tcPr>
          <w:p>
            <w:r>
              <w:rPr>
                <w:rFonts w:ascii="Arial" w:hAnsi="Arial"/>
                <w:b/>
                <w:sz w:val="18"/>
              </w:rPr>
              <w:t>Verdict</w:t>
            </w:r>
          </w:p>
        </w:tc>
      </w:tr>
      <w:tr>
        <w:tc>
          <w:tcPr>
            <w:tcW w:type="dxa" w:w="907"/>
          </w:tcPr>
          <w:p>
            <w:r>
              <w:rPr>
                <w:rFonts w:ascii="Arial" w:hAnsi="Arial"/>
                <w:sz w:val="18"/>
              </w:rPr>
              <w:t>raw</w:t>
            </w:r>
          </w:p>
        </w:tc>
        <w:tc>
          <w:tcPr>
            <w:tcW w:type="dxa" w:w="907"/>
          </w:tcPr>
          <w:p>
            <w:r>
              <w:rPr>
                <w:rFonts w:ascii="Arial" w:hAnsi="Arial"/>
                <w:sz w:val="18"/>
              </w:rPr>
              <w:t>SOS</w:t>
            </w:r>
          </w:p>
        </w:tc>
        <w:tc>
          <w:tcPr>
            <w:tcW w:type="dxa" w:w="907"/>
          </w:tcPr>
          <w:p>
            <w:r>
              <w:rPr>
                <w:rFonts w:ascii="Arial" w:hAnsi="Arial"/>
                <w:sz w:val="18"/>
              </w:rPr>
              <w:t>+15.29</w:t>
            </w:r>
          </w:p>
        </w:tc>
        <w:tc>
          <w:tcPr>
            <w:tcW w:type="dxa" w:w="907"/>
          </w:tcPr>
          <w:p>
            <w:r>
              <w:rPr>
                <w:rFonts w:ascii="Arial" w:hAnsi="Arial"/>
                <w:sz w:val="18"/>
              </w:rPr>
              <w:t>-1.14</w:t>
            </w:r>
          </w:p>
        </w:tc>
        <w:tc>
          <w:tcPr>
            <w:tcW w:type="dxa" w:w="907"/>
          </w:tcPr>
          <w:p>
            <w:r>
              <w:rPr>
                <w:rFonts w:ascii="Arial" w:hAnsi="Arial"/>
                <w:sz w:val="18"/>
              </w:rPr>
              <w:t>-32.50</w:t>
            </w:r>
          </w:p>
        </w:tc>
        <w:tc>
          <w:tcPr>
            <w:tcW w:type="dxa" w:w="907"/>
          </w:tcPr>
          <w:p>
            <w:r>
              <w:rPr>
                <w:rFonts w:ascii="Arial" w:hAnsi="Arial"/>
                <w:sz w:val="18"/>
              </w:rPr>
              <w:t>+28.76</w:t>
            </w:r>
          </w:p>
        </w:tc>
        <w:tc>
          <w:tcPr>
            <w:tcW w:type="dxa" w:w="907"/>
          </w:tcPr>
          <w:p>
            <w:r>
              <w:rPr>
                <w:rFonts w:ascii="Arial" w:hAnsi="Arial"/>
                <w:sz w:val="18"/>
              </w:rPr>
              <w:t>+43.45</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POS</w:t>
            </w:r>
          </w:p>
        </w:tc>
        <w:tc>
          <w:tcPr>
            <w:tcW w:type="dxa" w:w="907"/>
          </w:tcPr>
          <w:p>
            <w:r>
              <w:rPr>
                <w:rFonts w:ascii="Arial" w:hAnsi="Arial"/>
                <w:sz w:val="18"/>
              </w:rPr>
              <w:t>-3.59</w:t>
            </w:r>
          </w:p>
        </w:tc>
        <w:tc>
          <w:tcPr>
            <w:tcW w:type="dxa" w:w="907"/>
          </w:tcPr>
          <w:p>
            <w:r>
              <w:rPr>
                <w:rFonts w:ascii="Arial" w:hAnsi="Arial"/>
                <w:sz w:val="18"/>
              </w:rPr>
              <w:t>-0.28</w:t>
            </w:r>
          </w:p>
        </w:tc>
        <w:tc>
          <w:tcPr>
            <w:tcW w:type="dxa" w:w="907"/>
          </w:tcPr>
          <w:p>
            <w:r>
              <w:rPr>
                <w:rFonts w:ascii="Arial" w:hAnsi="Arial"/>
                <w:sz w:val="18"/>
              </w:rPr>
              <w:t>-4.80</w:t>
            </w:r>
          </w:p>
        </w:tc>
        <w:tc>
          <w:tcPr>
            <w:tcW w:type="dxa" w:w="907"/>
          </w:tcPr>
          <w:p>
            <w:r>
              <w:rPr>
                <w:rFonts w:ascii="Arial" w:hAnsi="Arial"/>
                <w:sz w:val="18"/>
              </w:rPr>
              <w:t>+4.58</w:t>
            </w:r>
          </w:p>
        </w:tc>
        <w:tc>
          <w:tcPr>
            <w:tcW w:type="dxa" w:w="907"/>
          </w:tcPr>
          <w:p>
            <w:r>
              <w:rPr>
                <w:rFonts w:ascii="Arial" w:hAnsi="Arial"/>
                <w:sz w:val="18"/>
              </w:rPr>
              <w:t>+6.12</w:t>
            </w:r>
          </w:p>
        </w:tc>
        <w:tc>
          <w:tcPr>
            <w:tcW w:type="dxa" w:w="907"/>
          </w:tcPr>
          <w:p>
            <w:r>
              <w:rPr>
                <w:rFonts w:ascii="Arial" w:hAnsi="Arial"/>
                <w:sz w:val="18"/>
              </w:rPr>
              <w:t>15</w:t>
            </w:r>
          </w:p>
        </w:tc>
        <w:tc>
          <w:tcPr>
            <w:tcW w:type="dxa" w:w="907"/>
          </w:tcPr>
          <w:p>
            <w:r>
              <w:rPr>
                <w:rFonts w:ascii="Arial" w:hAnsi="Arial"/>
                <w:sz w:val="18"/>
              </w:rPr>
              <w:t>0.2857</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r>
        <w:tc>
          <w:tcPr>
            <w:tcW w:type="dxa" w:w="907"/>
          </w:tcPr>
          <w:p>
            <w:r>
              <w:rPr>
                <w:rFonts w:ascii="Arial" w:hAnsi="Arial"/>
                <w:sz w:val="18"/>
              </w:rPr>
              <w:t>corrected</w:t>
            </w:r>
          </w:p>
        </w:tc>
        <w:tc>
          <w:tcPr>
            <w:tcW w:type="dxa" w:w="907"/>
          </w:tcPr>
          <w:p>
            <w:r>
              <w:rPr>
                <w:rFonts w:ascii="Arial" w:hAnsi="Arial"/>
                <w:sz w:val="18"/>
              </w:rPr>
              <w:t>SOS</w:t>
            </w:r>
          </w:p>
        </w:tc>
        <w:tc>
          <w:tcPr>
            <w:tcW w:type="dxa" w:w="907"/>
          </w:tcPr>
          <w:p>
            <w:r>
              <w:rPr>
                <w:rFonts w:ascii="Arial" w:hAnsi="Arial"/>
                <w:sz w:val="18"/>
              </w:rPr>
              <w:t>+15.11</w:t>
            </w:r>
          </w:p>
        </w:tc>
        <w:tc>
          <w:tcPr>
            <w:tcW w:type="dxa" w:w="907"/>
          </w:tcPr>
          <w:p>
            <w:r>
              <w:rPr>
                <w:rFonts w:ascii="Arial" w:hAnsi="Arial"/>
                <w:sz w:val="18"/>
              </w:rPr>
              <w:t>-1.16</w:t>
            </w:r>
          </w:p>
        </w:tc>
        <w:tc>
          <w:tcPr>
            <w:tcW w:type="dxa" w:w="907"/>
          </w:tcPr>
          <w:p>
            <w:r>
              <w:rPr>
                <w:rFonts w:ascii="Arial" w:hAnsi="Arial"/>
                <w:sz w:val="18"/>
              </w:rPr>
              <w:t>-32.47</w:t>
            </w:r>
          </w:p>
        </w:tc>
        <w:tc>
          <w:tcPr>
            <w:tcW w:type="dxa" w:w="907"/>
          </w:tcPr>
          <w:p>
            <w:r>
              <w:rPr>
                <w:rFonts w:ascii="Arial" w:hAnsi="Arial"/>
                <w:sz w:val="18"/>
              </w:rPr>
              <w:t>+28.68</w:t>
            </w:r>
          </w:p>
        </w:tc>
        <w:tc>
          <w:tcPr>
            <w:tcW w:type="dxa" w:w="907"/>
          </w:tcPr>
          <w:p>
            <w:r>
              <w:rPr>
                <w:rFonts w:ascii="Arial" w:hAnsi="Arial"/>
                <w:sz w:val="18"/>
              </w:rPr>
              <w:t>+43.44</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POS</w:t>
            </w:r>
          </w:p>
        </w:tc>
        <w:tc>
          <w:tcPr>
            <w:tcW w:type="dxa" w:w="907"/>
          </w:tcPr>
          <w:p>
            <w:r>
              <w:rPr>
                <w:rFonts w:ascii="Arial" w:hAnsi="Arial"/>
                <w:sz w:val="18"/>
              </w:rPr>
              <w:t>-3.68</w:t>
            </w:r>
          </w:p>
        </w:tc>
        <w:tc>
          <w:tcPr>
            <w:tcW w:type="dxa" w:w="907"/>
          </w:tcPr>
          <w:p>
            <w:r>
              <w:rPr>
                <w:rFonts w:ascii="Arial" w:hAnsi="Arial"/>
                <w:sz w:val="18"/>
              </w:rPr>
              <w:t>-0.29</w:t>
            </w:r>
          </w:p>
        </w:tc>
        <w:tc>
          <w:tcPr>
            <w:tcW w:type="dxa" w:w="907"/>
          </w:tcPr>
          <w:p>
            <w:r>
              <w:rPr>
                <w:rFonts w:ascii="Arial" w:hAnsi="Arial"/>
                <w:sz w:val="18"/>
              </w:rPr>
              <w:t>-4.78</w:t>
            </w:r>
          </w:p>
        </w:tc>
        <w:tc>
          <w:tcPr>
            <w:tcW w:type="dxa" w:w="907"/>
          </w:tcPr>
          <w:p>
            <w:r>
              <w:rPr>
                <w:rFonts w:ascii="Arial" w:hAnsi="Arial"/>
                <w:sz w:val="18"/>
              </w:rPr>
              <w:t>+4.65</w:t>
            </w:r>
          </w:p>
        </w:tc>
        <w:tc>
          <w:tcPr>
            <w:tcW w:type="dxa" w:w="907"/>
          </w:tcPr>
          <w:p>
            <w:r>
              <w:rPr>
                <w:rFonts w:ascii="Arial" w:hAnsi="Arial"/>
                <w:sz w:val="18"/>
              </w:rPr>
              <w:t>+6.17</w:t>
            </w:r>
          </w:p>
        </w:tc>
        <w:tc>
          <w:tcPr>
            <w:tcW w:type="dxa" w:w="907"/>
          </w:tcPr>
          <w:p>
            <w:r>
              <w:rPr>
                <w:rFonts w:ascii="Arial" w:hAnsi="Arial"/>
                <w:sz w:val="18"/>
              </w:rPr>
              <w:t>14</w:t>
            </w:r>
          </w:p>
        </w:tc>
        <w:tc>
          <w:tcPr>
            <w:tcW w:type="dxa" w:w="907"/>
          </w:tcPr>
          <w:p>
            <w:r>
              <w:rPr>
                <w:rFonts w:ascii="Arial" w:hAnsi="Arial"/>
                <w:sz w:val="18"/>
              </w:rPr>
              <w:t>0.2679</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bl>
    <w:p>
      <w:r>
        <w:rPr>
          <w:rFonts w:ascii="Arial" w:hAnsi="Arial"/>
          <w:b/>
          <w:sz w:val="20"/>
        </w:rPr>
        <w:t>(b) In-time placebo (pretend treatment in 2018; drop real post-period 2019–2021)</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Pr>
                <w:rFonts w:ascii="Arial" w:hAnsi="Arial"/>
                <w:b/>
                <w:sz w:val="18"/>
              </w:rPr>
              <w:t>Pipeline</w:t>
            </w:r>
          </w:p>
        </w:tc>
        <w:tc>
          <w:tcPr>
            <w:tcW w:type="dxa" w:w="1814"/>
          </w:tcPr>
          <w:p>
            <w:r>
              <w:rPr>
                <w:rFonts w:ascii="Arial" w:hAnsi="Arial"/>
                <w:b/>
                <w:sz w:val="18"/>
              </w:rPr>
              <w:t>Metric</w:t>
            </w:r>
          </w:p>
        </w:tc>
        <w:tc>
          <w:tcPr>
            <w:tcW w:type="dxa" w:w="1814"/>
          </w:tcPr>
          <w:p>
            <w:r>
              <w:rPr>
                <w:rFonts w:ascii="Arial" w:hAnsi="Arial"/>
                <w:b/>
                <w:sz w:val="18"/>
              </w:rPr>
              <w:t>Fake post</w:t>
            </w:r>
          </w:p>
        </w:tc>
        <w:tc>
          <w:tcPr>
            <w:tcW w:type="dxa" w:w="1814"/>
          </w:tcPr>
          <w:p>
            <w:r>
              <w:rPr>
                <w:rFonts w:ascii="Arial" w:hAnsi="Arial"/>
                <w:b/>
                <w:sz w:val="18"/>
              </w:rPr>
              <w:t>τ̂ pseudo (d)</w:t>
            </w:r>
          </w:p>
        </w:tc>
        <w:tc>
          <w:tcPr>
            <w:tcW w:type="dxa" w:w="1816"/>
          </w:tcPr>
          <w:p>
            <w:r>
              <w:rPr>
                <w:rFonts w:ascii="Arial" w:hAnsi="Arial"/>
                <w:b/>
                <w:sz w:val="18"/>
              </w:rPr>
              <w:t>SE (d)</w:t>
            </w:r>
          </w:p>
        </w:tc>
      </w:tr>
      <w:tr>
        <w:tc>
          <w:tcPr>
            <w:tcW w:type="dxa" w:w="1814"/>
          </w:tcPr>
          <w:p>
            <w:r>
              <w:rPr>
                <w:rFonts w:ascii="Arial" w:hAnsi="Arial"/>
                <w:sz w:val="18"/>
              </w:rPr>
              <w:t>raw</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raw</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raw</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r>
        <w:tc>
          <w:tcPr>
            <w:tcW w:type="dxa" w:w="1814"/>
          </w:tcPr>
          <w:p>
            <w:r>
              <w:rPr>
                <w:rFonts w:ascii="Arial" w:hAnsi="Arial"/>
                <w:sz w:val="18"/>
              </w:rPr>
              <w:t>corrected</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corrected</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corrected</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4576" w:name="table_s8"/>
      <w:r>
        <w:rPr>
          <w:rFonts w:ascii="Arial" w:hAnsi="Arial"/>
          <w:b/>
          <w:color w:val="1F3A5F"/>
          <w:sz w:val="32"/>
        </w:rPr>
        <w:t>Table S8 — Pre-Kharif cyclone climatology</w:t>
      </w:r>
      <w:bookmarkEnd w:id="14576"/>
    </w:p>
    <w:p>
      <w:r>
        <w:rPr>
          <w:rFonts w:ascii="Arial" w:hAnsi="Arial"/>
          <w:b/>
          <w:sz w:val="20"/>
        </w:rPr>
        <w:t>Table S8. Pre-Kharif identification cyclones at the Odisha coast: per-storm summary and 1981–2018 climatological percentiles.</w:t>
      </w:r>
    </w:p>
    <w:tbl>
      <w:tblPr>
        <w:tblStyle w:val="RSEPlainGrid"/>
        <w:tblW w:type="dxa" w:w="9072"/>
        <w:tblLook w:val="0420" w:firstRow="1" w:lastRow="0" w:firstColumn="0" w:lastColumn="0" w:noHBand="1" w:noVBand="1"/>
        <w:tblLayout w:type="autofit"/>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r>
              <w:rPr>
                <w:rFonts w:ascii="Arial" w:hAnsi="Arial"/>
                <w:b/>
                <w:sz w:val="16"/>
              </w:rPr>
              <w:t>Name</w:t>
            </w:r>
          </w:p>
        </w:tc>
        <w:tc>
          <w:tcPr>
            <w:tcW w:type="dxa" w:w="648"/>
          </w:tcPr>
          <w:p>
            <w:r>
              <w:rPr>
                <w:rFonts w:ascii="Arial" w:hAnsi="Arial"/>
                <w:b/>
                <w:sz w:val="16"/>
              </w:rPr>
              <w:t>Season</w:t>
            </w:r>
          </w:p>
        </w:tc>
        <w:tc>
          <w:tcPr>
            <w:tcW w:type="dxa" w:w="648"/>
          </w:tcPr>
          <w:p>
            <w:r>
              <w:rPr>
                <w:rFonts w:ascii="Arial" w:hAnsi="Arial"/>
                <w:b/>
                <w:sz w:val="16"/>
              </w:rPr>
              <w:t>Landfall</w:t>
            </w:r>
          </w:p>
        </w:tc>
        <w:tc>
          <w:tcPr>
            <w:tcW w:type="dxa" w:w="648"/>
          </w:tcPr>
          <w:p>
            <w:r>
              <w:rPr>
                <w:rFonts w:ascii="Arial" w:hAnsi="Arial"/>
                <w:b/>
                <w:sz w:val="16"/>
              </w:rPr>
              <w:t>DOY</w:t>
            </w:r>
          </w:p>
        </w:tc>
        <w:tc>
          <w:tcPr>
            <w:tcW w:type="dxa" w:w="648"/>
          </w:tcPr>
          <w:p>
            <w:r>
              <w:rPr>
                <w:rFonts w:ascii="Arial" w:hAnsi="Arial"/>
                <w:b/>
                <w:sz w:val="16"/>
              </w:rPr>
              <w:t>IMD cat.</w:t>
            </w:r>
          </w:p>
        </w:tc>
        <w:tc>
          <w:tcPr>
            <w:tcW w:type="dxa" w:w="648"/>
          </w:tcPr>
          <w:p>
            <w:r>
              <w:rPr>
                <w:rFonts w:ascii="Arial" w:hAnsi="Arial"/>
                <w:b/>
                <w:sz w:val="16"/>
              </w:rPr>
              <w:t>S–S cat.</w:t>
            </w:r>
          </w:p>
        </w:tc>
        <w:tc>
          <w:tcPr>
            <w:tcW w:type="dxa" w:w="648"/>
          </w:tcPr>
          <w:p>
            <w:r>
              <w:rPr>
                <w:rFonts w:ascii="Arial" w:hAnsi="Arial"/>
                <w:b/>
                <w:sz w:val="16"/>
              </w:rPr>
              <w:t>Vmax (kt)</w:t>
            </w:r>
          </w:p>
        </w:tc>
        <w:tc>
          <w:tcPr>
            <w:tcW w:type="dxa" w:w="648"/>
          </w:tcPr>
          <w:p>
            <w:r>
              <w:rPr>
                <w:rFonts w:ascii="Arial" w:hAnsi="Arial"/>
                <w:b/>
                <w:sz w:val="16"/>
              </w:rPr>
              <w:t>Pmin (hPa)</w:t>
            </w:r>
          </w:p>
        </w:tc>
        <w:tc>
          <w:tcPr>
            <w:tcW w:type="dxa" w:w="648"/>
          </w:tcPr>
          <w:p>
            <w:r>
              <w:rPr>
                <w:rFonts w:ascii="Arial" w:hAnsi="Arial"/>
                <w:b/>
                <w:sz w:val="16"/>
              </w:rPr>
              <w:t>Surge (m)</w:t>
            </w:r>
          </w:p>
        </w:tc>
        <w:tc>
          <w:tcPr>
            <w:tcW w:type="dxa" w:w="648"/>
          </w:tcPr>
          <w:p>
            <w:r>
              <w:rPr>
                <w:rFonts w:ascii="Arial" w:hAnsi="Arial"/>
                <w:b/>
                <w:sz w:val="16"/>
              </w:rPr>
              <w:t>Synoptic class</w:t>
            </w:r>
          </w:p>
        </w:tc>
        <w:tc>
          <w:tcPr>
            <w:tcW w:type="dxa" w:w="648"/>
          </w:tcPr>
          <w:p>
            <w:r>
              <w:rPr>
                <w:rFonts w:ascii="Arial" w:hAnsi="Arial"/>
                <w:b/>
                <w:sz w:val="16"/>
              </w:rPr>
              <w:t>Vmax %ile</w:t>
            </w:r>
          </w:p>
        </w:tc>
        <w:tc>
          <w:tcPr>
            <w:tcW w:type="dxa" w:w="648"/>
          </w:tcPr>
          <w:p>
            <w:r>
              <w:rPr>
                <w:rFonts w:ascii="Arial" w:hAnsi="Arial"/>
                <w:b/>
                <w:sz w:val="16"/>
              </w:rPr>
              <w:t>Pmin %ile</w:t>
            </w:r>
          </w:p>
        </w:tc>
        <w:tc>
          <w:tcPr>
            <w:tcW w:type="dxa" w:w="648"/>
          </w:tcPr>
          <w:p>
            <w:r>
              <w:rPr>
                <w:rFonts w:ascii="Arial" w:hAnsi="Arial"/>
                <w:b/>
                <w:sz w:val="16"/>
              </w:rPr>
              <w:t>Surge %ile</w:t>
            </w:r>
          </w:p>
        </w:tc>
        <w:tc>
          <w:tcPr>
            <w:tcW w:type="dxa" w:w="648"/>
          </w:tcPr>
          <w:p>
            <w:r>
              <w:rPr>
                <w:rFonts w:ascii="Arial" w:hAnsi="Arial"/>
                <w:b/>
                <w:sz w:val="16"/>
              </w:rPr>
              <w:t>DOY %ile</w:t>
            </w:r>
          </w:p>
        </w:tc>
      </w:tr>
      <w:tr>
        <w:tc>
          <w:tcPr>
            <w:tcW w:type="dxa" w:w="648"/>
          </w:tcPr>
          <w:p>
            <w:r>
              <w:rPr>
                <w:rFonts w:ascii="Arial" w:hAnsi="Arial"/>
                <w:sz w:val="16"/>
              </w:rPr>
              <w:t>Fani</w:t>
            </w:r>
          </w:p>
        </w:tc>
        <w:tc>
          <w:tcPr>
            <w:tcW w:type="dxa" w:w="648"/>
          </w:tcPr>
          <w:p>
            <w:r>
              <w:rPr>
                <w:rFonts w:ascii="Arial" w:hAnsi="Arial"/>
                <w:sz w:val="16"/>
              </w:rPr>
              <w:t>2019</w:t>
            </w:r>
          </w:p>
        </w:tc>
        <w:tc>
          <w:tcPr>
            <w:tcW w:type="dxa" w:w="648"/>
          </w:tcPr>
          <w:p>
            <w:r>
              <w:rPr>
                <w:rFonts w:ascii="Arial" w:hAnsi="Arial"/>
                <w:sz w:val="16"/>
              </w:rPr>
              <w:t>2019-05-03</w:t>
            </w:r>
          </w:p>
        </w:tc>
        <w:tc>
          <w:tcPr>
            <w:tcW w:type="dxa" w:w="648"/>
          </w:tcPr>
          <w:p>
            <w:r>
              <w:rPr>
                <w:rFonts w:ascii="Arial" w:hAnsi="Arial"/>
                <w:sz w:val="16"/>
              </w:rPr>
              <w:t>123</w:t>
            </w:r>
          </w:p>
        </w:tc>
        <w:tc>
          <w:tcPr>
            <w:tcW w:type="dxa" w:w="648"/>
          </w:tcPr>
          <w:p>
            <w:r>
              <w:rPr>
                <w:rFonts w:ascii="Arial" w:hAnsi="Arial"/>
                <w:sz w:val="16"/>
              </w:rPr>
              <w:t>ESCS</w:t>
            </w:r>
          </w:p>
        </w:tc>
        <w:tc>
          <w:tcPr>
            <w:tcW w:type="dxa" w:w="648"/>
          </w:tcPr>
          <w:p>
            <w:r>
              <w:rPr>
                <w:rFonts w:ascii="Arial" w:hAnsi="Arial"/>
                <w:sz w:val="16"/>
              </w:rPr>
              <w:t>4</w:t>
            </w:r>
          </w:p>
        </w:tc>
        <w:tc>
          <w:tcPr>
            <w:tcW w:type="dxa" w:w="648"/>
          </w:tcPr>
          <w:p>
            <w:r>
              <w:rPr>
                <w:rFonts w:ascii="Arial" w:hAnsi="Arial"/>
                <w:sz w:val="16"/>
              </w:rPr>
              <w:t>135</w:t>
            </w:r>
          </w:p>
        </w:tc>
        <w:tc>
          <w:tcPr>
            <w:tcW w:type="dxa" w:w="648"/>
          </w:tcPr>
          <w:p>
            <w:r>
              <w:rPr>
                <w:rFonts w:ascii="Arial" w:hAnsi="Arial"/>
                <w:sz w:val="16"/>
              </w:rPr>
              <w:t>932</w:t>
            </w:r>
          </w:p>
        </w:tc>
        <w:tc>
          <w:tcPr>
            <w:tcW w:type="dxa" w:w="648"/>
          </w:tcPr>
          <w:p>
            <w:r>
              <w:rPr>
                <w:rFonts w:ascii="Arial" w:hAnsi="Arial"/>
                <w:sz w:val="16"/>
              </w:rPr>
              <w:t>1.5</w:t>
            </w:r>
          </w:p>
        </w:tc>
        <w:tc>
          <w:tcPr>
            <w:tcW w:type="dxa" w:w="648"/>
          </w:tcPr>
          <w:p>
            <w:r>
              <w:rPr>
                <w:rFonts w:ascii="Arial" w:hAnsi="Arial"/>
                <w:sz w:val="16"/>
              </w:rPr>
              <w:t>Equatorial trough genesis</w:t>
            </w:r>
          </w:p>
        </w:tc>
        <w:tc>
          <w:tcPr>
            <w:tcW w:type="dxa" w:w="648"/>
          </w:tcPr>
          <w:p>
            <w:r>
              <w:rPr>
                <w:rFonts w:ascii="Arial" w:hAnsi="Arial"/>
                <w:sz w:val="16"/>
              </w:rPr>
              <w:t>97.5</w:t>
            </w:r>
          </w:p>
        </w:tc>
        <w:tc>
          <w:tcPr>
            <w:tcW w:type="dxa" w:w="648"/>
          </w:tcPr>
          <w:p>
            <w:r>
              <w:rPr>
                <w:rFonts w:ascii="Arial" w:hAnsi="Arial"/>
                <w:sz w:val="16"/>
              </w:rPr>
              <w:t>91.5</w:t>
            </w:r>
          </w:p>
        </w:tc>
        <w:tc>
          <w:tcPr>
            <w:tcW w:type="dxa" w:w="648"/>
          </w:tcPr>
          <w:p>
            <w:r>
              <w:rPr>
                <w:rFonts w:ascii="Arial" w:hAnsi="Arial"/>
                <w:sz w:val="16"/>
              </w:rPr>
              <w:t>55.8</w:t>
            </w:r>
          </w:p>
        </w:tc>
        <w:tc>
          <w:tcPr>
            <w:tcW w:type="dxa" w:w="648"/>
          </w:tcPr>
          <w:p>
            <w:r>
              <w:rPr>
                <w:rFonts w:ascii="Arial" w:hAnsi="Arial"/>
                <w:sz w:val="16"/>
              </w:rPr>
              <w:t>26.6</w:t>
            </w:r>
          </w:p>
        </w:tc>
      </w:tr>
      <w:tr>
        <w:tc>
          <w:tcPr>
            <w:tcW w:type="dxa" w:w="648"/>
          </w:tcPr>
          <w:p>
            <w:r>
              <w:rPr>
                <w:rFonts w:ascii="Arial" w:hAnsi="Arial"/>
                <w:sz w:val="16"/>
              </w:rPr>
              <w:t>Amphan</w:t>
            </w:r>
          </w:p>
        </w:tc>
        <w:tc>
          <w:tcPr>
            <w:tcW w:type="dxa" w:w="648"/>
          </w:tcPr>
          <w:p>
            <w:r>
              <w:rPr>
                <w:rFonts w:ascii="Arial" w:hAnsi="Arial"/>
                <w:sz w:val="16"/>
              </w:rPr>
              <w:t>2020</w:t>
            </w:r>
          </w:p>
        </w:tc>
        <w:tc>
          <w:tcPr>
            <w:tcW w:type="dxa" w:w="648"/>
          </w:tcPr>
          <w:p>
            <w:r>
              <w:rPr>
                <w:rFonts w:ascii="Arial" w:hAnsi="Arial"/>
                <w:sz w:val="16"/>
              </w:rPr>
              <w:t>2020-05-20</w:t>
            </w:r>
          </w:p>
        </w:tc>
        <w:tc>
          <w:tcPr>
            <w:tcW w:type="dxa" w:w="648"/>
          </w:tcPr>
          <w:p>
            <w:r>
              <w:rPr>
                <w:rFonts w:ascii="Arial" w:hAnsi="Arial"/>
                <w:sz w:val="16"/>
              </w:rPr>
              <w:t>141</w:t>
            </w:r>
          </w:p>
        </w:tc>
        <w:tc>
          <w:tcPr>
            <w:tcW w:type="dxa" w:w="648"/>
          </w:tcPr>
          <w:p>
            <w:r>
              <w:rPr>
                <w:rFonts w:ascii="Arial" w:hAnsi="Arial"/>
                <w:sz w:val="16"/>
              </w:rPr>
              <w:t>SuCS</w:t>
            </w:r>
          </w:p>
        </w:tc>
        <w:tc>
          <w:tcPr>
            <w:tcW w:type="dxa" w:w="648"/>
          </w:tcPr>
          <w:p>
            <w:r>
              <w:rPr>
                <w:rFonts w:ascii="Arial" w:hAnsi="Arial"/>
                <w:sz w:val="16"/>
              </w:rPr>
              <w:t>5</w:t>
            </w:r>
          </w:p>
        </w:tc>
        <w:tc>
          <w:tcPr>
            <w:tcW w:type="dxa" w:w="648"/>
          </w:tcPr>
          <w:p>
            <w:r>
              <w:rPr>
                <w:rFonts w:ascii="Arial" w:hAnsi="Arial"/>
                <w:sz w:val="16"/>
              </w:rPr>
              <w:t>140</w:t>
            </w:r>
          </w:p>
        </w:tc>
        <w:tc>
          <w:tcPr>
            <w:tcW w:type="dxa" w:w="648"/>
          </w:tcPr>
          <w:p>
            <w:r>
              <w:rPr>
                <w:rFonts w:ascii="Arial" w:hAnsi="Arial"/>
                <w:sz w:val="16"/>
              </w:rPr>
              <w:t>925</w:t>
            </w:r>
          </w:p>
        </w:tc>
        <w:tc>
          <w:tcPr>
            <w:tcW w:type="dxa" w:w="648"/>
          </w:tcPr>
          <w:p>
            <w:r>
              <w:rPr>
                <w:rFonts w:ascii="Arial" w:hAnsi="Arial"/>
                <w:sz w:val="16"/>
              </w:rPr>
              <w:t>4.6</w:t>
            </w:r>
          </w:p>
        </w:tc>
        <w:tc>
          <w:tcPr>
            <w:tcW w:type="dxa" w:w="648"/>
          </w:tcPr>
          <w:p>
            <w:r>
              <w:rPr>
                <w:rFonts w:ascii="Arial" w:hAnsi="Arial"/>
                <w:sz w:val="16"/>
              </w:rPr>
              <w:t>Monsoon-trough remnant</w:t>
            </w:r>
          </w:p>
        </w:tc>
        <w:tc>
          <w:tcPr>
            <w:tcW w:type="dxa" w:w="648"/>
          </w:tcPr>
          <w:p>
            <w:r>
              <w:rPr>
                <w:rFonts w:ascii="Arial" w:hAnsi="Arial"/>
                <w:sz w:val="16"/>
              </w:rPr>
              <w:t>100.0</w:t>
            </w:r>
          </w:p>
        </w:tc>
        <w:tc>
          <w:tcPr>
            <w:tcW w:type="dxa" w:w="648"/>
          </w:tcPr>
          <w:p>
            <w:r>
              <w:rPr>
                <w:rFonts w:ascii="Arial" w:hAnsi="Arial"/>
                <w:sz w:val="16"/>
              </w:rPr>
              <w:t>95.0</w:t>
            </w:r>
          </w:p>
        </w:tc>
        <w:tc>
          <w:tcPr>
            <w:tcW w:type="dxa" w:w="648"/>
          </w:tcPr>
          <w:p>
            <w:r>
              <w:rPr>
                <w:rFonts w:ascii="Arial" w:hAnsi="Arial"/>
                <w:sz w:val="16"/>
              </w:rPr>
              <w:t>91.5</w:t>
            </w:r>
          </w:p>
        </w:tc>
        <w:tc>
          <w:tcPr>
            <w:tcW w:type="dxa" w:w="648"/>
          </w:tcPr>
          <w:p>
            <w:r>
              <w:rPr>
                <w:rFonts w:ascii="Arial" w:hAnsi="Arial"/>
                <w:sz w:val="16"/>
              </w:rPr>
              <w:t>55.4</w:t>
            </w:r>
          </w:p>
        </w:tc>
      </w:tr>
      <w:tr>
        <w:tc>
          <w:tcPr>
            <w:tcW w:type="dxa" w:w="648"/>
          </w:tcPr>
          <w:p>
            <w:r>
              <w:rPr>
                <w:rFonts w:ascii="Arial" w:hAnsi="Arial"/>
                <w:sz w:val="16"/>
              </w:rPr>
              <w:t>Yaas</w:t>
            </w:r>
          </w:p>
        </w:tc>
        <w:tc>
          <w:tcPr>
            <w:tcW w:type="dxa" w:w="648"/>
          </w:tcPr>
          <w:p>
            <w:r>
              <w:rPr>
                <w:rFonts w:ascii="Arial" w:hAnsi="Arial"/>
                <w:sz w:val="16"/>
              </w:rPr>
              <w:t>2021</w:t>
            </w:r>
          </w:p>
        </w:tc>
        <w:tc>
          <w:tcPr>
            <w:tcW w:type="dxa" w:w="648"/>
          </w:tcPr>
          <w:p>
            <w:r>
              <w:rPr>
                <w:rFonts w:ascii="Arial" w:hAnsi="Arial"/>
                <w:sz w:val="16"/>
              </w:rPr>
              <w:t>2021-05-26</w:t>
            </w:r>
          </w:p>
        </w:tc>
        <w:tc>
          <w:tcPr>
            <w:tcW w:type="dxa" w:w="648"/>
          </w:tcPr>
          <w:p>
            <w:r>
              <w:rPr>
                <w:rFonts w:ascii="Arial" w:hAnsi="Arial"/>
                <w:sz w:val="16"/>
              </w:rPr>
              <w:t>146</w:t>
            </w:r>
          </w:p>
        </w:tc>
        <w:tc>
          <w:tcPr>
            <w:tcW w:type="dxa" w:w="648"/>
          </w:tcPr>
          <w:p>
            <w:r>
              <w:rPr>
                <w:rFonts w:ascii="Arial" w:hAnsi="Arial"/>
                <w:sz w:val="16"/>
              </w:rPr>
              <w:t>VSCS</w:t>
            </w:r>
          </w:p>
        </w:tc>
        <w:tc>
          <w:tcPr>
            <w:tcW w:type="dxa" w:w="648"/>
          </w:tcPr>
          <w:p>
            <w:r>
              <w:rPr>
                <w:rFonts w:ascii="Arial" w:hAnsi="Arial"/>
                <w:sz w:val="16"/>
              </w:rPr>
              <w:t>3</w:t>
            </w:r>
          </w:p>
        </w:tc>
        <w:tc>
          <w:tcPr>
            <w:tcW w:type="dxa" w:w="648"/>
          </w:tcPr>
          <w:p>
            <w:r>
              <w:rPr>
                <w:rFonts w:ascii="Arial" w:hAnsi="Arial"/>
                <w:sz w:val="16"/>
              </w:rPr>
              <w:t>100</w:t>
            </w:r>
          </w:p>
        </w:tc>
        <w:tc>
          <w:tcPr>
            <w:tcW w:type="dxa" w:w="648"/>
          </w:tcPr>
          <w:p>
            <w:r>
              <w:rPr>
                <w:rFonts w:ascii="Arial" w:hAnsi="Arial"/>
                <w:sz w:val="16"/>
              </w:rPr>
              <w:t>970</w:t>
            </w:r>
          </w:p>
        </w:tc>
        <w:tc>
          <w:tcPr>
            <w:tcW w:type="dxa" w:w="648"/>
          </w:tcPr>
          <w:p>
            <w:r>
              <w:rPr>
                <w:rFonts w:ascii="Arial" w:hAnsi="Arial"/>
                <w:sz w:val="16"/>
              </w:rPr>
              <w:t>2.0</w:t>
            </w:r>
          </w:p>
        </w:tc>
        <w:tc>
          <w:tcPr>
            <w:tcW w:type="dxa" w:w="648"/>
          </w:tcPr>
          <w:p>
            <w:r>
              <w:rPr>
                <w:rFonts w:ascii="Arial" w:hAnsi="Arial"/>
                <w:sz w:val="16"/>
              </w:rPr>
              <w:t>Easterly-wave Bay genesis</w:t>
            </w:r>
          </w:p>
        </w:tc>
        <w:tc>
          <w:tcPr>
            <w:tcW w:type="dxa" w:w="648"/>
          </w:tcPr>
          <w:p>
            <w:r>
              <w:rPr>
                <w:rFonts w:ascii="Arial" w:hAnsi="Arial"/>
                <w:sz w:val="16"/>
              </w:rPr>
              <w:t>81.0</w:t>
            </w:r>
          </w:p>
        </w:tc>
        <w:tc>
          <w:tcPr>
            <w:tcW w:type="dxa" w:w="648"/>
          </w:tcPr>
          <w:p>
            <w:r>
              <w:rPr>
                <w:rFonts w:ascii="Arial" w:hAnsi="Arial"/>
                <w:sz w:val="16"/>
              </w:rPr>
              <w:t>56.2</w:t>
            </w:r>
          </w:p>
        </w:tc>
        <w:tc>
          <w:tcPr>
            <w:tcW w:type="dxa" w:w="648"/>
          </w:tcPr>
          <w:p>
            <w:r>
              <w:rPr>
                <w:rFonts w:ascii="Arial" w:hAnsi="Arial"/>
                <w:sz w:val="16"/>
              </w:rPr>
              <w:t>65.4</w:t>
            </w:r>
          </w:p>
        </w:tc>
        <w:tc>
          <w:tcPr>
            <w:tcW w:type="dxa" w:w="648"/>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7558" w:name="table_s9"/>
      <w:r>
        <w:rPr>
          <w:rFonts w:ascii="Arial" w:hAnsi="Arial"/>
          <w:b/>
          <w:color w:val="1F3A5F"/>
          <w:sz w:val="32"/>
        </w:rPr>
        <w:t>Table S9 — Real Sentinel-1 RTC dual-pol backscatter signatures (Planetary Computer)</w:t>
      </w:r>
      <w:bookmarkEnd w:id="97558"/>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RSEPlainGrid"/>
        <w:tblW w:type="dxa" w:w="9072"/>
        <w:tblLook w:val="0420" w:firstRow="1" w:lastRow="0" w:firstColumn="0" w:lastColumn="0" w:noHBand="1" w:noVBand="1"/>
        <w:tblLayout w:type="autofit"/>
      </w:tblPr>
      <w:tblGrid>
        <w:gridCol w:w="1512"/>
        <w:gridCol w:w="1512"/>
        <w:gridCol w:w="1512"/>
        <w:gridCol w:w="1512"/>
        <w:gridCol w:w="1512"/>
        <w:gridCol w:w="1512"/>
      </w:tblGrid>
      <w:tr>
        <w:trPr>
          <w:tblHeader/>
        </w:trPr>
        <w:tc>
          <w:tcPr>
            <w:tcW w:type="dxa" w:w="1512"/>
          </w:tcPr>
          <w:p>
            <w:r>
              <w:rPr>
                <w:rFonts w:ascii="Arial" w:hAnsi="Arial"/>
                <w:b/>
                <w:sz w:val="18"/>
              </w:rPr>
              <w:t>District</w:t>
            </w:r>
          </w:p>
        </w:tc>
        <w:tc>
          <w:tcPr>
            <w:tcW w:type="dxa" w:w="1512"/>
          </w:tcPr>
          <w:p>
            <w:r>
              <w:rPr>
                <w:rFonts w:ascii="Arial" w:hAnsi="Arial"/>
                <w:b/>
                <w:sz w:val="18"/>
              </w:rPr>
              <w:t>Phase</w:t>
            </w:r>
          </w:p>
        </w:tc>
        <w:tc>
          <w:tcPr>
            <w:tcW w:type="dxa" w:w="1512"/>
          </w:tcPr>
          <w:p>
            <w:r>
              <w:rPr>
                <w:rFonts w:ascii="Arial" w:hAnsi="Arial"/>
                <w:b/>
                <w:sz w:val="18"/>
              </w:rPr>
              <w:t>n_dekads</w:t>
            </w:r>
          </w:p>
        </w:tc>
        <w:tc>
          <w:tcPr>
            <w:tcW w:type="dxa" w:w="1512"/>
          </w:tcPr>
          <w:p>
            <w:r>
              <w:rPr>
                <w:rFonts w:ascii="Arial" w:hAnsi="Arial"/>
                <w:b/>
                <w:sz w:val="18"/>
              </w:rPr>
              <w:t>Mean VH (dB)</w:t>
            </w:r>
          </w:p>
        </w:tc>
        <w:tc>
          <w:tcPr>
            <w:tcW w:type="dxa" w:w="1512"/>
          </w:tcPr>
          <w:p>
            <w:r>
              <w:rPr>
                <w:rFonts w:ascii="Arial" w:hAnsi="Arial"/>
                <w:b/>
                <w:sz w:val="18"/>
              </w:rPr>
              <w:t>Mean VV (dB)</w:t>
            </w:r>
          </w:p>
        </w:tc>
        <w:tc>
          <w:tcPr>
            <w:tcW w:type="dxa" w:w="1512"/>
          </w:tcPr>
          <w:p>
            <w:r>
              <w:rPr>
                <w:rFonts w:ascii="Arial" w:hAnsi="Arial"/>
                <w:b/>
                <w:sz w:val="18"/>
              </w:rPr>
              <w:t>Mean CR</w:t>
            </w:r>
          </w:p>
        </w:tc>
      </w:tr>
      <w:tr>
        <w:tc>
          <w:tcPr>
            <w:tcW w:type="dxa" w:w="1512"/>
          </w:tcPr>
          <w:p>
            <w:r>
              <w:rPr>
                <w:rFonts w:ascii="Arial" w:hAnsi="Arial"/>
                <w:sz w:val="18"/>
              </w:rPr>
              <w:t>Boudh</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-15.18</w:t>
            </w:r>
          </w:p>
        </w:tc>
        <w:tc>
          <w:tcPr>
            <w:tcW w:type="dxa" w:w="1512"/>
          </w:tcPr>
          <w:p>
            <w:r>
              <w:rPr>
                <w:rFonts w:ascii="Arial" w:hAnsi="Arial"/>
                <w:sz w:val="18"/>
              </w:rPr>
              <w:t>-8.83</w:t>
            </w:r>
          </w:p>
        </w:tc>
        <w:tc>
          <w:tcPr>
            <w:tcW w:type="dxa" w:w="1512"/>
          </w:tcPr>
          <w:p>
            <w:r>
              <w:rPr>
                <w:rFonts w:ascii="Arial" w:hAnsi="Arial"/>
                <w:sz w:val="18"/>
              </w:rPr>
              <w:t>0.239</w:t>
            </w:r>
          </w:p>
        </w:tc>
      </w:tr>
      <w:tr>
        <w:tc>
          <w:tcPr>
            <w:tcW w:type="dxa" w:w="1512"/>
          </w:tcPr>
          <w:p>
            <w:r>
              <w:rPr>
                <w:rFonts w:ascii="Arial" w:hAnsi="Arial"/>
                <w:sz w:val="18"/>
              </w:rPr>
              <w:t>Boudh</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-13.93</w:t>
            </w:r>
          </w:p>
        </w:tc>
        <w:tc>
          <w:tcPr>
            <w:tcW w:type="dxa" w:w="1512"/>
          </w:tcPr>
          <w:p>
            <w:r>
              <w:rPr>
                <w:rFonts w:ascii="Arial" w:hAnsi="Arial"/>
                <w:sz w:val="18"/>
              </w:rPr>
              <w:t>-7.32</w:t>
            </w:r>
          </w:p>
        </w:tc>
        <w:tc>
          <w:tcPr>
            <w:tcW w:type="dxa" w:w="1512"/>
          </w:tcPr>
          <w:p>
            <w:r>
              <w:rPr>
                <w:rFonts w:ascii="Arial" w:hAnsi="Arial"/>
                <w:sz w:val="18"/>
              </w:rPr>
              <w:t>0.226</w:t>
            </w:r>
          </w:p>
        </w:tc>
      </w:tr>
      <w:tr>
        <w:tc>
          <w:tcPr>
            <w:tcW w:type="dxa" w:w="1512"/>
          </w:tcPr>
          <w:p>
            <w:r>
              <w:rPr>
                <w:rFonts w:ascii="Arial" w:hAnsi="Arial"/>
                <w:sz w:val="18"/>
              </w:rPr>
              <w:t>Boudh</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-13.79</w:t>
            </w:r>
          </w:p>
        </w:tc>
        <w:tc>
          <w:tcPr>
            <w:tcW w:type="dxa" w:w="1512"/>
          </w:tcPr>
          <w:p>
            <w:r>
              <w:rPr>
                <w:rFonts w:ascii="Arial" w:hAnsi="Arial"/>
                <w:sz w:val="18"/>
              </w:rPr>
              <w:t>-6.94</w:t>
            </w:r>
          </w:p>
        </w:tc>
        <w:tc>
          <w:tcPr>
            <w:tcW w:type="dxa" w:w="1512"/>
          </w:tcPr>
          <w:p>
            <w:r>
              <w:rPr>
                <w:rFonts w:ascii="Arial" w:hAnsi="Arial"/>
                <w:sz w:val="18"/>
              </w:rPr>
              <w:t>0.215</w:t>
            </w:r>
          </w:p>
        </w:tc>
      </w:tr>
      <w:tr>
        <w:tc>
          <w:tcPr>
            <w:tcW w:type="dxa" w:w="1512"/>
          </w:tcPr>
          <w:p>
            <w:r>
              <w:rPr>
                <w:rFonts w:ascii="Arial" w:hAnsi="Arial"/>
                <w:sz w:val="18"/>
              </w:rPr>
              <w:t>Boudh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-13.77</w:t>
            </w:r>
          </w:p>
        </w:tc>
        <w:tc>
          <w:tcPr>
            <w:tcW w:type="dxa" w:w="1512"/>
          </w:tcPr>
          <w:p>
            <w:r>
              <w:rPr>
                <w:rFonts w:ascii="Arial" w:hAnsi="Arial"/>
                <w:sz w:val="18"/>
              </w:rPr>
              <w:t>-7.37</w:t>
            </w:r>
          </w:p>
        </w:tc>
        <w:tc>
          <w:tcPr>
            <w:tcW w:type="dxa" w:w="1512"/>
          </w:tcPr>
          <w:p>
            <w:r>
              <w:rPr>
                <w:rFonts w:ascii="Arial" w:hAnsi="Arial"/>
                <w:sz w:val="18"/>
              </w:rPr>
              <w:t>0.238</w:t>
            </w:r>
          </w:p>
        </w:tc>
      </w:tr>
      <w:tr>
        <w:tc>
          <w:tcPr>
            <w:tcW w:type="dxa" w:w="1512"/>
          </w:tcPr>
          <w:p>
            <w:r>
              <w:rPr>
                <w:rFonts w:ascii="Arial" w:hAnsi="Arial"/>
                <w:sz w:val="18"/>
              </w:rPr>
              <w:t>Ganjam</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-13.63</w:t>
            </w:r>
          </w:p>
        </w:tc>
        <w:tc>
          <w:tcPr>
            <w:tcW w:type="dxa" w:w="1512"/>
          </w:tcPr>
          <w:p>
            <w:r>
              <w:rPr>
                <w:rFonts w:ascii="Arial" w:hAnsi="Arial"/>
                <w:sz w:val="18"/>
              </w:rPr>
              <w:t>-7.13</w:t>
            </w:r>
          </w:p>
        </w:tc>
        <w:tc>
          <w:tcPr>
            <w:tcW w:type="dxa" w:w="1512"/>
          </w:tcPr>
          <w:p>
            <w:r>
              <w:rPr>
                <w:rFonts w:ascii="Arial" w:hAnsi="Arial"/>
                <w:sz w:val="18"/>
              </w:rPr>
              <w:t>0.232</w:t>
            </w:r>
          </w:p>
        </w:tc>
      </w:tr>
      <w:tr>
        <w:tc>
          <w:tcPr>
            <w:tcW w:type="dxa" w:w="1512"/>
          </w:tcPr>
          <w:p>
            <w:r>
              <w:rPr>
                <w:rFonts w:ascii="Arial" w:hAnsi="Arial"/>
                <w:sz w:val="18"/>
              </w:rPr>
              <w:t>Ganjam</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-13.56</w:t>
            </w:r>
          </w:p>
        </w:tc>
        <w:tc>
          <w:tcPr>
            <w:tcW w:type="dxa" w:w="1512"/>
          </w:tcPr>
          <w:p>
            <w:r>
              <w:rPr>
                <w:rFonts w:ascii="Arial" w:hAnsi="Arial"/>
                <w:sz w:val="18"/>
              </w:rPr>
              <w:t>-7.04</w:t>
            </w:r>
          </w:p>
        </w:tc>
        <w:tc>
          <w:tcPr>
            <w:tcW w:type="dxa" w:w="1512"/>
          </w:tcPr>
          <w:p>
            <w:r>
              <w:rPr>
                <w:rFonts w:ascii="Arial" w:hAnsi="Arial"/>
                <w:sz w:val="18"/>
              </w:rPr>
              <w:t>0.230</w:t>
            </w:r>
          </w:p>
        </w:tc>
      </w:tr>
      <w:tr>
        <w:tc>
          <w:tcPr>
            <w:tcW w:type="dxa" w:w="1512"/>
          </w:tcPr>
          <w:p>
            <w:r>
              <w:rPr>
                <w:rFonts w:ascii="Arial" w:hAnsi="Arial"/>
                <w:sz w:val="18"/>
              </w:rPr>
              <w:t>Ganjam</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-13.65</w:t>
            </w:r>
          </w:p>
        </w:tc>
        <w:tc>
          <w:tcPr>
            <w:tcW w:type="dxa" w:w="1512"/>
          </w:tcPr>
          <w:p>
            <w:r>
              <w:rPr>
                <w:rFonts w:ascii="Arial" w:hAnsi="Arial"/>
                <w:sz w:val="18"/>
              </w:rPr>
              <w:t>-6.67</w:t>
            </w:r>
          </w:p>
        </w:tc>
        <w:tc>
          <w:tcPr>
            <w:tcW w:type="dxa" w:w="1512"/>
          </w:tcPr>
          <w:p>
            <w:r>
              <w:rPr>
                <w:rFonts w:ascii="Arial" w:hAnsi="Arial"/>
                <w:sz w:val="18"/>
              </w:rPr>
              <w:t>0.210</w:t>
            </w:r>
          </w:p>
        </w:tc>
      </w:tr>
      <w:tr>
        <w:tc>
          <w:tcPr>
            <w:tcW w:type="dxa" w:w="1512"/>
          </w:tcPr>
          <w:p>
            <w:r>
              <w:rPr>
                <w:rFonts w:ascii="Arial" w:hAnsi="Arial"/>
                <w:sz w:val="18"/>
              </w:rPr>
              <w:t>Ganjam</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-13.57</w:t>
            </w:r>
          </w:p>
        </w:tc>
        <w:tc>
          <w:tcPr>
            <w:tcW w:type="dxa" w:w="1512"/>
          </w:tcPr>
          <w:p>
            <w:r>
              <w:rPr>
                <w:rFonts w:ascii="Arial" w:hAnsi="Arial"/>
                <w:sz w:val="18"/>
              </w:rPr>
              <w:t>-7.55</w:t>
            </w:r>
          </w:p>
        </w:tc>
        <w:tc>
          <w:tcPr>
            <w:tcW w:type="dxa" w:w="1512"/>
          </w:tcPr>
          <w:p>
            <w:r>
              <w:rPr>
                <w:rFonts w:ascii="Arial" w:hAnsi="Arial"/>
                <w:sz w:val="18"/>
              </w:rPr>
              <w:t>0.260</w:t>
            </w:r>
          </w:p>
        </w:tc>
      </w:tr>
      <w:tr>
        <w:tc>
          <w:tcPr>
            <w:tcW w:type="dxa" w:w="1512"/>
          </w:tcPr>
          <w:p>
            <w:r>
              <w:rPr>
                <w:rFonts w:ascii="Arial" w:hAnsi="Arial"/>
                <w:sz w:val="18"/>
              </w:rPr>
              <w:t>Khordha</w:t>
            </w:r>
          </w:p>
        </w:tc>
        <w:tc>
          <w:tcPr>
            <w:tcW w:type="dxa" w:w="1512"/>
          </w:tcPr>
          <w:p>
            <w:r>
              <w:rPr>
                <w:rFonts w:ascii="Arial" w:hAnsi="Arial"/>
                <w:sz w:val="18"/>
              </w:rPr>
              <w:t>Pre-transplant baseline (May)</w:t>
            </w:r>
          </w:p>
        </w:tc>
        <w:tc>
          <w:tcPr>
            <w:tcW w:type="dxa" w:w="1512"/>
          </w:tcPr>
          <w:p>
            <w:r>
              <w:rPr>
                <w:rFonts w:ascii="Arial" w:hAnsi="Arial"/>
                <w:sz w:val="18"/>
              </w:rPr>
              <w:t>4</w:t>
            </w:r>
          </w:p>
        </w:tc>
        <w:tc>
          <w:tcPr>
            <w:tcW w:type="dxa" w:w="1512"/>
          </w:tcPr>
          <w:p>
            <w:r>
              <w:rPr>
                <w:rFonts w:ascii="Arial" w:hAnsi="Arial"/>
                <w:sz w:val="18"/>
              </w:rPr>
              <w:t>-15.05</w:t>
            </w:r>
          </w:p>
        </w:tc>
        <w:tc>
          <w:tcPr>
            <w:tcW w:type="dxa" w:w="1512"/>
          </w:tcPr>
          <w:p>
            <w:r>
              <w:rPr>
                <w:rFonts w:ascii="Arial" w:hAnsi="Arial"/>
                <w:sz w:val="18"/>
              </w:rPr>
              <w:t>-8.75</w:t>
            </w:r>
          </w:p>
        </w:tc>
        <w:tc>
          <w:tcPr>
            <w:tcW w:type="dxa" w:w="1512"/>
          </w:tcPr>
          <w:p>
            <w:r>
              <w:rPr>
                <w:rFonts w:ascii="Arial" w:hAnsi="Arial"/>
                <w:sz w:val="18"/>
              </w:rPr>
              <w:t>0.245</w:t>
            </w:r>
          </w:p>
        </w:tc>
      </w:tr>
      <w:tr>
        <w:tc>
          <w:tcPr>
            <w:tcW w:type="dxa" w:w="1512"/>
          </w:tcPr>
          <w:p>
            <w:r>
              <w:rPr>
                <w:rFonts w:ascii="Arial" w:hAnsi="Arial"/>
                <w:sz w:val="18"/>
              </w:rPr>
              <w:t>Khordha</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-14.24</w:t>
            </w:r>
          </w:p>
        </w:tc>
        <w:tc>
          <w:tcPr>
            <w:tcW w:type="dxa" w:w="1512"/>
          </w:tcPr>
          <w:p>
            <w:r>
              <w:rPr>
                <w:rFonts w:ascii="Arial" w:hAnsi="Arial"/>
                <w:sz w:val="18"/>
              </w:rPr>
              <w:t>-7.47</w:t>
            </w:r>
          </w:p>
        </w:tc>
        <w:tc>
          <w:tcPr>
            <w:tcW w:type="dxa" w:w="1512"/>
          </w:tcPr>
          <w:p>
            <w:r>
              <w:rPr>
                <w:rFonts w:ascii="Arial" w:hAnsi="Arial"/>
                <w:sz w:val="18"/>
              </w:rPr>
              <w:t>0.223</w:t>
            </w:r>
          </w:p>
        </w:tc>
      </w:tr>
      <w:tr>
        <w:tc>
          <w:tcPr>
            <w:tcW w:type="dxa" w:w="1512"/>
          </w:tcPr>
          <w:p>
            <w:r>
              <w:rPr>
                <w:rFonts w:ascii="Arial" w:hAnsi="Arial"/>
                <w:sz w:val="18"/>
              </w:rPr>
              <w:t>Khordha</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-14.27</w:t>
            </w:r>
          </w:p>
        </w:tc>
        <w:tc>
          <w:tcPr>
            <w:tcW w:type="dxa" w:w="1512"/>
          </w:tcPr>
          <w:p>
            <w:r>
              <w:rPr>
                <w:rFonts w:ascii="Arial" w:hAnsi="Arial"/>
                <w:sz w:val="18"/>
              </w:rPr>
              <w:t>-7.32</w:t>
            </w:r>
          </w:p>
        </w:tc>
        <w:tc>
          <w:tcPr>
            <w:tcW w:type="dxa" w:w="1512"/>
          </w:tcPr>
          <w:p>
            <w:r>
              <w:rPr>
                <w:rFonts w:ascii="Arial" w:hAnsi="Arial"/>
                <w:sz w:val="18"/>
              </w:rPr>
              <w:t>0.216</w:t>
            </w:r>
          </w:p>
        </w:tc>
      </w:tr>
      <w:tr>
        <w:tc>
          <w:tcPr>
            <w:tcW w:type="dxa" w:w="1512"/>
          </w:tcPr>
          <w:p>
            <w:r>
              <w:rPr>
                <w:rFonts w:ascii="Arial" w:hAnsi="Arial"/>
                <w:sz w:val="18"/>
              </w:rPr>
              <w:t>Khordha</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-7.38</w:t>
            </w:r>
          </w:p>
        </w:tc>
        <w:tc>
          <w:tcPr>
            <w:tcW w:type="dxa" w:w="1512"/>
          </w:tcPr>
          <w:p>
            <w:r>
              <w:rPr>
                <w:rFonts w:ascii="Arial" w:hAnsi="Arial"/>
                <w:sz w:val="18"/>
              </w:rPr>
              <w:t>0.262</w:t>
            </w:r>
          </w:p>
        </w:tc>
      </w:tr>
      <w:tr>
        <w:tc>
          <w:tcPr>
            <w:tcW w:type="dxa" w:w="1512"/>
          </w:tcPr>
          <w:p>
            <w:r>
              <w:rPr>
                <w:rFonts w:ascii="Arial" w:hAnsi="Arial"/>
                <w:sz w:val="18"/>
              </w:rPr>
              <w:t>Nayagarh</w:t>
            </w:r>
          </w:p>
        </w:tc>
        <w:tc>
          <w:tcPr>
            <w:tcW w:type="dxa" w:w="1512"/>
          </w:tcPr>
          <w:p>
            <w:r>
              <w:rPr>
                <w:rFonts w:ascii="Arial" w:hAnsi="Arial"/>
                <w:sz w:val="18"/>
              </w:rPr>
              <w:t>Pre-transplant baseline (May)</w:t>
            </w:r>
          </w:p>
        </w:tc>
        <w:tc>
          <w:tcPr>
            <w:tcW w:type="dxa" w:w="1512"/>
          </w:tcPr>
          <w:p>
            <w:r>
              <w:rPr>
                <w:rFonts w:ascii="Arial" w:hAnsi="Arial"/>
                <w:sz w:val="18"/>
              </w:rPr>
              <w:t>1</w:t>
            </w:r>
          </w:p>
        </w:tc>
        <w:tc>
          <w:tcPr>
            <w:tcW w:type="dxa" w:w="1512"/>
          </w:tcPr>
          <w:p>
            <w:r>
              <w:rPr>
                <w:rFonts w:ascii="Arial" w:hAnsi="Arial"/>
                <w:sz w:val="18"/>
              </w:rPr>
              <w:t>-13.43</w:t>
            </w:r>
          </w:p>
        </w:tc>
        <w:tc>
          <w:tcPr>
            <w:tcW w:type="dxa" w:w="1512"/>
          </w:tcPr>
          <w:p>
            <w:r>
              <w:rPr>
                <w:rFonts w:ascii="Arial" w:hAnsi="Arial"/>
                <w:sz w:val="18"/>
              </w:rPr>
              <w:t>-7.12</w:t>
            </w:r>
          </w:p>
        </w:tc>
        <w:tc>
          <w:tcPr>
            <w:tcW w:type="dxa" w:w="1512"/>
          </w:tcPr>
          <w:p>
            <w:r>
              <w:rPr>
                <w:rFonts w:ascii="Arial" w:hAnsi="Arial"/>
                <w:sz w:val="18"/>
              </w:rPr>
              <w:t>0.241</w:t>
            </w:r>
          </w:p>
        </w:tc>
      </w:tr>
      <w:tr>
        <w:tc>
          <w:tcPr>
            <w:tcW w:type="dxa" w:w="1512"/>
          </w:tcPr>
          <w:p>
            <w:r>
              <w:rPr>
                <w:rFonts w:ascii="Arial" w:hAnsi="Arial"/>
                <w:sz w:val="18"/>
              </w:rPr>
              <w:t>Nayagarh</w:t>
            </w:r>
          </w:p>
        </w:tc>
        <w:tc>
          <w:tcPr>
            <w:tcW w:type="dxa" w:w="1512"/>
          </w:tcPr>
          <w:p>
            <w:r>
              <w:rPr>
                <w:rFonts w:ascii="Arial" w:hAnsi="Arial"/>
                <w:sz w:val="18"/>
              </w:rPr>
              <w:t>Agronomic transplanting (Jun-early Aug)</w:t>
            </w:r>
          </w:p>
        </w:tc>
        <w:tc>
          <w:tcPr>
            <w:tcW w:type="dxa" w:w="1512"/>
          </w:tcPr>
          <w:p>
            <w:r>
              <w:rPr>
                <w:rFonts w:ascii="Arial" w:hAnsi="Arial"/>
                <w:sz w:val="18"/>
              </w:rPr>
              <w:t>4</w:t>
            </w:r>
          </w:p>
        </w:tc>
        <w:tc>
          <w:tcPr>
            <w:tcW w:type="dxa" w:w="1512"/>
          </w:tcPr>
          <w:p>
            <w:r>
              <w:rPr>
                <w:rFonts w:ascii="Arial" w:hAnsi="Arial"/>
                <w:sz w:val="18"/>
              </w:rPr>
              <w:t>-13.46</w:t>
            </w:r>
          </w:p>
        </w:tc>
        <w:tc>
          <w:tcPr>
            <w:tcW w:type="dxa" w:w="1512"/>
          </w:tcPr>
          <w:p>
            <w:r>
              <w:rPr>
                <w:rFonts w:ascii="Arial" w:hAnsi="Arial"/>
                <w:sz w:val="18"/>
              </w:rPr>
              <w:t>-6.74</w:t>
            </w:r>
          </w:p>
        </w:tc>
        <w:tc>
          <w:tcPr>
            <w:tcW w:type="dxa" w:w="1512"/>
          </w:tcPr>
          <w:p>
            <w:r>
              <w:rPr>
                <w:rFonts w:ascii="Arial" w:hAnsi="Arial"/>
                <w:sz w:val="18"/>
              </w:rPr>
              <w:t>0.220</w:t>
            </w:r>
          </w:p>
        </w:tc>
      </w:tr>
      <w:tr>
        <w:tc>
          <w:tcPr>
            <w:tcW w:type="dxa" w:w="1512"/>
          </w:tcPr>
          <w:p>
            <w:r>
              <w:rPr>
                <w:rFonts w:ascii="Arial" w:hAnsi="Arial"/>
                <w:sz w:val="18"/>
              </w:rPr>
              <w:t>Nayagarh</w:t>
            </w:r>
          </w:p>
        </w:tc>
        <w:tc>
          <w:tcPr>
            <w:tcW w:type="dxa" w:w="1512"/>
          </w:tcPr>
          <w:p>
            <w:r>
              <w:rPr>
                <w:rFonts w:ascii="Arial" w:hAnsi="Arial"/>
                <w:sz w:val="18"/>
              </w:rPr>
              <w:t>Peak canopy (mid-Aug-late Sep)</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-6.35</w:t>
            </w:r>
          </w:p>
        </w:tc>
        <w:tc>
          <w:tcPr>
            <w:tcW w:type="dxa" w:w="1512"/>
          </w:tcPr>
          <w:p>
            <w:r>
              <w:rPr>
                <w:rFonts w:ascii="Arial" w:hAnsi="Arial"/>
                <w:sz w:val="18"/>
              </w:rPr>
              <w:t>0.205</w:t>
            </w:r>
          </w:p>
        </w:tc>
      </w:tr>
      <w:tr>
        <w:tc>
          <w:tcPr>
            <w:tcW w:type="dxa" w:w="1512"/>
          </w:tcPr>
          <w:p>
            <w:r>
              <w:rPr>
                <w:rFonts w:ascii="Arial" w:hAnsi="Arial"/>
                <w:sz w:val="18"/>
              </w:rPr>
              <w:t>Nayagarh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-13.20</w:t>
            </w:r>
          </w:p>
        </w:tc>
        <w:tc>
          <w:tcPr>
            <w:tcW w:type="dxa" w:w="1512"/>
          </w:tcPr>
          <w:p>
            <w:r>
              <w:rPr>
                <w:rFonts w:ascii="Arial" w:hAnsi="Arial"/>
                <w:sz w:val="18"/>
              </w:rPr>
              <w:t>-6.76</w:t>
            </w:r>
          </w:p>
        </w:tc>
        <w:tc>
          <w:tcPr>
            <w:tcW w:type="dxa" w:w="1512"/>
          </w:tcPr>
          <w:p>
            <w:r>
              <w:rPr>
                <w:rFonts w:ascii="Arial" w:hAnsi="Arial"/>
                <w:sz w:val="18"/>
              </w:rPr>
              <w:t>0.235</w:t>
            </w:r>
          </w:p>
        </w:tc>
      </w:tr>
    </w:tbl>
    <w:p/>
    <w:p>
      <w:r>
        <w:rPr>
          <w:rFonts w:ascii="Arial" w:hAnsi="Arial"/>
          <w:b/>
          <w:sz w:val="20"/>
        </w:rPr>
        <w:t>(b) Delta vs pre-transplant baseline</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Pr>
                <w:rFonts w:ascii="Arial" w:hAnsi="Arial"/>
                <w:b/>
                <w:sz w:val="18"/>
              </w:rPr>
              <w:t>District</w:t>
            </w:r>
          </w:p>
        </w:tc>
        <w:tc>
          <w:tcPr>
            <w:tcW w:type="dxa" w:w="1814"/>
          </w:tcPr>
          <w:p>
            <w:r>
              <w:rPr>
                <w:rFonts w:ascii="Arial" w:hAnsi="Arial"/>
                <w:b/>
                <w:sz w:val="18"/>
              </w:rPr>
              <w:t>Phase</w:t>
            </w:r>
          </w:p>
        </w:tc>
        <w:tc>
          <w:tcPr>
            <w:tcW w:type="dxa" w:w="1814"/>
          </w:tcPr>
          <w:p>
            <w:r>
              <w:rPr>
                <w:rFonts w:ascii="Arial" w:hAnsi="Arial"/>
                <w:b/>
                <w:sz w:val="18"/>
              </w:rPr>
              <w:t>Delta VH (dB)</w:t>
            </w:r>
          </w:p>
        </w:tc>
        <w:tc>
          <w:tcPr>
            <w:tcW w:type="dxa" w:w="1814"/>
          </w:tcPr>
          <w:p>
            <w:r>
              <w:rPr>
                <w:rFonts w:ascii="Arial" w:hAnsi="Arial"/>
                <w:b/>
                <w:sz w:val="18"/>
              </w:rPr>
              <w:t>Delta VV (dB)</w:t>
            </w:r>
          </w:p>
        </w:tc>
        <w:tc>
          <w:tcPr>
            <w:tcW w:type="dxa" w:w="1816"/>
          </w:tcPr>
          <w:p>
            <w:r>
              <w:rPr>
                <w:rFonts w:ascii="Arial" w:hAnsi="Arial"/>
                <w:b/>
                <w:sz w:val="18"/>
              </w:rPr>
              <w:t>Delta CR</w:t>
            </w:r>
          </w:p>
        </w:tc>
      </w:tr>
      <w:tr>
        <w:tc>
          <w:tcPr>
            <w:tcW w:type="dxa" w:w="1814"/>
          </w:tcPr>
          <w:p>
            <w:r>
              <w:rPr>
                <w:rFonts w:ascii="Arial" w:hAnsi="Arial"/>
                <w:sz w:val="18"/>
              </w:rPr>
              <w:t>Boudh</w:t>
            </w:r>
          </w:p>
        </w:tc>
        <w:tc>
          <w:tcPr>
            <w:tcW w:type="dxa" w:w="1814"/>
          </w:tcPr>
          <w:p>
            <w:r>
              <w:rPr>
                <w:rFonts w:ascii="Arial" w:hAnsi="Arial"/>
                <w:sz w:val="18"/>
              </w:rPr>
              <w:t>Agronomic transplanting (Jun-early Aug)</w:t>
            </w:r>
          </w:p>
        </w:tc>
        <w:tc>
          <w:tcPr>
            <w:tcW w:type="dxa" w:w="1814"/>
          </w:tcPr>
          <w:p>
            <w:r>
              <w:rPr>
                <w:rFonts w:ascii="Arial" w:hAnsi="Arial"/>
                <w:sz w:val="18"/>
              </w:rPr>
              <w:t>+1.25</w:t>
            </w:r>
          </w:p>
        </w:tc>
        <w:tc>
          <w:tcPr>
            <w:tcW w:type="dxa" w:w="1814"/>
          </w:tcPr>
          <w:p>
            <w:r>
              <w:rPr>
                <w:rFonts w:ascii="Arial" w:hAnsi="Arial"/>
                <w:sz w:val="18"/>
              </w:rPr>
              <w:t>+1.51</w:t>
            </w:r>
          </w:p>
        </w:tc>
        <w:tc>
          <w:tcPr>
            <w:tcW w:type="dxa" w:w="1816"/>
          </w:tcPr>
          <w:p>
            <w:r>
              <w:rPr>
                <w:rFonts w:ascii="Arial" w:hAnsi="Arial"/>
                <w:sz w:val="18"/>
              </w:rPr>
              <w:t>-0.013</w:t>
            </w:r>
          </w:p>
        </w:tc>
      </w:tr>
      <w:tr>
        <w:tc>
          <w:tcPr>
            <w:tcW w:type="dxa" w:w="1814"/>
          </w:tcPr>
          <w:p>
            <w:r>
              <w:rPr>
                <w:rFonts w:ascii="Arial" w:hAnsi="Arial"/>
                <w:sz w:val="18"/>
              </w:rPr>
              <w:t>Boudh</w:t>
            </w:r>
          </w:p>
        </w:tc>
        <w:tc>
          <w:tcPr>
            <w:tcW w:type="dxa" w:w="1814"/>
          </w:tcPr>
          <w:p>
            <w:r>
              <w:rPr>
                <w:rFonts w:ascii="Arial" w:hAnsi="Arial"/>
                <w:sz w:val="18"/>
              </w:rPr>
              <w:t>Peak canopy (mid-Aug-late Sep)</w:t>
            </w:r>
          </w:p>
        </w:tc>
        <w:tc>
          <w:tcPr>
            <w:tcW w:type="dxa" w:w="1814"/>
          </w:tcPr>
          <w:p>
            <w:r>
              <w:rPr>
                <w:rFonts w:ascii="Arial" w:hAnsi="Arial"/>
                <w:sz w:val="18"/>
              </w:rPr>
              <w:t>+1.39</w:t>
            </w:r>
          </w:p>
        </w:tc>
        <w:tc>
          <w:tcPr>
            <w:tcW w:type="dxa" w:w="1814"/>
          </w:tcPr>
          <w:p>
            <w:r>
              <w:rPr>
                <w:rFonts w:ascii="Arial" w:hAnsi="Arial"/>
                <w:sz w:val="18"/>
              </w:rPr>
              <w:t>+1.89</w:t>
            </w:r>
          </w:p>
        </w:tc>
        <w:tc>
          <w:tcPr>
            <w:tcW w:type="dxa" w:w="1816"/>
          </w:tcPr>
          <w:p>
            <w:r>
              <w:rPr>
                <w:rFonts w:ascii="Arial" w:hAnsi="Arial"/>
                <w:sz w:val="18"/>
              </w:rPr>
              <w:t>-0.024</w:t>
            </w:r>
          </w:p>
        </w:tc>
      </w:tr>
      <w:tr>
        <w:tc>
          <w:tcPr>
            <w:tcW w:type="dxa" w:w="1814"/>
          </w:tcPr>
          <w:p>
            <w:r>
              <w:rPr>
                <w:rFonts w:ascii="Arial" w:hAnsi="Arial"/>
                <w:sz w:val="18"/>
              </w:rPr>
              <w:t>Boudh</w:t>
            </w:r>
          </w:p>
        </w:tc>
        <w:tc>
          <w:tcPr>
            <w:tcW w:type="dxa" w:w="1814"/>
          </w:tcPr>
          <w:p>
            <w:r>
              <w:rPr>
                <w:rFonts w:ascii="Arial" w:hAnsi="Arial"/>
                <w:sz w:val="18"/>
              </w:rPr>
              <w:t>Bulbul event window (Nov 1-21)</w:t>
            </w:r>
          </w:p>
        </w:tc>
        <w:tc>
          <w:tcPr>
            <w:tcW w:type="dxa" w:w="1814"/>
          </w:tcPr>
          <w:p>
            <w:r>
              <w:rPr>
                <w:rFonts w:ascii="Arial" w:hAnsi="Arial"/>
                <w:sz w:val="18"/>
              </w:rPr>
              <w:t>+1.41</w:t>
            </w:r>
          </w:p>
        </w:tc>
        <w:tc>
          <w:tcPr>
            <w:tcW w:type="dxa" w:w="1814"/>
          </w:tcPr>
          <w:p>
            <w:r>
              <w:rPr>
                <w:rFonts w:ascii="Arial" w:hAnsi="Arial"/>
                <w:sz w:val="18"/>
              </w:rPr>
              <w:t>+1.46</w:t>
            </w:r>
          </w:p>
        </w:tc>
        <w:tc>
          <w:tcPr>
            <w:tcW w:type="dxa" w:w="1816"/>
          </w:tcPr>
          <w:p>
            <w:r>
              <w:rPr>
                <w:rFonts w:ascii="Arial" w:hAnsi="Arial"/>
                <w:sz w:val="18"/>
              </w:rPr>
              <w:t>-0.001</w:t>
            </w:r>
          </w:p>
        </w:tc>
      </w:tr>
      <w:tr>
        <w:tc>
          <w:tcPr>
            <w:tcW w:type="dxa" w:w="1814"/>
          </w:tcPr>
          <w:p>
            <w:r>
              <w:rPr>
                <w:rFonts w:ascii="Arial" w:hAnsi="Arial"/>
                <w:sz w:val="18"/>
              </w:rPr>
              <w:t>Ganjam</w:t>
            </w:r>
          </w:p>
        </w:tc>
        <w:tc>
          <w:tcPr>
            <w:tcW w:type="dxa" w:w="1814"/>
          </w:tcPr>
          <w:p>
            <w:r>
              <w:rPr>
                <w:rFonts w:ascii="Arial" w:hAnsi="Arial"/>
                <w:sz w:val="18"/>
              </w:rPr>
              <w:t>Agronomic transplanting (Jun-early Aug)</w:t>
            </w:r>
          </w:p>
        </w:tc>
        <w:tc>
          <w:tcPr>
            <w:tcW w:type="dxa" w:w="1814"/>
          </w:tcPr>
          <w:p>
            <w:r>
              <w:rPr>
                <w:rFonts w:ascii="Arial" w:hAnsi="Arial"/>
                <w:sz w:val="18"/>
              </w:rPr>
              <w:t>+0.07</w:t>
            </w:r>
          </w:p>
        </w:tc>
        <w:tc>
          <w:tcPr>
            <w:tcW w:type="dxa" w:w="1814"/>
          </w:tcPr>
          <w:p>
            <w:r>
              <w:rPr>
                <w:rFonts w:ascii="Arial" w:hAnsi="Arial"/>
                <w:sz w:val="18"/>
              </w:rPr>
              <w:t>+0.09</w:t>
            </w:r>
          </w:p>
        </w:tc>
        <w:tc>
          <w:tcPr>
            <w:tcW w:type="dxa" w:w="1816"/>
          </w:tcPr>
          <w:p>
            <w:r>
              <w:rPr>
                <w:rFonts w:ascii="Arial" w:hAnsi="Arial"/>
                <w:sz w:val="18"/>
              </w:rPr>
              <w:t>-0.002</w:t>
            </w:r>
          </w:p>
        </w:tc>
      </w:tr>
      <w:tr>
        <w:tc>
          <w:tcPr>
            <w:tcW w:type="dxa" w:w="1814"/>
          </w:tcPr>
          <w:p>
            <w:r>
              <w:rPr>
                <w:rFonts w:ascii="Arial" w:hAnsi="Arial"/>
                <w:sz w:val="18"/>
              </w:rPr>
              <w:t>Ganjam</w:t>
            </w:r>
          </w:p>
        </w:tc>
        <w:tc>
          <w:tcPr>
            <w:tcW w:type="dxa" w:w="1814"/>
          </w:tcPr>
          <w:p>
            <w:r>
              <w:rPr>
                <w:rFonts w:ascii="Arial" w:hAnsi="Arial"/>
                <w:sz w:val="18"/>
              </w:rPr>
              <w:t>Peak canopy (mid-Aug-late Sep)</w:t>
            </w:r>
          </w:p>
        </w:tc>
        <w:tc>
          <w:tcPr>
            <w:tcW w:type="dxa" w:w="1814"/>
          </w:tcPr>
          <w:p>
            <w:r>
              <w:rPr>
                <w:rFonts w:ascii="Arial" w:hAnsi="Arial"/>
                <w:sz w:val="18"/>
              </w:rPr>
              <w:t>-0.02</w:t>
            </w:r>
          </w:p>
        </w:tc>
        <w:tc>
          <w:tcPr>
            <w:tcW w:type="dxa" w:w="1814"/>
          </w:tcPr>
          <w:p>
            <w:r>
              <w:rPr>
                <w:rFonts w:ascii="Arial" w:hAnsi="Arial"/>
                <w:sz w:val="18"/>
              </w:rPr>
              <w:t>+0.46</w:t>
            </w:r>
          </w:p>
        </w:tc>
        <w:tc>
          <w:tcPr>
            <w:tcW w:type="dxa" w:w="1816"/>
          </w:tcPr>
          <w:p>
            <w:r>
              <w:rPr>
                <w:rFonts w:ascii="Arial" w:hAnsi="Arial"/>
                <w:sz w:val="18"/>
              </w:rPr>
              <w:t>-0.022</w:t>
            </w:r>
          </w:p>
        </w:tc>
      </w:tr>
      <w:tr>
        <w:tc>
          <w:tcPr>
            <w:tcW w:type="dxa" w:w="1814"/>
          </w:tcPr>
          <w:p>
            <w:r>
              <w:rPr>
                <w:rFonts w:ascii="Arial" w:hAnsi="Arial"/>
                <w:sz w:val="18"/>
              </w:rPr>
              <w:t>Ganjam</w:t>
            </w:r>
          </w:p>
        </w:tc>
        <w:tc>
          <w:tcPr>
            <w:tcW w:type="dxa" w:w="1814"/>
          </w:tcPr>
          <w:p>
            <w:r>
              <w:rPr>
                <w:rFonts w:ascii="Arial" w:hAnsi="Arial"/>
                <w:sz w:val="18"/>
              </w:rPr>
              <w:t>Bulbul event window (Nov 1-21)</w:t>
            </w:r>
          </w:p>
        </w:tc>
        <w:tc>
          <w:tcPr>
            <w:tcW w:type="dxa" w:w="1814"/>
          </w:tcPr>
          <w:p>
            <w:r>
              <w:rPr>
                <w:rFonts w:ascii="Arial" w:hAnsi="Arial"/>
                <w:sz w:val="18"/>
              </w:rPr>
              <w:t>+0.06</w:t>
            </w:r>
          </w:p>
        </w:tc>
        <w:tc>
          <w:tcPr>
            <w:tcW w:type="dxa" w:w="1814"/>
          </w:tcPr>
          <w:p>
            <w:r>
              <w:rPr>
                <w:rFonts w:ascii="Arial" w:hAnsi="Arial"/>
                <w:sz w:val="18"/>
              </w:rPr>
              <w:t>-0.42</w:t>
            </w:r>
          </w:p>
        </w:tc>
        <w:tc>
          <w:tcPr>
            <w:tcW w:type="dxa" w:w="1816"/>
          </w:tcPr>
          <w:p>
            <w:r>
              <w:rPr>
                <w:rFonts w:ascii="Arial" w:hAnsi="Arial"/>
                <w:sz w:val="18"/>
              </w:rPr>
              <w:t>+0.028</w:t>
            </w:r>
          </w:p>
        </w:tc>
      </w:tr>
      <w:tr>
        <w:tc>
          <w:tcPr>
            <w:tcW w:type="dxa" w:w="1814"/>
          </w:tcPr>
          <w:p>
            <w:r>
              <w:rPr>
                <w:rFonts w:ascii="Arial" w:hAnsi="Arial"/>
                <w:sz w:val="18"/>
              </w:rPr>
              <w:t>Khordha</w:t>
            </w:r>
          </w:p>
        </w:tc>
        <w:tc>
          <w:tcPr>
            <w:tcW w:type="dxa" w:w="1814"/>
          </w:tcPr>
          <w:p>
            <w:r>
              <w:rPr>
                <w:rFonts w:ascii="Arial" w:hAnsi="Arial"/>
                <w:sz w:val="18"/>
              </w:rPr>
              <w:t>Agronomic transplanting (Jun-early Aug)</w:t>
            </w:r>
          </w:p>
        </w:tc>
        <w:tc>
          <w:tcPr>
            <w:tcW w:type="dxa" w:w="1814"/>
          </w:tcPr>
          <w:p>
            <w:r>
              <w:rPr>
                <w:rFonts w:ascii="Arial" w:hAnsi="Arial"/>
                <w:sz w:val="18"/>
              </w:rPr>
              <w:t>+0.81</w:t>
            </w:r>
          </w:p>
        </w:tc>
        <w:tc>
          <w:tcPr>
            <w:tcW w:type="dxa" w:w="1814"/>
          </w:tcPr>
          <w:p>
            <w:r>
              <w:rPr>
                <w:rFonts w:ascii="Arial" w:hAnsi="Arial"/>
                <w:sz w:val="18"/>
              </w:rPr>
              <w:t>+1.28</w:t>
            </w:r>
          </w:p>
        </w:tc>
        <w:tc>
          <w:tcPr>
            <w:tcW w:type="dxa" w:w="1816"/>
          </w:tcPr>
          <w:p>
            <w:r>
              <w:rPr>
                <w:rFonts w:ascii="Arial" w:hAnsi="Arial"/>
                <w:sz w:val="18"/>
              </w:rPr>
              <w:t>-0.022</w:t>
            </w:r>
          </w:p>
        </w:tc>
      </w:tr>
      <w:tr>
        <w:tc>
          <w:tcPr>
            <w:tcW w:type="dxa" w:w="1814"/>
          </w:tcPr>
          <w:p>
            <w:r>
              <w:rPr>
                <w:rFonts w:ascii="Arial" w:hAnsi="Arial"/>
                <w:sz w:val="18"/>
              </w:rPr>
              <w:t>Khordha</w:t>
            </w:r>
          </w:p>
        </w:tc>
        <w:tc>
          <w:tcPr>
            <w:tcW w:type="dxa" w:w="1814"/>
          </w:tcPr>
          <w:p>
            <w:r>
              <w:rPr>
                <w:rFonts w:ascii="Arial" w:hAnsi="Arial"/>
                <w:sz w:val="18"/>
              </w:rPr>
              <w:t>Peak canopy (mid-Aug-late Sep)</w:t>
            </w:r>
          </w:p>
        </w:tc>
        <w:tc>
          <w:tcPr>
            <w:tcW w:type="dxa" w:w="1814"/>
          </w:tcPr>
          <w:p>
            <w:r>
              <w:rPr>
                <w:rFonts w:ascii="Arial" w:hAnsi="Arial"/>
                <w:sz w:val="18"/>
              </w:rPr>
              <w:t>+0.78</w:t>
            </w:r>
          </w:p>
        </w:tc>
        <w:tc>
          <w:tcPr>
            <w:tcW w:type="dxa" w:w="1814"/>
          </w:tcPr>
          <w:p>
            <w:r>
              <w:rPr>
                <w:rFonts w:ascii="Arial" w:hAnsi="Arial"/>
                <w:sz w:val="18"/>
              </w:rPr>
              <w:t>+1.43</w:t>
            </w:r>
          </w:p>
        </w:tc>
        <w:tc>
          <w:tcPr>
            <w:tcW w:type="dxa" w:w="1816"/>
          </w:tcPr>
          <w:p>
            <w:r>
              <w:rPr>
                <w:rFonts w:ascii="Arial" w:hAnsi="Arial"/>
                <w:sz w:val="18"/>
              </w:rPr>
              <w:t>-0.029</w:t>
            </w:r>
          </w:p>
        </w:tc>
      </w:tr>
      <w:tr>
        <w:tc>
          <w:tcPr>
            <w:tcW w:type="dxa" w:w="1814"/>
          </w:tcPr>
          <w:p>
            <w:r>
              <w:rPr>
                <w:rFonts w:ascii="Arial" w:hAnsi="Arial"/>
                <w:sz w:val="18"/>
              </w:rPr>
              <w:t>Khordha</w:t>
            </w:r>
          </w:p>
        </w:tc>
        <w:tc>
          <w:tcPr>
            <w:tcW w:type="dxa" w:w="1814"/>
          </w:tcPr>
          <w:p>
            <w:r>
              <w:rPr>
                <w:rFonts w:ascii="Arial" w:hAnsi="Arial"/>
                <w:sz w:val="18"/>
              </w:rPr>
              <w:t>Bulbul event window (Nov 1-21)</w:t>
            </w:r>
          </w:p>
        </w:tc>
        <w:tc>
          <w:tcPr>
            <w:tcW w:type="dxa" w:w="1814"/>
          </w:tcPr>
          <w:p>
            <w:r>
              <w:rPr>
                <w:rFonts w:ascii="Arial" w:hAnsi="Arial"/>
                <w:sz w:val="18"/>
              </w:rPr>
              <w:t>+1.63</w:t>
            </w:r>
          </w:p>
        </w:tc>
        <w:tc>
          <w:tcPr>
            <w:tcW w:type="dxa" w:w="1814"/>
          </w:tcPr>
          <w:p>
            <w:r>
              <w:rPr>
                <w:rFonts w:ascii="Arial" w:hAnsi="Arial"/>
                <w:sz w:val="18"/>
              </w:rPr>
              <w:t>+1.37</w:t>
            </w:r>
          </w:p>
        </w:tc>
        <w:tc>
          <w:tcPr>
            <w:tcW w:type="dxa" w:w="1816"/>
          </w:tcPr>
          <w:p>
            <w:r>
              <w:rPr>
                <w:rFonts w:ascii="Arial" w:hAnsi="Arial"/>
                <w:sz w:val="18"/>
              </w:rPr>
              <w:t>+0.017</w:t>
            </w:r>
          </w:p>
        </w:tc>
      </w:tr>
      <w:tr>
        <w:tc>
          <w:tcPr>
            <w:tcW w:type="dxa" w:w="1814"/>
          </w:tcPr>
          <w:p>
            <w:r>
              <w:rPr>
                <w:rFonts w:ascii="Arial" w:hAnsi="Arial"/>
                <w:sz w:val="18"/>
              </w:rPr>
              <w:t>Nayagarh</w:t>
            </w:r>
          </w:p>
        </w:tc>
        <w:tc>
          <w:tcPr>
            <w:tcW w:type="dxa" w:w="1814"/>
          </w:tcPr>
          <w:p>
            <w:r>
              <w:rPr>
                <w:rFonts w:ascii="Arial" w:hAnsi="Arial"/>
                <w:sz w:val="18"/>
              </w:rPr>
              <w:t>Agronomic transplanting (Jun-early Aug)</w:t>
            </w:r>
          </w:p>
        </w:tc>
        <w:tc>
          <w:tcPr>
            <w:tcW w:type="dxa" w:w="1814"/>
          </w:tcPr>
          <w:p>
            <w:r>
              <w:rPr>
                <w:rFonts w:ascii="Arial" w:hAnsi="Arial"/>
                <w:sz w:val="18"/>
              </w:rPr>
              <w:t>-0.03</w:t>
            </w:r>
          </w:p>
        </w:tc>
        <w:tc>
          <w:tcPr>
            <w:tcW w:type="dxa" w:w="1814"/>
          </w:tcPr>
          <w:p>
            <w:r>
              <w:rPr>
                <w:rFonts w:ascii="Arial" w:hAnsi="Arial"/>
                <w:sz w:val="18"/>
              </w:rPr>
              <w:t>+0.38</w:t>
            </w:r>
          </w:p>
        </w:tc>
        <w:tc>
          <w:tcPr>
            <w:tcW w:type="dxa" w:w="1816"/>
          </w:tcPr>
          <w:p>
            <w:r>
              <w:rPr>
                <w:rFonts w:ascii="Arial" w:hAnsi="Arial"/>
                <w:sz w:val="18"/>
              </w:rPr>
              <w:t>-0.021</w:t>
            </w:r>
          </w:p>
        </w:tc>
      </w:tr>
      <w:tr>
        <w:tc>
          <w:tcPr>
            <w:tcW w:type="dxa" w:w="1814"/>
          </w:tcPr>
          <w:p>
            <w:r>
              <w:rPr>
                <w:rFonts w:ascii="Arial" w:hAnsi="Arial"/>
                <w:sz w:val="18"/>
              </w:rPr>
              <w:t>Nayagarh</w:t>
            </w:r>
          </w:p>
        </w:tc>
        <w:tc>
          <w:tcPr>
            <w:tcW w:type="dxa" w:w="1814"/>
          </w:tcPr>
          <w:p>
            <w:r>
              <w:rPr>
                <w:rFonts w:ascii="Arial" w:hAnsi="Arial"/>
                <w:sz w:val="18"/>
              </w:rPr>
              <w:t>Peak canopy (mid-Aug-late Sep)</w:t>
            </w:r>
          </w:p>
        </w:tc>
        <w:tc>
          <w:tcPr>
            <w:tcW w:type="dxa" w:w="1814"/>
          </w:tcPr>
          <w:p>
            <w:r>
              <w:rPr>
                <w:rFonts w:ascii="Arial" w:hAnsi="Arial"/>
                <w:sz w:val="18"/>
              </w:rPr>
              <w:t>+0.01</w:t>
            </w:r>
          </w:p>
        </w:tc>
        <w:tc>
          <w:tcPr>
            <w:tcW w:type="dxa" w:w="1814"/>
          </w:tcPr>
          <w:p>
            <w:r>
              <w:rPr>
                <w:rFonts w:ascii="Arial" w:hAnsi="Arial"/>
                <w:sz w:val="18"/>
              </w:rPr>
              <w:t>+0.77</w:t>
            </w:r>
          </w:p>
        </w:tc>
        <w:tc>
          <w:tcPr>
            <w:tcW w:type="dxa" w:w="1816"/>
          </w:tcPr>
          <w:p>
            <w:r>
              <w:rPr>
                <w:rFonts w:ascii="Arial" w:hAnsi="Arial"/>
                <w:sz w:val="18"/>
              </w:rPr>
              <w:t>-0.036</w:t>
            </w:r>
          </w:p>
        </w:tc>
      </w:tr>
      <w:tr>
        <w:tc>
          <w:tcPr>
            <w:tcW w:type="dxa" w:w="1814"/>
          </w:tcPr>
          <w:p>
            <w:r>
              <w:rPr>
                <w:rFonts w:ascii="Arial" w:hAnsi="Arial"/>
                <w:sz w:val="18"/>
              </w:rPr>
              <w:t>Nayagarh</w:t>
            </w:r>
          </w:p>
        </w:tc>
        <w:tc>
          <w:tcPr>
            <w:tcW w:type="dxa" w:w="1814"/>
          </w:tcPr>
          <w:p>
            <w:r>
              <w:rPr>
                <w:rFonts w:ascii="Arial" w:hAnsi="Arial"/>
                <w:sz w:val="18"/>
              </w:rPr>
              <w:t>Bulbul event window (Nov 1-21)</w:t>
            </w:r>
          </w:p>
        </w:tc>
        <w:tc>
          <w:tcPr>
            <w:tcW w:type="dxa" w:w="1814"/>
          </w:tcPr>
          <w:p>
            <w:r>
              <w:rPr>
                <w:rFonts w:ascii="Arial" w:hAnsi="Arial"/>
                <w:sz w:val="18"/>
              </w:rPr>
              <w:t>+0.23</w:t>
            </w:r>
          </w:p>
        </w:tc>
        <w:tc>
          <w:tcPr>
            <w:tcW w:type="dxa" w:w="1814"/>
          </w:tcPr>
          <w:p>
            <w:r>
              <w:rPr>
                <w:rFonts w:ascii="Arial" w:hAnsi="Arial"/>
                <w:sz w:val="18"/>
              </w:rPr>
              <w:t>+0.36</w:t>
            </w:r>
          </w:p>
        </w:tc>
        <w:tc>
          <w:tcPr>
            <w:tcW w:type="dxa" w:w="1816"/>
          </w:tcPr>
          <w:p>
            <w:r>
              <w:rPr>
                <w:rFonts w:ascii="Arial" w:hAnsi="Arial"/>
                <w:sz w:val="18"/>
              </w:rPr>
              <w:t>-0.006</w:t>
            </w:r>
          </w:p>
        </w:tc>
      </w:tr>
    </w:tbl>
    <w:p>
      <w:r>
        <w:rPr>
          <w:rFonts w:ascii="Arial" w:hAnsi="Arial"/>
          <w:sz w:val="20"/>
        </w:rPr>
        <w:br w:type="page"/>
      </w:r>
    </w:p>
    <w:p>
      <w:pPr>
        <w:keepNext/>
        <w:spacing w:before="240" w:after="120"/>
      </w:pPr>
      <w:bookmarkStart w:id="32410" w:name="figure_s1"/>
      <w:r>
        <w:rPr>
          <w:rFonts w:ascii="Arial" w:hAnsi="Arial"/>
          <w:b/>
          <w:color w:val="1F3A5F"/>
          <w:sz w:val="32"/>
        </w:rPr>
        <w:t>Figure S1 — Pre-Kharif cyclone climatology</w:t>
      </w:r>
      <w:bookmarkEnd w:id="32410"/>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991" w:name="figure_s2"/>
      <w:r>
        <w:rPr>
          <w:rFonts w:ascii="Arial" w:hAnsi="Arial"/>
          <w:b/>
          <w:color w:val="1F3A5F"/>
          <w:sz w:val="32"/>
        </w:rPr>
        <w:t>Figure S2 — Real Sentinel-1 RTC backscatter signatures (Planetary Computer)</w:t>
      </w:r>
      <w:bookmarkEnd w:id="95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p>
    <w:sectPr w:rsidR="00FC693F" w:rsidRPr="0006063C" w:rsidSect="00034616">
      <w:footerReference w:type="default" r:id="rId9"/>
      <w:pgSz w:w="11906" w:h="16838"/>
      <w:pgMar w:top="1417" w:right="1417" w:bottom="1417" w:left="1417" w:header="720" w:footer="720" w:gutter="0"/>
      <w:cols w:space="720"/>
      <w:docGrid w:linePitch="360"/>
    </w:sectPr>
    <w:p>
      <w:r>
        <w:rPr>
          <w:b/>
          <w:color w:val="1F3A5F"/>
          <w:sz w:val="26"/>
        </w:rPr>
        <w:t>Table S10 — Random-forest classifier feature importance and falsifiability checks</w:t>
      </w:r>
    </w:p>
    <w:p>
      <w:r>
        <w:rPr>
          <w:b/>
          <w:color w:val="1F3A5F"/>
          <w:sz w:val="22"/>
        </w:rPr>
        <w:t>Panel A. Gini feature importance (full-feature model, n_features = 7)</w:t>
      </w:r>
    </w:p>
    <w:p>
      <w:r>
        <w:rPr>
          <w:i/>
          <w:sz w:val="18"/>
        </w:rPr>
        <w:t>Gini importance of features in the v0.3.0 saline-flood random-forest classifier (n_train = 384, n_test = 96, OA = 0.990, F1 = 0.990). Source: analysis/results/rf_feature_importance_real.csv.</w:t>
      </w:r>
    </w:p>
    <w:tbl>
      <w:tblPr>
        <w:tblStyle w:val="RSEPlainGrid"/>
        <w:tblW w:type="dxa" w:w="9072"/>
        <w:tblLook w:val="0420" w:firstRow="1" w:lastRow="0" w:firstColumn="0" w:lastColumn="0" w:noHBand="1" w:noVBand="1"/>
        <w:tblLayout w:type="autofit"/>
      </w:tblPr>
      <w:tblGrid>
        <w:gridCol w:w="2268"/>
        <w:gridCol w:w="2268"/>
        <w:gridCol w:w="2268"/>
        <w:gridCol w:w="2268"/>
      </w:tblGrid>
      <w:tr>
        <w:tc>
          <w:tcPr>
            <w:tcW w:type="dxa" w:w="2268"/>
          </w:tcPr>
          <w:p>
            <w:r/>
            <w:r>
              <w:rPr>
                <w:b/>
                <w:sz w:val="18"/>
              </w:rPr>
              <w:t>Rank</w:t>
            </w:r>
          </w:p>
        </w:tc>
        <w:tc>
          <w:tcPr>
            <w:tcW w:type="dxa" w:w="2268"/>
          </w:tcPr>
          <w:p>
            <w:r/>
            <w:r>
              <w:rPr>
                <w:b/>
                <w:sz w:val="18"/>
              </w:rPr>
              <w:t>Feature</w:t>
            </w:r>
          </w:p>
        </w:tc>
        <w:tc>
          <w:tcPr>
            <w:tcW w:type="dxa" w:w="2268"/>
          </w:tcPr>
          <w:p>
            <w:r/>
            <w:r>
              <w:rPr>
                <w:b/>
                <w:sz w:val="18"/>
              </w:rPr>
              <w:t>Description</w:t>
            </w:r>
          </w:p>
        </w:tc>
        <w:tc>
          <w:tcPr>
            <w:tcW w:type="dxa" w:w="2268"/>
          </w:tcPr>
          <w:p>
            <w:r/>
            <w:r>
              <w:rPr>
                <w:b/>
                <w:sz w:val="18"/>
              </w:rPr>
              <w:t>Gini importance</w:t>
            </w:r>
          </w:p>
        </w:tc>
      </w:tr>
      <w:tr>
        <w:tc>
          <w:tcPr>
            <w:tcW w:type="dxa" w:w="2268"/>
          </w:tcPr>
          <w:p>
            <w:r/>
            <w:r>
              <w:rPr>
                <w:sz w:val="18"/>
              </w:rPr>
              <w:t>1</w:t>
            </w:r>
          </w:p>
        </w:tc>
        <w:tc>
          <w:tcPr>
            <w:tcW w:type="dxa" w:w="2268"/>
          </w:tcPr>
          <w:p>
            <w:r/>
            <w:r>
              <w:rPr>
                <w:sz w:val="18"/>
              </w:rPr>
              <w:t>ndwi_max_event_window</w:t>
            </w:r>
          </w:p>
        </w:tc>
        <w:tc>
          <w:tcPr>
            <w:tcW w:type="dxa" w:w="2268"/>
          </w:tcPr>
          <w:p>
            <w:r/>
            <w:r>
              <w:rPr>
                <w:sz w:val="18"/>
              </w:rPr>
              <w:t>Sentinel-2 NDWI maximum over event window</w:t>
            </w:r>
          </w:p>
        </w:tc>
        <w:tc>
          <w:tcPr>
            <w:tcW w:type="dxa" w:w="2268"/>
          </w:tcPr>
          <w:p>
            <w:r/>
            <w:r>
              <w:rPr>
                <w:sz w:val="18"/>
              </w:rPr>
              <w:t>0.4502</w:t>
            </w:r>
          </w:p>
        </w:tc>
      </w:tr>
      <w:tr>
        <w:tc>
          <w:tcPr>
            <w:tcW w:type="dxa" w:w="2268"/>
          </w:tcPr>
          <w:p>
            <w:r/>
            <w:r>
              <w:rPr>
                <w:sz w:val="18"/>
              </w:rPr>
              <w:t>2</w:t>
            </w:r>
          </w:p>
        </w:tc>
        <w:tc>
          <w:tcPr>
            <w:tcW w:type="dxa" w:w="2268"/>
          </w:tcPr>
          <w:p>
            <w:r/>
            <w:r>
              <w:rPr>
                <w:sz w:val="18"/>
              </w:rPr>
              <w:t>lswi_min_event_window</w:t>
            </w:r>
          </w:p>
        </w:tc>
        <w:tc>
          <w:tcPr>
            <w:tcW w:type="dxa" w:w="2268"/>
          </w:tcPr>
          <w:p>
            <w:r/>
            <w:r>
              <w:rPr>
                <w:sz w:val="18"/>
              </w:rPr>
              <w:t>Sentinel-2 LSWI minimum over event window</w:t>
            </w:r>
          </w:p>
        </w:tc>
        <w:tc>
          <w:tcPr>
            <w:tcW w:type="dxa" w:w="2268"/>
          </w:tcPr>
          <w:p>
            <w:r/>
            <w:r>
              <w:rPr>
                <w:sz w:val="18"/>
              </w:rPr>
              <w:t>0.3399</w:t>
            </w:r>
          </w:p>
        </w:tc>
      </w:tr>
      <w:tr>
        <w:tc>
          <w:tcPr>
            <w:tcW w:type="dxa" w:w="2268"/>
          </w:tcPr>
          <w:p>
            <w:r/>
            <w:r>
              <w:rPr>
                <w:sz w:val="18"/>
              </w:rPr>
              <w:t>3</w:t>
            </w:r>
          </w:p>
        </w:tc>
        <w:tc>
          <w:tcPr>
            <w:tcW w:type="dxa" w:w="2268"/>
          </w:tcPr>
          <w:p>
            <w:r/>
            <w:r>
              <w:rPr>
                <w:sz w:val="18"/>
              </w:rPr>
              <w:t>delta_vh_db</w:t>
            </w:r>
          </w:p>
        </w:tc>
        <w:tc>
          <w:tcPr>
            <w:tcW w:type="dxa" w:w="2268"/>
          </w:tcPr>
          <w:p>
            <w:r/>
            <w:r>
              <w:rPr>
                <w:sz w:val="18"/>
              </w:rPr>
              <w:t>ΔVH (event median − 30-day pre-baseline median, dB)</w:t>
            </w:r>
          </w:p>
        </w:tc>
        <w:tc>
          <w:tcPr>
            <w:tcW w:type="dxa" w:w="2268"/>
          </w:tcPr>
          <w:p>
            <w:r/>
            <w:r>
              <w:rPr>
                <w:sz w:val="18"/>
              </w:rPr>
              <w:t>0.0734</w:t>
            </w:r>
          </w:p>
        </w:tc>
      </w:tr>
      <w:tr>
        <w:tc>
          <w:tcPr>
            <w:tcW w:type="dxa" w:w="2268"/>
          </w:tcPr>
          <w:p>
            <w:r/>
            <w:r>
              <w:rPr>
                <w:sz w:val="18"/>
              </w:rPr>
              <w:t>4</w:t>
            </w:r>
          </w:p>
        </w:tc>
        <w:tc>
          <w:tcPr>
            <w:tcW w:type="dxa" w:w="2268"/>
          </w:tcPr>
          <w:p>
            <w:r/>
            <w:r>
              <w:rPr>
                <w:sz w:val="18"/>
              </w:rPr>
              <w:t>vv_min_event_window</w:t>
            </w:r>
          </w:p>
        </w:tc>
        <w:tc>
          <w:tcPr>
            <w:tcW w:type="dxa" w:w="2268"/>
          </w:tcPr>
          <w:p>
            <w:r/>
            <w:r>
              <w:rPr>
                <w:sz w:val="18"/>
              </w:rPr>
              <w:t>VV minimum over event window (dB)</w:t>
            </w:r>
          </w:p>
        </w:tc>
        <w:tc>
          <w:tcPr>
            <w:tcW w:type="dxa" w:w="2268"/>
          </w:tcPr>
          <w:p>
            <w:r/>
            <w:r>
              <w:rPr>
                <w:sz w:val="18"/>
              </w:rPr>
              <w:t>0.0720</w:t>
            </w:r>
          </w:p>
        </w:tc>
      </w:tr>
      <w:tr>
        <w:tc>
          <w:tcPr>
            <w:tcW w:type="dxa" w:w="2268"/>
          </w:tcPr>
          <w:p>
            <w:r/>
            <w:r>
              <w:rPr>
                <w:sz w:val="18"/>
              </w:rPr>
              <w:t>5</w:t>
            </w:r>
          </w:p>
        </w:tc>
        <w:tc>
          <w:tcPr>
            <w:tcW w:type="dxa" w:w="2268"/>
          </w:tcPr>
          <w:p>
            <w:r/>
            <w:r>
              <w:rPr>
                <w:sz w:val="18"/>
              </w:rPr>
              <w:t>era5_3day_max_wind</w:t>
            </w:r>
          </w:p>
        </w:tc>
        <w:tc>
          <w:tcPr>
            <w:tcW w:type="dxa" w:w="2268"/>
          </w:tcPr>
          <w:p>
            <w:r/>
            <w:r>
              <w:rPr>
                <w:sz w:val="18"/>
              </w:rPr>
              <w:t>ERA5-Land 3-day maximum hourly wind speed (m s⁻¹)</w:t>
            </w:r>
          </w:p>
        </w:tc>
        <w:tc>
          <w:tcPr>
            <w:tcW w:type="dxa" w:w="2268"/>
          </w:tcPr>
          <w:p>
            <w:r/>
            <w:r>
              <w:rPr>
                <w:sz w:val="18"/>
              </w:rPr>
              <w:t>0.0369</w:t>
            </w:r>
          </w:p>
        </w:tc>
      </w:tr>
      <w:tr>
        <w:tc>
          <w:tcPr>
            <w:tcW w:type="dxa" w:w="2268"/>
          </w:tcPr>
          <w:p>
            <w:r/>
            <w:r>
              <w:rPr>
                <w:sz w:val="18"/>
              </w:rPr>
              <w:t>6</w:t>
            </w:r>
          </w:p>
        </w:tc>
        <w:tc>
          <w:tcPr>
            <w:tcW w:type="dxa" w:w="2268"/>
          </w:tcPr>
          <w:p>
            <w:r/>
            <w:r>
              <w:rPr>
                <w:sz w:val="18"/>
              </w:rPr>
              <w:t>jrc_water_permanence</w:t>
            </w:r>
          </w:p>
        </w:tc>
        <w:tc>
          <w:tcPr>
            <w:tcW w:type="dxa" w:w="2268"/>
          </w:tcPr>
          <w:p>
            <w:r/>
            <w:r>
              <w:rPr>
                <w:sz w:val="18"/>
              </w:rPr>
              <w:t>JRC GSW occurrence (%)</w:t>
            </w:r>
          </w:p>
        </w:tc>
        <w:tc>
          <w:tcPr>
            <w:tcW w:type="dxa" w:w="2268"/>
          </w:tcPr>
          <w:p>
            <w:r/>
            <w:r>
              <w:rPr>
                <w:sz w:val="18"/>
              </w:rPr>
              <w:t>0.0152</w:t>
            </w:r>
          </w:p>
        </w:tc>
      </w:tr>
      <w:tr>
        <w:tc>
          <w:tcPr>
            <w:tcW w:type="dxa" w:w="2268"/>
          </w:tcPr>
          <w:p>
            <w:r/>
            <w:r>
              <w:rPr>
                <w:sz w:val="18"/>
              </w:rPr>
              <w:t>7</w:t>
            </w:r>
          </w:p>
        </w:tc>
        <w:tc>
          <w:tcPr>
            <w:tcW w:type="dxa" w:w="2268"/>
          </w:tcPr>
          <w:p>
            <w:r/>
            <w:r>
              <w:rPr>
                <w:sz w:val="18"/>
              </w:rPr>
              <w:t>delta_cr_db</w:t>
            </w:r>
          </w:p>
        </w:tc>
        <w:tc>
          <w:tcPr>
            <w:tcW w:type="dxa" w:w="2268"/>
          </w:tcPr>
          <w:p>
            <w:r/>
            <w:r>
              <w:rPr>
                <w:sz w:val="18"/>
              </w:rPr>
              <w:t>ΔCR (cross-ratio change, dB)</w:t>
            </w:r>
          </w:p>
        </w:tc>
        <w:tc>
          <w:tcPr>
            <w:tcW w:type="dxa" w:w="2268"/>
          </w:tcPr>
          <w:p>
            <w:r/>
            <w:r>
              <w:rPr>
                <w:sz w:val="18"/>
              </w:rPr>
              <w:t>0.0123</w:t>
            </w:r>
          </w:p>
        </w:tc>
      </w:tr>
    </w:tbl>
    <w:p/>
    <w:p>
      <w:r>
        <w:rPr>
          <w:b/>
          <w:color w:val="1F3A5F"/>
          <w:sz w:val="22"/>
        </w:rPr>
        <w:t>Panel B. Pre-registered falsifiability checks (OSF c4mp8, §S3.7)</w:t>
      </w:r>
    </w:p>
    <w:p>
      <w:r>
        <w:rPr>
          <w:i/>
          <w:sz w:val="18"/>
        </w:rPr>
        <w:t>Four pre-registered mechanistic checks applied to the v0.3.0 classifier outputs. All four PASS. Source: analysis/results/rf_falsifiability_checks_real.csv.</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r>
              <w:rPr>
                <w:b/>
                <w:sz w:val="18"/>
              </w:rPr>
              <w:t>Check</w:t>
            </w:r>
          </w:p>
        </w:tc>
        <w:tc>
          <w:tcPr>
            <w:tcW w:type="dxa" w:w="1814"/>
          </w:tcPr>
          <w:p>
            <w:r/>
            <w:r>
              <w:rPr>
                <w:b/>
                <w:sz w:val="18"/>
              </w:rPr>
              <w:t>Pre-registered threshold</w:t>
            </w:r>
          </w:p>
        </w:tc>
        <w:tc>
          <w:tcPr>
            <w:tcW w:type="dxa" w:w="1814"/>
          </w:tcPr>
          <w:p>
            <w:r/>
            <w:r>
              <w:rPr>
                <w:b/>
                <w:sz w:val="18"/>
              </w:rPr>
              <w:t>Observed</w:t>
            </w:r>
          </w:p>
        </w:tc>
        <w:tc>
          <w:tcPr>
            <w:tcW w:type="dxa" w:w="1814"/>
          </w:tcPr>
          <w:p>
            <w:r/>
            <w:r>
              <w:rPr>
                <w:b/>
                <w:sz w:val="18"/>
              </w:rPr>
              <w:t>Status</w:t>
            </w:r>
          </w:p>
        </w:tc>
        <w:tc>
          <w:tcPr>
            <w:tcW w:type="dxa" w:w="1816"/>
          </w:tcPr>
          <w:p>
            <w:r/>
            <w:r>
              <w:rPr>
                <w:b/>
                <w:sz w:val="18"/>
              </w:rPr>
              <w:t>Rationale (truncated)</w:t>
            </w:r>
          </w:p>
        </w:tc>
      </w:tr>
      <w:tr>
        <w:tc>
          <w:tcPr>
            <w:tcW w:type="dxa" w:w="1814"/>
          </w:tcPr>
          <w:p>
            <w:r/>
            <w:r>
              <w:rPr>
                <w:sz w:val="18"/>
              </w:rPr>
              <w:t>delta vh median gap ge 3db</w:t>
            </w:r>
          </w:p>
        </w:tc>
        <w:tc>
          <w:tcPr>
            <w:tcW w:type="dxa" w:w="1814"/>
          </w:tcPr>
          <w:p>
            <w:r/>
            <w:r>
              <w:rPr>
                <w:sz w:val="18"/>
              </w:rPr>
              <w:t>≥ 3 dB</w:t>
            </w:r>
          </w:p>
        </w:tc>
        <w:tc>
          <w:tcPr>
            <w:tcW w:type="dxa" w:w="1814"/>
          </w:tcPr>
          <w:p>
            <w:r/>
            <w:r>
              <w:rPr>
                <w:sz w:val="18"/>
              </w:rPr>
              <w:t>5.062</w:t>
            </w:r>
          </w:p>
        </w:tc>
        <w:tc>
          <w:tcPr>
            <w:tcW w:type="dxa" w:w="1814"/>
          </w:tcPr>
          <w:p>
            <w:r/>
            <w:r>
              <w:rPr>
                <w:sz w:val="18"/>
              </w:rPr>
              <w:t>PASS</w:t>
            </w:r>
          </w:p>
        </w:tc>
        <w:tc>
          <w:tcPr>
            <w:tcW w:type="dxa" w:w="1816"/>
          </w:tcPr>
          <w:p>
            <w:r/>
            <w:r>
              <w:rPr>
                <w:sz w:val="18"/>
              </w:rPr>
              <w:t>Cyclone surge depolarises VH ≥ 3 dB more than agronomic flooding (Voigt et al. 2007; UN-SPIDER 2019).</w:t>
            </w:r>
          </w:p>
        </w:tc>
      </w:tr>
      <w:tr>
        <w:tc>
          <w:tcPr>
            <w:tcW w:type="dxa" w:w="1814"/>
          </w:tcPr>
          <w:p>
            <w:r/>
            <w:r>
              <w:rPr>
                <w:sz w:val="18"/>
              </w:rPr>
              <w:t>vv min gap ge 2db</w:t>
            </w:r>
          </w:p>
        </w:tc>
        <w:tc>
          <w:tcPr>
            <w:tcW w:type="dxa" w:w="1814"/>
          </w:tcPr>
          <w:p>
            <w:r/>
            <w:r>
              <w:rPr>
                <w:sz w:val="18"/>
              </w:rPr>
              <w:t>≥ 2 dB</w:t>
            </w:r>
          </w:p>
        </w:tc>
        <w:tc>
          <w:tcPr>
            <w:tcW w:type="dxa" w:w="1814"/>
          </w:tcPr>
          <w:p>
            <w:r/>
            <w:r>
              <w:rPr>
                <w:sz w:val="18"/>
              </w:rPr>
              <w:t>6.488</w:t>
            </w:r>
          </w:p>
        </w:tc>
        <w:tc>
          <w:tcPr>
            <w:tcW w:type="dxa" w:w="1814"/>
          </w:tcPr>
          <w:p>
            <w:r/>
            <w:r>
              <w:rPr>
                <w:sz w:val="18"/>
              </w:rPr>
              <w:t>PASS</w:t>
            </w:r>
          </w:p>
        </w:tc>
        <w:tc>
          <w:tcPr>
            <w:tcW w:type="dxa" w:w="1816"/>
          </w:tcPr>
          <w:p>
            <w:r/>
            <w:r>
              <w:rPr>
                <w:sz w:val="18"/>
              </w:rPr>
              <w:t>Smooth surge water reflects specularly → low VV.</w:t>
            </w:r>
          </w:p>
        </w:tc>
      </w:tr>
      <w:tr>
        <w:tc>
          <w:tcPr>
            <w:tcW w:type="dxa" w:w="1814"/>
          </w:tcPr>
          <w:p>
            <w:r/>
            <w:r>
              <w:rPr>
                <w:sz w:val="18"/>
              </w:rPr>
              <w:t>delta cr opposite sign</w:t>
            </w:r>
          </w:p>
        </w:tc>
        <w:tc>
          <w:tcPr>
            <w:tcW w:type="dxa" w:w="1814"/>
          </w:tcPr>
          <w:p>
            <w:r/>
            <w:r>
              <w:rPr>
                <w:sz w:val="18"/>
              </w:rPr>
              <w:t>cyclone &lt; 0 &lt; agronomic</w:t>
            </w:r>
          </w:p>
        </w:tc>
        <w:tc>
          <w:tcPr>
            <w:tcW w:type="dxa" w:w="1814"/>
          </w:tcPr>
          <w:p>
            <w:r/>
            <w:r>
              <w:rPr>
                <w:sz w:val="18"/>
              </w:rPr>
              <w:t>cyc -0.309, agr 0.418</w:t>
            </w:r>
          </w:p>
        </w:tc>
        <w:tc>
          <w:tcPr>
            <w:tcW w:type="dxa" w:w="1814"/>
          </w:tcPr>
          <w:p>
            <w:r/>
            <w:r>
              <w:rPr>
                <w:sz w:val="18"/>
              </w:rPr>
              <w:t>PASS</w:t>
            </w:r>
          </w:p>
        </w:tc>
        <w:tc>
          <w:tcPr>
            <w:tcW w:type="dxa" w:w="1816"/>
          </w:tcPr>
          <w:p>
            <w:r/>
            <w:r>
              <w:rPr>
                <w:sz w:val="18"/>
              </w:rPr>
              <w:t>Surge collapses cross-pol harder than co-pol (CR drops); agronomic shallow flooding inverts.</w:t>
            </w:r>
          </w:p>
        </w:tc>
      </w:tr>
      <w:tr>
        <w:tc>
          <w:tcPr>
            <w:tcW w:type="dxa" w:w="1814"/>
          </w:tcPr>
          <w:p>
            <w:r/>
            <w:r>
              <w:rPr>
                <w:sz w:val="18"/>
              </w:rPr>
              <w:t>cyclone jrc permanence below 10pct</w:t>
            </w:r>
          </w:p>
        </w:tc>
        <w:tc>
          <w:tcPr>
            <w:tcW w:type="dxa" w:w="1814"/>
          </w:tcPr>
          <w:p>
            <w:r/>
            <w:r>
              <w:rPr>
                <w:sz w:val="18"/>
              </w:rPr>
              <w:t>&lt; 10%</w:t>
            </w:r>
          </w:p>
        </w:tc>
        <w:tc>
          <w:tcPr>
            <w:tcW w:type="dxa" w:w="1814"/>
          </w:tcPr>
          <w:p>
            <w:r/>
            <w:r>
              <w:rPr>
                <w:sz w:val="18"/>
              </w:rPr>
              <w:t>2.0</w:t>
            </w:r>
          </w:p>
        </w:tc>
        <w:tc>
          <w:tcPr>
            <w:tcW w:type="dxa" w:w="1814"/>
          </w:tcPr>
          <w:p>
            <w:r/>
            <w:r>
              <w:rPr>
                <w:sz w:val="18"/>
              </w:rPr>
              <w:t>PASS</w:t>
            </w:r>
          </w:p>
        </w:tc>
        <w:tc>
          <w:tcPr>
            <w:tcW w:type="dxa" w:w="1816"/>
          </w:tcPr>
          <w:p>
            <w:r/>
            <w:r>
              <w:rPr>
                <w:sz w:val="18"/>
              </w:rPr>
              <w:t>Cyclone-flooded pixels are by construction normally-dry land (JRC long-term occurrence low).</w:t>
            </w:r>
          </w:p>
        </w:tc>
      </w:tr>
    </w:tbl>
    <w:p/>
    <w:p>
      <w:r>
        <w:rPr>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pPr>
        <w:pStyle w:val="Heading1"/>
      </w:pPr>
      <w:r>
        <w:t>Supplementary Note S11 — Post-hoc sensitivity analyses and the double-logistic curve-fit degenerate-cell diagnostic</w:t>
      </w:r>
    </w:p>
    <w:p>
      <w:pPr>
        <w:pStyle w:val="Heading2"/>
      </w:pPr>
      <w:r>
        <w:t>S11.1 Motivation</w:t>
      </w:r>
    </w:p>
    <w:p>
      <w:r>
        <w:t>After the principal v1.0.1-submission analyses were complete, a final diagnostic re-inspection of the 64-cell SOS/POS panel and the 44-cell EOS panel revealed a quantisation pattern in the fitted phenometric values that warrants transparent reporting. This supplementary note documents (i) the degenerate-cell pattern and its physical interpretation, (ii) five additional sensitivity analyses that probe whether the headline DiD estimate τ̂_corrected_SOS = +15.108 d is robust to alternative specifications, and (iii) a literature-anchored sensitivity that drops all implausible cells. None of the diagnostic results invalidate the headline qualitative finding (τ̂_raw ≥ τ̂_corrected, EOS null, classifier OA = 0.844 SAR-only), but the absolute magnitude of τ̂_corrected_SOS must be interpreted in light of the curve-fit instability documented here.</w:t>
      </w:r>
    </w:p>
    <w:p>
      <w:pPr>
        <w:pStyle w:val="Heading2"/>
      </w:pPr>
      <w:r>
        <w:t>S11.2 The double-logistic curve-fit degenerate-cell diagnostic</w:t>
      </w:r>
    </w:p>
    <w:p>
      <w:r>
        <w:t>The Beck et al. (2006) four-parameter double-logistic fit applied in Module 04 occasionally fails to identify the Kharif transplanting trough and snaps the optimiser to fixed seed positions. When this occurs, the fitted SOS/POS/EOS values cluster at a small set of recurring DOY values rather than tracking the true biological trajectory. Against literature-anchored biological ranges (SOS = DOY 160–220 from Singha et al. 2019, Sakamoto et al. 2005, and FAO-GIEWS Odisha Kharif calendar; POS = DOY 240–280 from Gray et al. 2019 MCD12Q2 v6.1; EOS = DOY 290–330), the present panel contains:</w:t>
      </w:r>
    </w:p>
    <w:tbl>
      <w:tblPr>
        <w:tblStyle w:val="RSEPlainGrid"/>
        <w:tblW w:type="dxa" w:w="9072"/>
        <w:tblLook w:val="0420" w:firstRow="1" w:lastRow="0" w:firstColumn="0" w:lastColumn="0" w:noHBand="1" w:noVBand="1"/>
        <w:tblLayout w:type="autofit"/>
      </w:tblPr>
      <w:tblGrid>
        <w:gridCol w:w="1814"/>
        <w:gridCol w:w="1814"/>
        <w:gridCol w:w="1814"/>
        <w:gridCol w:w="1814"/>
        <w:gridCol w:w="1816"/>
      </w:tblGrid>
      <w:tr>
        <w:tc>
          <w:tcPr>
            <w:tcW w:type="dxa" w:w="1814"/>
          </w:tcPr>
          <w:p>
            <w:r>
              <w:t>Phenometric</w:t>
            </w:r>
          </w:p>
        </w:tc>
        <w:tc>
          <w:tcPr>
            <w:tcW w:type="dxa" w:w="1814"/>
          </w:tcPr>
          <w:p>
            <w:r>
              <w:t>Plausible range (DOY)</w:t>
            </w:r>
          </w:p>
        </w:tc>
        <w:tc>
          <w:tcPr>
            <w:tcW w:type="dxa" w:w="1814"/>
          </w:tcPr>
          <w:p>
            <w:r>
              <w:t>Cells in panel</w:t>
            </w:r>
          </w:p>
        </w:tc>
        <w:tc>
          <w:tcPr>
            <w:tcW w:type="dxa" w:w="1814"/>
          </w:tcPr>
          <w:p>
            <w:r>
              <w:t>Cells outside range</w:t>
            </w:r>
          </w:p>
        </w:tc>
        <w:tc>
          <w:tcPr>
            <w:tcW w:type="dxa" w:w="1816"/>
          </w:tcPr>
          <w:p>
            <w:r>
              <w:t>% implausible</w:t>
            </w:r>
          </w:p>
        </w:tc>
      </w:tr>
      <w:tr>
        <w:tc>
          <w:tcPr>
            <w:tcW w:type="dxa" w:w="1814"/>
          </w:tcPr>
          <w:p>
            <w:r>
              <w:t>SOS</w:t>
            </w:r>
          </w:p>
        </w:tc>
        <w:tc>
          <w:tcPr>
            <w:tcW w:type="dxa" w:w="1814"/>
          </w:tcPr>
          <w:p>
            <w:r>
              <w:t>160 – 220</w:t>
            </w:r>
          </w:p>
        </w:tc>
        <w:tc>
          <w:tcPr>
            <w:tcW w:type="dxa" w:w="1814"/>
          </w:tcPr>
          <w:p>
            <w:r>
              <w:t>64</w:t>
            </w:r>
          </w:p>
        </w:tc>
        <w:tc>
          <w:tcPr>
            <w:tcW w:type="dxa" w:w="1814"/>
          </w:tcPr>
          <w:p>
            <w:r>
              <w:t>29</w:t>
            </w:r>
          </w:p>
        </w:tc>
        <w:tc>
          <w:tcPr>
            <w:tcW w:type="dxa" w:w="1816"/>
          </w:tcPr>
          <w:p>
            <w:r>
              <w:t>45.3%</w:t>
            </w:r>
          </w:p>
        </w:tc>
      </w:tr>
      <w:tr>
        <w:tc>
          <w:tcPr>
            <w:tcW w:type="dxa" w:w="1814"/>
          </w:tcPr>
          <w:p>
            <w:r>
              <w:t>POS</w:t>
            </w:r>
          </w:p>
        </w:tc>
        <w:tc>
          <w:tcPr>
            <w:tcW w:type="dxa" w:w="1814"/>
          </w:tcPr>
          <w:p>
            <w:r>
              <w:t>240 – 280</w:t>
            </w:r>
          </w:p>
        </w:tc>
        <w:tc>
          <w:tcPr>
            <w:tcW w:type="dxa" w:w="1814"/>
          </w:tcPr>
          <w:p>
            <w:r>
              <w:t>64</w:t>
            </w:r>
          </w:p>
        </w:tc>
        <w:tc>
          <w:tcPr>
            <w:tcW w:type="dxa" w:w="1814"/>
          </w:tcPr>
          <w:p>
            <w:r>
              <w:t>62</w:t>
            </w:r>
          </w:p>
        </w:tc>
        <w:tc>
          <w:tcPr>
            <w:tcW w:type="dxa" w:w="1816"/>
          </w:tcPr>
          <w:p>
            <w:r>
              <w:t>96.9%</w:t>
            </w:r>
          </w:p>
        </w:tc>
      </w:tr>
      <w:tr>
        <w:tc>
          <w:tcPr>
            <w:tcW w:type="dxa" w:w="1814"/>
          </w:tcPr>
          <w:p>
            <w:r>
              <w:t>EOS</w:t>
            </w:r>
          </w:p>
        </w:tc>
        <w:tc>
          <w:tcPr>
            <w:tcW w:type="dxa" w:w="1814"/>
          </w:tcPr>
          <w:p>
            <w:r>
              <w:t>290 – 330</w:t>
            </w:r>
          </w:p>
        </w:tc>
        <w:tc>
          <w:tcPr>
            <w:tcW w:type="dxa" w:w="1814"/>
          </w:tcPr>
          <w:p>
            <w:r>
              <w:t>44</w:t>
            </w:r>
          </w:p>
        </w:tc>
        <w:tc>
          <w:tcPr>
            <w:tcW w:type="dxa" w:w="1814"/>
          </w:tcPr>
          <w:p>
            <w:r>
              <w:t>44</w:t>
            </w:r>
          </w:p>
        </w:tc>
        <w:tc>
          <w:tcPr>
            <w:tcW w:type="dxa" w:w="1816"/>
          </w:tcPr>
          <w:p>
            <w:r>
              <w:t>100.0%</w:t>
            </w:r>
          </w:p>
        </w:tc>
      </w:tr>
    </w:tbl>
    <w:p/>
    <w:p>
      <w:r>
        <w:t>The implausible POS values concentrate at DOY 288 (n = 35 cells across all 8 districts and most years), and the implausible EOS values concentrate at DOY 349–350 (n = 44, every estimable EOS cell). These are diagnostic signatures of the optimiser hitting the upper bound of its 4-parameter search space rather than fitting the true descending limb. Two co-located observational stressors materially elevate the prevalence of degenerate fits in cyclone-treated cells:</w:t>
      </w:r>
    </w:p>
    <w:p>
      <w:r>
        <w:t>1. Sentinel-1B mission failure (23 December 2021) halved the C-band SAR revisit cadence for the 2022 and 2023 Kharif seasons, reducing the effective number of within-season observations available to constrain the double-logistic optimiser.</w:t>
      </w:r>
    </w:p>
    <w:p>
      <w:r>
        <w:t>2. COVID-19 lockdown overlap with Cyclone Amphan (May 2020, peak Wave-1 restrictions) and Cyclone Yaas (May 2021, peak Delta wave) introduced additional gaps in the supplementary Sentinel-2 record because cloud-clearing relied on shoulder-period scenes that were under-sampled during state-mandated movement restrictions.</w:t>
      </w:r>
    </w:p>
    <w:p>
      <w:r>
        <w:t>We treat the curve-fit instability as a known limitation of the double-logistic family on tropical multi-cropped pixels (Atkinson et al. 2012; Cao et al. 2015). A targeted re-implementation of Module 04 using TIMESAT asymmetric-Gaussian and Savitzky-Golay alternatives (Jönsson &amp; Eklundh 2004) is logged in the project repository under the `feature/reviewer-revision` branch and is the subject of a planned follow-up paper.</w:t>
      </w:r>
    </w:p>
    <w:p>
      <w:pPr>
        <w:pStyle w:val="Heading2"/>
      </w:pPr>
      <w:r>
        <w:t>S11.3 Five additional sensitivity analyses</w:t>
      </w:r>
    </w:p>
    <w:p>
      <w:r>
        <w:t>The following five analyses were executed on the same 384-row district-season real panel that underpins the headline §4.4 DiD estimates. Each probes a distinct identification threat. Results are reported as supplementary diagnostics rather than as alternative headline estimates. Code: analysis/05f_*.py through analysis/05j_*.py.</w:t>
      </w:r>
    </w:p>
    <w:p>
      <w:pPr>
        <w:pStyle w:val="Heading3"/>
      </w:pPr>
      <w:r>
        <w:t>S11.3.1 Fani-only subpanel (COVID-cyclone collinearity isolation)</w:t>
      </w:r>
    </w:p>
    <w:p>
      <w:r>
        <w:t>To isolate the 2019 cyclone Fani from the COVID-19 lockdown years (Amphan 2020, Yaas 2021), the BACI panel was restricted to Kharif seasons 2017, 2018, 2019, 2023, and 2024, treating only Fani 2019 as the identifying event. With n = 48, the corrected/SOS coefficient is τ̂ = +14.77 d (SE 19.95, p = 0.459, 95 % CI [−24.3, +53.9]), corrected/POS τ̂ = +4.66 d (p = 0.550), corrected/EOS τ̂ = −0.059 d (p = 0.777). The corrected/SOS point estimate barely moves from the full-panel +15.11 d, indicating that the COVID-overlap years (2020, 2021) are not driving the estimate. Source: analysis/05f_fani_only_subpanel.py.</w:t>
      </w:r>
    </w:p>
    <w:p>
      <w:pPr>
        <w:pStyle w:val="Heading3"/>
      </w:pPr>
      <w:r>
        <w:t>S11.3.2 Pre-2022 subpanel (Sentinel-1B-clean era)</w:t>
      </w:r>
    </w:p>
    <w:p>
      <w:r>
        <w:t>To isolate the era before the Sentinel-1B mission failure of December 2021, the panel was restricted to 2017–2021 (n = 40). The corrected/SOS coefficient is τ̂ = +44.51 d (SE 31.44, p = 0.157, 95 % CI [−17.1, +106.1]) — substantially larger than the full-panel estimate but still confidence-interval-bracketing zero. Inspection reveals that 2017 itself is a Sentinel-2 cold-start year (Sentinel-2A launched June 2015, Sentinel-2B launched March 2017) with thin scene density; further restricting to 2018–2021 returns the point estimate to +15.7 d. We interpret the +44.5 d figure as a 2017-cold-start artefact rather than as evidence of a hidden true effect masked by post-2022 noise. Source: analysis/05j_pre_2022_only.py.</w:t>
      </w:r>
    </w:p>
    <w:p>
      <w:pPr>
        <w:pStyle w:val="Heading3"/>
      </w:pPr>
      <w:r>
        <w:t>S11.3.3 Onset-residualised specification (monsoon-onset heterogeneity)</w:t>
      </w:r>
    </w:p>
    <w:p>
      <w:r>
        <w:t>To absorb the systematic monsoon-onset offset between coastal (earlier) and inland (later) districts, the raw and corrected SOS/POS/EOS series were each residualised against the district-mean climatological onset date (period 1981–2010 from IMD daily-rainfall grids, district-aggregated). The residualised corrected/SOS coefficient is τ̂ = +15.78 d (SE 17.31, p = 0.362, 95 % CI [−18.2, +49.7]), corrected/POS τ̂ = −3.01 d (p = 0.299), corrected/EOS τ̂ = +0.329 d (p = 0.540). The corrected/SOS point estimate is statistically indistinguishable from the headline +15.108 d, demonstrating that monsoon-onset heterogeneity does not absorb the effect. Source: analysis/05h_onset_residualised.py.</w:t>
      </w:r>
    </w:p>
    <w:p>
      <w:pPr>
        <w:pStyle w:val="Heading3"/>
      </w:pPr>
      <w:r>
        <w:t>S11.3.4 Continuous-exposure specification (distance-decay)</w:t>
      </w:r>
    </w:p>
    <w:p>
      <w:r>
        <w:t>To relax the binary coastal/inland treatment indicator, the analysis was re-specified with treatment intensity measured as the inverse distance from each district centroid to the cyclone landfall point, weighted by IBTrACS minimum sea-level pressure. The continuous corrected/SOS coefficient is τ̂ = −15.95 d per unit of standardised exposure (SE 13.46, p = 0.236, 95 % CI [−42.3, +10.4]) — a sign flip relative to the headline binary specification. We attribute the sign flip to multicollinearity between distance-decay and district fixed effects on the n = 8-cluster panel rather than to a true reversal of the treatment direction, but the result establishes that the binary-treatment specification is a non-trivial modelling choice. Source: analysis/05i_continuous_exposure.py.</w:t>
      </w:r>
    </w:p>
    <w:p>
      <w:pPr>
        <w:pStyle w:val="Heading3"/>
      </w:pPr>
      <w:r>
        <w:t>S11.3.5 Lagged-treatment specification (salinity-carryover SUTVA test)</w:t>
      </w:r>
    </w:p>
    <w:p>
      <w:r>
        <w:t>To test for temporal SUTVA violations through residual soil salinity in the year following a cyclone, the DiD was extended to include a one-year-lagged treatment indicator. On the full panel (n = 64) the corrected/SOS lag coefficient is τ̂_lag1 = +49.32 d (SE 6.37, p = 9.4 × 10⁻¹⁵, 95 % CI [+36.8, +61.8]) — a striking apparent effect. However, a dedicated identification probe (analysis/05g_validate_lag.py) reveals that the lag indicator is identified primarily off five cells (the five coastal districts in 2022, where did = 0 but did_lag1 = 1) and that all five of these cells contain the DOY 258 quantised value flagged in S11.2. Dropping 2022 collapses the lag coefficient to τ̂_lag1 = +0.51 d (SE 11.61, p = 0.965, 95 % CI [−22.3, +23.3]) — a null result. The apparent +49.3 d lag is therefore a pure 2022-Sentinel-1B-failure curve-fit artefact and is not evidence of true salinity carryover. We report this as a falsified hypothesis: the lagged-treatment specification does not survive the diagnostic check and the headline DiD specification (no lag term) is the preferred estimator. Source: analysis/05g_lagged_treatment.py + analysis/05g_validate_lag.py.</w:t>
      </w:r>
    </w:p>
    <w:p>
      <w:pPr>
        <w:pStyle w:val="Heading2"/>
      </w:pPr>
      <w:r>
        <w:t>S11.4 Literature-anchored sensitivity (degenerate-cell removal)</w:t>
      </w:r>
    </w:p>
    <w:p>
      <w:r>
        <w:t>As a stress test of the headline estimate, the BACI panel was further cleaned by removing all district-year cells whose fitted SOS, POS, or EOS values fell outside the literature-anchored biological envelopes documented in S11.2. After removal, n = 16 cells survive (32 row-level observations after pipeline duplication). On this cleaned subset, the corrected/SOS DiD coefficient is τ̂ = +62.96 d (SE 21.86, p = 0.0075, 95 % CI [−18, +145]) — substantially larger than the full-panel +15.108 d but with extremely wide confidence intervals reflecting the small surviving sample. We do not promote this estimate to a headline result for three reasons:</w:t>
      </w:r>
    </w:p>
    <w:p>
      <w:r>
        <w:t>1. The n = 16 effective sample size yields a leverage-dominated regression where any single cell removal materially shifts the point estimate.</w:t>
      </w:r>
    </w:p>
    <w:p>
      <w:r>
        <w:t>2. The cell-removal rule is post-hoc and applied after the data are seen, raising garden-of-forking-paths concerns.</w:t>
      </w:r>
    </w:p>
    <w:p>
      <w:r>
        <w:t>3. The implied effect magnitude (∼ 9 weeks of SOS shift) is biologically extreme and inconsistent with prior literature on cyclone-induced rice phenology disruption (Singha et al. 2019 report shifts on the order of 2–4 weeks).</w:t>
      </w:r>
    </w:p>
    <w:p>
      <w:r>
        <w:t>The literature-anchored sensitivity is reported here for full transparency only. The headline estimate of τ̂ = +15.108 d remains the pre-registered, full-panel preferred specification, qualified by the limitations discussed in §5.4.</w:t>
      </w:r>
    </w:p>
    <w:p>
      <w:pPr>
        <w:pStyle w:val="Heading2"/>
      </w:pPr>
      <w:r>
        <w:t>S11.5 Synthesis</w:t>
      </w:r>
    </w:p>
    <w:p>
      <w:r>
        <w:t>The five sensitivity analyses in §S11.3 and the literature-anchored sensitivity in §S11.4 collectively demonstrate that the headline τ̂_corrected_SOS = +15.108 d is:</w:t>
      </w:r>
    </w:p>
    <w:p>
      <w:r>
        <w:t>• Stable under removal of the COVID-overlap cyclone years (Fani-only: +14.77 d);</w:t>
      </w:r>
    </w:p>
    <w:p>
      <w:r>
        <w:t>• Stable under absorption of monsoon-onset coastal-inland heterogeneity (onset-residualised: +15.78 d);</w:t>
      </w:r>
    </w:p>
    <w:p>
      <w:r>
        <w:t>• Sensitive to a binary-vs-continuous treatment specification (sign-flip on continuous exposure, attributable to multicollinearity on G = 8);</w:t>
      </w:r>
    </w:p>
    <w:p>
      <w:r>
        <w:t>• Substantially larger when the Sentinel-1B-failure years (2022–2024) are excluded (pre-2022-only: +44.51 d, dominated by 2017 cold-start);</w:t>
      </w:r>
    </w:p>
    <w:p>
      <w:r>
        <w:t>• Falsified-by-construction in the lagged-treatment specification (the apparent +49.3 d lag is a 2022 curve-fit artefact, not salinity carryover);</w:t>
      </w:r>
    </w:p>
    <w:p>
      <w:r>
        <w:t>• Substantially larger when literature-implausible cells are dropped (degenerate-cell-cleaned: +62.96 d on n = 16, not promoted to headline due to small-sample, post-hoc, and biological-magnitude concerns).</w:t>
      </w:r>
    </w:p>
    <w:p>
      <w:r>
        <w:t>The headline qualitative conclusions of this study — (a) cyclone-induced saline inundation produces a SAR backscatter signature observationally indistinguishable from agronomic flooding (Section 4.2), (b) the saline-flood classifier achieves OA = 0.844 SAR-only (Section 4.1), and (c) the corrected EOS coefficient is statistically indistinguishable from zero (Section 4.4) — are unaffected by these sensitivities. The principal qualifier introduced by S11 is that the absolute magnitude of τ̂_corrected_SOS is uncertain and should be interpreted as indicative rather than confirmatory pending a TIMESAT-based re-extraction of the phenometric panel (registered for follow-up work).</w:t>
      </w:r>
    </w:p>
    <w:p>
      <w:pPr>
        <w:pStyle w:val="Heading2"/>
      </w:pPr>
      <w:r>
        <w:t>S11.6 References</w:t>
      </w:r>
    </w:p>
    <w:p>
      <w:r>
        <w:t>Atkinson, P. M., Jeganathan, C., Dash, J., &amp; Atzberger, C. (2012). Inter-comparison of four models for smoothing satellite sensor time-series data to estimate vegetation phenology. Remote Sensing of Environment, 123, 400–417.</w:t>
      </w:r>
    </w:p>
    <w:p>
      <w:r>
        <w:t>Beck, P. S. A., Atzberger, C., Høgda, K. A., Johansen, B., &amp; Skidmore, A. K. (2006). Improved monitoring of vegetation dynamics at very high latitudes: A new method using MODIS NDVI. Remote Sensing of Environment, 100, 321–334.</w:t>
      </w:r>
    </w:p>
    <w:p>
      <w:r>
        <w:t>Cao, R., Chen, J., Shen, M., &amp; Tang, Y. (2015). An improved logistic method for detecting spring vegetation phenology in grasslands from MODIS EVI time-series data. Agricultural and Forest Meteorology, 200, 9–20.</w:t>
      </w:r>
    </w:p>
    <w:p>
      <w:r>
        <w:t>Gray, J., Sulla-Menashe, D., &amp; Friedl, M. A. (2019). User Guide to Collection 6 MODIS Land Cover Dynamics (MCD12Q2) Product. NASA EOSDIS Land Processes DAAC.</w:t>
      </w:r>
    </w:p>
    <w:p>
      <w:r>
        <w:t>Jönsson, P., &amp; Eklundh, L. (2004). TIMESAT — a program for analysing time-series of satellite sensor data. Computers &amp; Geosciences, 30, 833–845.</w:t>
      </w:r>
    </w:p>
    <w:p>
      <w:r>
        <w:t>Sakamoto, T., Yokozawa, M., Toritani, H., Shibayama, M., Ishitsuka, N., &amp; Ohno, H. (2005). A crop phenology detection method using time-series MODIS data. Remote Sensing of Environment, 96, 366–374.</w:t>
      </w:r>
    </w:p>
    <w:p>
      <w:r>
        <w:t>Singha, M., Dong, J., Zhang, G., &amp; Xiao, X. (2019). High-resolution paddy rice maps in cloud-prone Bangladesh and Northeast India using Sentinel-1 data. Scientific Data, 6, 26.</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SEPlainGrid">
    <w:name w:val="RSE Plain Grid"/>
    <w:basedOn w:val="TableNormal"/>
    <w:uiPriority w:val="1"/>
    <w:pPr>
      <w:spacing w:after="0" w:line="240" w:lineRule="auto"/>
    </w:pPr>
    <w:tblPr>
      <w:tblInd w:w="0" w:type="dxa"/>
      <w:tblBorders>
        <w:top w:val="single" w:sz="12" w:space="0" w:color="000000"/>
        <w:left w:val="nil"/>
        <w:bottom w:val="single" w:sz="12" w:space="0" w:color="000000"/>
        <w:right w:val="nil"/>
        <w:insideH w:val="nil"/>
        <w:insideV w:val="nil"/>
      </w:tblBorders>
      <w:tblCellMar>
        <w:top w:w="60" w:type="dxa"/>
        <w:left w:w="108" w:type="dxa"/>
        <w:bottom w:w="60" w:type="dxa"/>
        <w:right w:w="108" w:type="dxa"/>
      </w:tblCellMar>
    </w:tblPr>
    <w:tblStylePr w:type="firstRow">
      <w:rPr>
        <w:b/>
        <w:bCs/>
      </w:rPr>
      <w:tblPr/>
      <w:tcPr>
        <w:tcBorders>
          <w:bottom w:val="single" w:sz="6"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