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Concept DOI: 10.5281/zenodo.20024578 · This-version DOI: 10.5281/zenodo.20587316</w:t>
        <w:br/>
      </w:r>
      <w:r>
        <w:rPr>
          <w:rFonts w:ascii="Arial" w:hAnsi="Arial"/>
          <w:color w:val="404040"/>
          <w:sz w:val="20"/>
        </w:rPr>
        <w:t>Mendeley Data: 10.17632/z3zxk4xy3c.1</w:t>
        <w:br/>
      </w:r>
      <w:r>
        <w:rPr>
          <w:rFonts w:ascii="Arial" w:hAnsi="Arial"/>
          <w:color w:val="404040"/>
          <w:sz w:val="20"/>
        </w:rPr>
        <w:t>Compiled: 2026-06-09 (v2.1 real-data build)</w:t>
        <w:br/>
      </w:r>
    </w:p>
    <w:p>
      <w:r>
        <w:rPr>
          <w:rFonts w:ascii="Arial" w:hAnsi="Arial"/>
          <w:sz w:val="20"/>
        </w:rPr>
        <w:br w:type="page"/>
      </w:r>
    </w:p>
    <w:p>
      <w:pPr>
        <w:keepNext/>
        <w:spacing w:before="240" w:after="120"/>
      </w:pPr>
      <w:bookmarkStart w:id="43013" w:name="provenance"/>
      <w:r>
        <w:rPr>
          <w:rFonts w:ascii="Arial" w:hAnsi="Arial"/>
          <w:b/>
          <w:color w:val="A12C7B"/>
          <w:sz w:val="32"/>
        </w:rPr>
        <w:t>Data provenance declaration</w:t>
      </w:r>
      <w:bookmarkEnd w:id="43013"/>
    </w:p>
    <w:p>
      <w:r>
        <w:rPr>
          <w:rFonts w:ascii="Arial" w:hAnsi="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sz w:val="20"/>
        </w:rPr>
        <w:t>Module 02 saline-flood random-forest baseline — retrained on Sentinel-1 labelled pixels collected via the Module 05/07/09 active-learning loop; model card RF_Model_Card_v0.3.0.json.</w:t>
      </w:r>
    </w:p>
    <w:p>
      <w:r>
        <w:rPr>
          <w:rFonts w:ascii="Arial" w:hAnsi="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sz w:val="20"/>
        </w:rPr>
        <w:br w:type="page"/>
      </w:r>
    </w:p>
    <w:p>
      <w:pPr>
        <w:keepNext/>
        <w:spacing w:before="240" w:after="120"/>
      </w:pPr>
      <w:bookmarkStart w:id="40154" w:name="toc"/>
      <w:r>
        <w:rPr>
          <w:rFonts w:ascii="Arial" w:hAnsi="Arial"/>
          <w:b/>
          <w:color w:val="141414"/>
          <w:sz w:val="32"/>
        </w:rPr>
        <w:t>Contents</w:t>
      </w:r>
      <w:bookmarkEnd w:id="40154"/>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Note S4</w:t>
      </w:r>
      <w:r>
        <w:rPr>
          <w:rFonts w:ascii="Arial" w:hAnsi="Arial"/>
          <w:sz w:val="20"/>
        </w:rPr>
        <w:tab/>
        <w:t>Small-G power / minimum detectable effect simulator</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Real Sentinel-1 RTC dual-pol backscatter signatures (4 Bulbul probe districts)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Real Sentinel-1 RTC backscatter signatures — VH/VV/CR vs DOY (Planetary Computer)</w:t>
      </w:r>
    </w:p>
    <w:p>
      <w:r>
        <w:rPr>
          <w:rFonts w:ascii="Arial" w:hAnsi="Arial"/>
          <w:sz w:val="20"/>
        </w:rPr>
        <w:br w:type="page"/>
      </w:r>
    </w:p>
    <w:p>
      <w:pPr>
        <w:keepNext/>
        <w:spacing w:before="240" w:after="120"/>
      </w:pPr>
      <w:bookmarkStart w:id="87992" w:name="note_s1"/>
      <w:r>
        <w:rPr>
          <w:rFonts w:ascii="Arial" w:hAnsi="Arial"/>
          <w:b/>
          <w:color w:val="1F3A5F"/>
          <w:sz w:val="32"/>
        </w:rPr>
        <w:t>Note S1 — Bulbul (2019) transferability probe</w:t>
      </w:r>
      <w:bookmarkEnd w:id="87992"/>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Modules:</w:t>
      </w:r>
      <w:r>
        <w:rPr>
          <w:rFonts w:ascii="Arial" w:hAnsi="Arial"/>
          <w:sz w:val="20"/>
        </w:rPr>
        <w:t xml:space="preserve"> </w:t>
      </w:r>
      <w:r>
        <w:rPr>
          <w:rStyle w:val="VerbatimChar"/>
          <w:rFonts w:ascii="Arial" w:hAnsi="Arial"/>
          <w:sz w:val="20"/>
        </w:rPr>
        <w:t xml:space="preserve">analysis/13_bulbul_phenology_extract.py</w:t>
      </w:r>
      <w:r>
        <w:rPr>
          <w:rFonts w:ascii="Arial" w:hAnsi="Arial"/>
          <w:sz w:val="20"/>
        </w:rPr>
        <w:t xml:space="preserve"> </w:t>
      </w:r>
      <w:r>
        <w:rPr>
          <w:rFonts w:ascii="Arial" w:hAnsi="Arial"/>
          <w:sz w:val="20"/>
        </w:rPr>
        <w:t xml:space="preserve">(Sentinel-2 L2A → monthly NDVI → SOS),</w:t>
      </w:r>
      <w:r>
        <w:rPr>
          <w:rFonts w:ascii="Arial" w:hAnsi="Arial"/>
          <w:sz w:val="20"/>
        </w:rPr>
        <w:t xml:space="preserve"> </w:t>
      </w:r>
      <w:r>
        <w:rPr>
          <w:rStyle w:val="VerbatimChar"/>
          <w:rFonts w:ascii="Arial" w:hAnsi="Arial"/>
          <w:sz w:val="20"/>
        </w:rPr>
        <w:t xml:space="preserve">analysis/14_bulbul_postprocess_sos.py</w:t>
      </w:r>
      <w:r>
        <w:rPr>
          <w:rFonts w:ascii="Arial" w:hAnsi="Arial"/>
          <w:sz w:val="20"/>
        </w:rPr>
        <w:t xml:space="preserve"> </w:t>
      </w:r>
      <w:r>
        <w:rPr>
          <w:rFonts w:ascii="Arial" w:hAnsi="Arial"/>
          <w:sz w:val="20"/>
        </w:rPr>
        <w:t xml:space="preserve">(robust SOS estimator),</w:t>
      </w:r>
      <w:r>
        <w:rPr>
          <w:rFonts w:ascii="Arial" w:hAnsi="Arial"/>
          <w:sz w:val="20"/>
        </w:rPr>
        <w:t xml:space="preserve"> </w:t>
      </w:r>
      <w:r>
        <w:rPr>
          <w:rStyle w:val="VerbatimChar"/>
          <w:rFonts w:ascii="Arial" w:hAnsi="Arial"/>
          <w:sz w:val="20"/>
        </w:rPr>
        <w:t xml:space="preserve">analysis/15_bulbul_residuals_v21.py</w:t>
      </w:r>
      <w:r>
        <w:rPr>
          <w:rFonts w:ascii="Arial" w:hAnsi="Arial"/>
          <w:sz w:val="20"/>
        </w:rPr>
        <w:t xml:space="preserve"> </w:t>
      </w:r>
      <w:r>
        <w:rPr>
          <w:rFonts w:ascii="Arial" w:hAnsi="Arial"/>
          <w:sz w:val="20"/>
        </w:rPr>
        <w:t xml:space="preserve">(residuals against v2.1 plug-in).</w:t>
      </w:r>
      <w:r>
        <w:rPr>
          <w:rFonts w:ascii="Arial" w:hAnsi="Arial"/>
          <w:sz w:val="20"/>
        </w:rPr>
        <w:t xml:space="preserve"> </w:t>
      </w:r>
      <w:r>
        <w:rPr>
          <w:rFonts w:ascii="Arial" w:hAnsi="Arial"/>
          <w:b/>
          <w:bCs/>
          <w:sz w:val="20"/>
        </w:rPr>
        <w:t xml:space="preserve">Inputs:</w:t>
      </w:r>
      <w:r>
        <w:rPr>
          <w:rFonts w:ascii="Arial" w:hAnsi="Arial"/>
          <w:sz w:val="20"/>
        </w:rPr>
        <w:t xml:space="preserve"> </w:t>
      </w:r>
      <w:r>
        <w:rPr>
          <w:rFonts w:ascii="Arial" w:hAnsi="Arial"/>
          <w:sz w:val="20"/>
        </w:rPr>
        <w:t xml:space="preserve">Microsoft Planetary Computer STAC Sentinel-2 L2A (Apr–Dec 2017, 2018, 2020), GADM v4.1 India L2 district boundaries.</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analysis/results/real_v21/bulbul/probe_phenology_real.csv</w:t>
      </w:r>
      <w:r>
        <w:rPr>
          <w:rFonts w:ascii="Arial" w:hAnsi="Arial"/>
          <w:sz w:val="20"/>
        </w:rPr>
        <w:t xml:space="preserve">,</w:t>
      </w:r>
      <w:r>
        <w:rPr>
          <w:rFonts w:ascii="Arial" w:hAnsi="Arial"/>
          <w:sz w:val="20"/>
        </w:rPr>
        <w:t xml:space="preserve"> </w:t>
      </w:r>
      <w:r>
        <w:rPr>
          <w:rStyle w:val="VerbatimChar"/>
          <w:rFonts w:ascii="Arial" w:hAnsi="Arial"/>
          <w:sz w:val="20"/>
        </w:rPr>
        <w:t xml:space="preserve">…/probe_residuals_real_v21.csv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…/probe_summary_real_v21.csv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e>
        </m:d>
      </m:oMath>
      <w:r>
        <w:rPr>
          <w:rFonts w:ascii="Arial" w:hAnsi="Arial"/>
          <w:sz w:val="20"/>
        </w:rPr>
        <w:t xml:space="preserve"> </w:t>
      </w:r>
      <w:r>
        <w:rPr>
          <w:rFonts w:ascii="Arial" w:hAnsi="Arial"/>
          <w:sz w:val="20"/>
        </w:rPr>
        <w:t xml:space="preserve">derived from the TWFE-clustered standard error in Table S1. In the v1.0.1-submission release the plug-in value is</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w:t>
      </w:r>
      <w:r>
        <w:rPr>
          <w:rFonts w:ascii="Arial" w:hAnsi="Arial"/>
          <w:sz w:val="20"/>
        </w:rPr>
        <w:t xml:space="preserve">with</w:t>
      </w:r>
      <w:r>
        <w:rPr>
          <w:rFonts w:ascii="Arial" w:hAnsi="Arial"/>
          <w:sz w:val="20"/>
        </w:rPr>
        <w:t xml:space="preserve"> </w:t>
      </w:r>
      <m:oMath>
        <m:r>
          <m:rPr>
            <m:sty m:val="p"/>
          </m:rPr>
          <m:t>S</m:t>
        </m:r>
        <m:r>
          <m:rPr>
            <m:sty m:val="p"/>
          </m:rPr>
          <m:t>E</m:t>
        </m:r>
        <m:d>
          <m:dPr>
            <m:begChr m:val="("/>
            <m:endChr m:val=")"/>
            <m:sepChr m:val=""/>
            <m:grow/>
          </m:dPr>
          <m:e>
            <m:acc>
              <m:accPr>
                <m:chr m:val="̂"/>
              </m:accPr>
              <m:e>
                <m:r>
                  <m:t>τ</m:t>
                </m:r>
              </m:e>
            </m:acc>
          </m:e>
        </m:d>
        <m:r>
          <m:rPr>
            <m:sty m:val="p"/>
          </m:rPr>
          <m:t>=</m:t>
        </m:r>
        <m:r>
          <m:t>17.312</m:t>
        </m:r>
        <m:r>
          <m:t> </m:t>
        </m:r>
        <m:r>
          <m:rPr>
            <m:sty m:val="p"/>
          </m:rPr>
          <m:t>d</m:t>
        </m:r>
      </m:oMath>
      <w:r>
        <w:rPr>
          <w:rFonts w:ascii="Arial" w:hAnsi="Arial"/>
          <w:sz w:val="20"/>
        </w:rPr>
        <w:t xml:space="preserve"> </w:t>
      </w:r>
      <w:r>
        <w:rPr>
          <w:rFonts w:ascii="Arial" w:hAnsi="Arial"/>
          <w:sz w:val="20"/>
        </w:rPr>
        <w:t xml:space="preserve">(95% PI</w:t>
      </w:r>
      <w:r>
        <w:rPr>
          <w:rFonts w:ascii="Arial" w:hAnsi="Arial"/>
          <w:sz w:val="20"/>
        </w:rPr>
        <w:t xml:space="preserve"> </w:t>
      </w:r>
      <m:oMath>
        <m:d>
          <m:dPr>
            <m:begChr m:val="["/>
            <m:endChr m:val="]"/>
            <m:sepChr m:val=""/>
            <m:grow/>
          </m:dPr>
          <m:e>
            <m:r>
              <m:rPr>
                <m:sty m:val="p"/>
              </m:rPr>
              <m:t>−</m:t>
            </m:r>
            <m:r>
              <m:t>18.82</m:t>
            </m:r>
            <m:r>
              <m:rPr>
                <m:sty m:val="p"/>
              </m:rPr>
              <m:t>,</m:t>
            </m:r>
            <m:r>
              <m:rPr>
                <m:sty m:val="p"/>
              </m:rPr>
              <m:t>+</m:t>
            </m:r>
            <m:r>
              <m:t>49.04</m:t>
            </m:r>
          </m:e>
        </m:d>
        <m:r>
          <m:t> </m:t>
        </m:r>
        <m:r>
          <m:rPr>
            <m:sty m:val="p"/>
          </m:rPr>
          <m:t>d</m:t>
        </m:r>
      </m:oMath>
      <w:r>
        <w:rPr>
          <w:rFonts w:ascii="Arial" w:hAnsi="Arial"/>
          <w:sz w:val="20"/>
        </w:rPr>
        <w:t xml:space="preserve">).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X2520fe163fea50ce329acf838193a0cc354e6c7"/>
    <w:p>
      <w:pPr>
        <w:pStyle w:val="Heading2"/>
      </w:pPr>
      <w:r>
        <w:rPr>
          <w:rFonts w:ascii="Arial" w:hAnsi="Arial"/>
        </w:rPr>
        <w:t xml:space="preserve">S1.3 Results (v1.0.1-submission, real v2.1 plug-in)</w:t>
      </w:r>
    </w:p>
    <w:p>
      <w:pPr>
        <w:pStyle w:val="FirstParagraph"/>
      </w:pPr>
      <w:r>
        <w:rPr>
          <w:rFonts w:ascii="Arial" w:hAnsi="Arial"/>
          <w:b/>
          <w:bCs/>
          <w:sz w:val="20"/>
        </w:rPr>
        <w:t xml:space="preserve">Probe inputs.</w:t>
      </w:r>
      <w:r>
        <w:rPr>
          <w:rFonts w:ascii="Arial" w:hAnsi="Arial"/>
          <w:sz w:val="20"/>
        </w:rPr>
        <w:t xml:space="preserve"> </w:t>
      </w:r>
      <w:r>
        <w:rPr>
          <w:rFonts w:ascii="Arial" w:hAnsi="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sz w:val="20"/>
        </w:rPr>
        <w:t xml:space="preserve"> </w:t>
      </w:r>
      <w:r>
        <w:rPr>
          <w:rStyle w:val="VerbatimChar"/>
          <w:rFonts w:ascii="Arial" w:hAnsi="Arial"/>
          <w:sz w:val="20"/>
        </w:rPr>
        <w:t xml:space="preserve">eo:cloud_cover</w:t>
      </w:r>
      <w:r>
        <w:rPr>
          <w:rFonts w:ascii="Arial" w:hAnsi="Arial"/>
          <w:sz w:val="20"/>
        </w:rPr>
        <w:t xml:space="preserve"> </w:t>
      </w:r>
      <w:r>
        <w:rPr>
          <w:rFonts w:ascii="Arial" w:hAnsi="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Style w:val="VerbatimChar"/>
          <w:rFonts w:ascii="Arial" w:hAnsi="Arial"/>
          <w:sz w:val="20"/>
        </w:rPr>
        <w:t xml:space="preserve">analysis/14_bulbul_postprocess_sos.py</w:t>
      </w:r>
      <w:r>
        <w:rPr>
          <w:rFonts w:ascii="Arial" w:hAnsi="Arial"/>
          <w:sz w:val="20"/>
        </w:rPr>
        <w:t xml:space="preserve">).</w:t>
      </w:r>
    </w:p>
    <w:p>
      <w:pPr>
        <w:pStyle w:val="BodyText"/>
      </w:pPr>
      <w:r>
        <w:rPr>
          <w:rFonts w:ascii="Arial" w:hAnsi="Arial"/>
          <w:b/>
          <w:bCs/>
          <w:sz w:val="20"/>
        </w:rPr>
        <w:t xml:space="preserve">Probe panel quality flag.</w:t>
      </w:r>
      <w:r>
        <w:rPr>
          <w:rFonts w:ascii="Arial" w:hAnsi="Arial"/>
          <w:sz w:val="20"/>
        </w:rPr>
        <w:t xml:space="preserve"> </w:t>
      </w:r>
      <w:r>
        <w:rPr>
          <w:rFonts w:ascii="Arial" w:hAnsi="Arial"/>
          <w:sz w:val="20"/>
        </w:rPr>
        <w:t xml:space="preserve">April-baseline NDVI screening flagged two of the six candidate districts as forest-dominant at the 5 km centroid AOI:</w:t>
      </w:r>
      <w:r>
        <w:rPr>
          <w:rFonts w:ascii="Arial" w:hAnsi="Arial"/>
          <w:sz w:val="20"/>
        </w:rPr>
        <w:t xml:space="preserve"> </w:t>
      </w:r>
      <w:r>
        <w:rPr>
          <w:rFonts w:ascii="Arial" w:hAnsi="Arial"/>
          <w:b/>
          <w:bCs/>
          <w:sz w:val="20"/>
        </w:rPr>
        <w:t xml:space="preserve">Mayurbhanj</w:t>
      </w:r>
      <w:r>
        <w:rPr>
          <w:rFonts w:ascii="Arial" w:hAnsi="Arial"/>
          <w:sz w:val="20"/>
        </w:rPr>
        <w:t xml:space="preserve"> </w:t>
      </w:r>
      <w:r>
        <w:rPr>
          <w:rFonts w:ascii="Arial" w:hAnsi="Arial"/>
          <w:sz w:val="20"/>
        </w:rPr>
        <w:t xml:space="preserve">(April NDVI 0.60–0.62; Similipal Biosphere Reserve and adjoining Sal forest) and</w:t>
      </w:r>
      <w:r>
        <w:rPr>
          <w:rFonts w:ascii="Arial" w:hAnsi="Arial"/>
          <w:sz w:val="20"/>
        </w:rPr>
        <w:t xml:space="preserve"> </w:t>
      </w:r>
      <w:r>
        <w:rPr>
          <w:rFonts w:ascii="Arial" w:hAnsi="Arial"/>
          <w:b/>
          <w:bCs/>
          <w:sz w:val="20"/>
        </w:rPr>
        <w:t xml:space="preserve">Kandhamal</w:t>
      </w:r>
      <w:r>
        <w:rPr>
          <w:rFonts w:ascii="Arial" w:hAnsi="Arial"/>
          <w:sz w:val="20"/>
        </w:rPr>
        <w:t xml:space="preserve"> </w:t>
      </w:r>
      <w:r>
        <w:rPr>
          <w:rFonts w:ascii="Arial" w:hAnsi="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and report the headline transferability statistics on the four paddy-dominant probe districts: Boudh, Ganjam, Khordha, Nayagarh.</w:t>
      </w:r>
    </w:p>
    <w:p>
      <w:pPr>
        <w:pStyle w:val="BodyText"/>
      </w:pPr>
      <w:r>
        <w:rPr>
          <w:rFonts w:ascii="Arial" w:hAnsi="Arial"/>
          <w:b/>
          <w:bCs/>
          <w:sz w:val="20"/>
        </w:rPr>
        <w:t xml:space="preserve">Per-district residuals.</w:t>
      </w:r>
      <w:r>
        <w:rPr>
          <w:rFonts w:ascii="Arial" w:hAnsi="Arial"/>
          <w:sz w:val="20"/>
        </w:rPr>
        <w:t xml:space="preserve"> </w:t>
      </w:r>
      <w:r>
        <w:rPr>
          <w:rFonts w:ascii="Arial" w:hAnsi="Arial"/>
          <w:sz w:val="20"/>
        </w:rPr>
        <w:t xml:space="preserve">Table 1 summarises the per-district observed pre-Kharif SOS shift</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relative to the within-district 2017–2018 baseline, the plug-in prediction</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and the transferability residual</w:t>
      </w:r>
      <w:r>
        <w:rPr>
          <w:rFonts w:ascii="Arial" w:hAnsi="Arial"/>
          <w:sz w:val="20"/>
        </w:rPr>
        <w:t xml:space="preserve"> </w:t>
      </w: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acc>
          <m:accPr>
            <m:chr m:val="̂"/>
          </m:accPr>
          <m:e>
            <m:r>
              <m:t>τ</m:t>
            </m:r>
          </m:e>
        </m:acc>
      </m:oMath>
      <w:r>
        <w:rPr>
          <w:rFonts w:ascii="Arial" w:hAnsi="Arial"/>
          <w:sz w:val="20"/>
        </w:rPr>
        <w:t xml:space="preserve">. The empirical idiosyncratic SD across the four probe baselines is</w:t>
      </w:r>
      <w:r>
        <w:rPr>
          <w:rFonts w:ascii="Arial" w:hAnsi="Arial"/>
          <w:sz w:val="20"/>
        </w:rPr>
        <w:t xml:space="preserve"> </w:t>
      </w:r>
      <m:oMath>
        <m:sSub>
          <m:e>
            <m:acc>
              <m:accPr>
                <m:chr m:val="̂"/>
              </m:accPr>
              <m:e>
                <m:r>
                  <m:t>σ</m:t>
                </m:r>
              </m:e>
            </m:acc>
          </m:e>
          <m:sub>
            <m:r>
              <m:rPr>
                <m:sty m:val="p"/>
              </m:rPr>
              <m:t>i</m:t>
            </m:r>
            <m:r>
              <m:rPr>
                <m:sty m:val="p"/>
              </m:rPr>
              <m:t>d</m:t>
            </m:r>
            <m:r>
              <m:rPr>
                <m:sty m:val="p"/>
              </m:rPr>
              <m:t>i</m:t>
            </m:r>
            <m:r>
              <m:rPr>
                <m:sty m:val="p"/>
              </m:rPr>
              <m:t>o</m:t>
            </m:r>
          </m:sub>
        </m:sSub>
        <m:r>
          <m:rPr>
            <m:sty m:val="p"/>
          </m:rPr>
          <m:t>=</m:t>
        </m:r>
        <m:r>
          <m:t>19.88</m:t>
        </m:r>
        <m:r>
          <m:t> </m:t>
        </m:r>
        <m:r>
          <m:rPr>
            <m:sty m:val="p"/>
          </m:rPr>
          <m:t>d</m:t>
        </m:r>
      </m:oMath>
      <w:r>
        <w:rPr>
          <w:rFonts w:ascii="Arial" w:hAnsi="Arial"/>
          <w:sz w:val="20"/>
        </w:rPr>
        <w:t xml:space="preserve">, yielding a 95% prediction interval of</w:t>
      </w:r>
      <w:r>
        <w:rPr>
          <w:rFonts w:ascii="Arial" w:hAnsi="Arial"/>
          <w:sz w:val="20"/>
        </w:rPr>
        <w:t xml:space="preserve"> </w:t>
      </w:r>
      <m:oMath>
        <m:acc>
          <m:accPr>
            <m:chr m:val="̂"/>
          </m:accPr>
          <m:e>
            <m:r>
              <m:t>τ</m:t>
            </m:r>
          </m:e>
        </m:acc>
        <m:r>
          <m:rPr>
            <m:sty m:val="p"/>
          </m:rPr>
          <m:t>±</m:t>
        </m:r>
        <m:r>
          <m:t>1.96</m:t>
        </m:r>
        <m:r>
          <m:rPr>
            <m:sty m:val="p"/>
          </m:rPr>
          <m:t>⋅</m:t>
        </m:r>
        <m:rad>
          <m:radPr>
            <m:degHide m:val="on"/>
          </m:radPr>
          <m:deg/>
          <m:e>
            <m:sSup>
              <m:e>
                <m:r>
                  <m:rPr>
                    <m:sty m:val="p"/>
                  </m:rPr>
                  <m:t>S</m:t>
                </m:r>
                <m:r>
                  <m:rPr>
                    <m:sty m:val="p"/>
                  </m:rPr>
                  <m:t>E</m:t>
                </m:r>
              </m:e>
              <m:sup>
                <m:r>
                  <m:t>2</m:t>
                </m:r>
              </m:sup>
            </m:sSup>
            <m:r>
              <m:rPr>
                <m:sty m:val="p"/>
              </m:rPr>
              <m:t>+</m:t>
            </m:r>
            <m:sSubSup>
              <m:e>
                <m:acc>
                  <m:accPr>
                    <m:chr m:val="̂"/>
                  </m:accPr>
                  <m:e>
                    <m:r>
                      <m:t>σ</m:t>
                    </m:r>
                  </m:e>
                </m:acc>
              </m:e>
              <m:sub>
                <m:r>
                  <m:rPr>
                    <m:sty m:val="p"/>
                  </m:rPr>
                  <m:t>i</m:t>
                </m:r>
                <m:r>
                  <m:rPr>
                    <m:sty m:val="p"/>
                  </m:rPr>
                  <m:t>d</m:t>
                </m:r>
                <m:r>
                  <m:rPr>
                    <m:sty m:val="p"/>
                  </m:rPr>
                  <m:t>i</m:t>
                </m:r>
                <m:r>
                  <m:rPr>
                    <m:sty m:val="p"/>
                  </m:rPr>
                  <m:t>o</m:t>
                </m:r>
              </m:sub>
              <m:sup>
                <m:r>
                  <m:t>2</m:t>
                </m:r>
              </m:sup>
            </m:sSubSup>
          </m:e>
        </m:rad>
      </m:oMath>
      <w:r>
        <w:rPr>
          <w:rFonts w:ascii="Arial" w:hAnsi="Arial"/>
          <w:sz w:val="20"/>
        </w:rPr>
        <w:t xml:space="preserve"> </w:t>
      </w:r>
      <w:r>
        <w:rPr>
          <w:rFonts w:ascii="Arial" w:hAnsi="Arial"/>
          <w:sz w:val="20"/>
        </w:rPr>
        <w:t xml:space="preserve">=</w:t>
      </w:r>
      <w:r>
        <w:rPr>
          <w:rFonts w:ascii="Arial" w:hAnsi="Arial"/>
          <w:sz w:val="20"/>
        </w:rPr>
        <w:t xml:space="preserve"> </w:t>
      </w:r>
      <m:oMath>
        <m:d>
          <m:dPr>
            <m:begChr m:val="["/>
            <m:endChr m:val="]"/>
            <m:sepChr m:val=""/>
            <m:grow/>
          </m:dPr>
          <m:e>
            <m:r>
              <m:rPr>
                <m:sty m:val="p"/>
              </m:rPr>
              <m:t>−</m:t>
            </m:r>
            <m:r>
              <m:t>36.57</m:t>
            </m:r>
            <m:r>
              <m:rPr>
                <m:sty m:val="p"/>
              </m:rPr>
              <m:t>,</m:t>
            </m:r>
            <m:r>
              <m:rPr>
                <m:sty m:val="p"/>
              </m:rPr>
              <m:t>+</m:t>
            </m:r>
            <m:r>
              <m:t>66.78</m:t>
            </m:r>
          </m:e>
        </m:d>
        <m:r>
          <m:t> </m:t>
        </m:r>
        <m:r>
          <m:rPr>
            <m:sty m:val="p"/>
          </m:rPr>
          <m:t>d</m:t>
        </m:r>
      </m:oMath>
      <w:r>
        <w:rPr>
          <w:rFonts w:ascii="Arial" w:hAnsi="Arial"/>
          <w:sz w:val="20"/>
        </w:rPr>
        <w:t xml:space="preserve">.</w:t>
      </w:r>
    </w:p>
    <w:tbl>
      <w:tblPr>
        <w:tblStyle w:val="Table"/>
        <w:tblW w:type="pct" w:w="5000"/>
        <w:jc w:val="left"/>
        <w:tblLayout w:type="fixed"/>
        <w:tblLook w:firstRow="1" w:lastRow="0" w:firstColumn="0" w:lastColumn="0" w:noHBand="0" w:noVBand="0" w:val="0020"/>
      </w:tblPr>
      <w:tblGrid>
        <w:gridCol w:w="1092"/>
        <w:gridCol w:w="1092"/>
        <w:gridCol w:w="1092"/>
        <w:gridCol w:w="1092"/>
        <w:gridCol w:w="1092"/>
        <w:gridCol w:w="1092"/>
        <w:gridCol w:w="1365"/>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w:r>
              <w:rPr>
                <w:rFonts w:ascii="Arial" w:hAnsi="Arial"/>
                <w:sz w:val="18"/>
              </w:rPr>
              <w:t xml:space="preserve">SOS baseline (DOY)</w:t>
            </w:r>
          </w:p>
        </w:tc>
        <w:tc>
          <w:tcPr/>
          <w:p>
            <w:pPr>
              <w:pStyle w:val="Compact"/>
              <w:jc w:val="right"/>
            </w:pPr>
            <w:r>
              <w:rPr>
                <w:rFonts w:ascii="Arial" w:hAnsi="Arial"/>
                <w:sz w:val="18"/>
              </w:rPr>
              <w:t xml:space="preserve">SOS ′2020 (DOY)</w:t>
            </w:r>
          </w:p>
        </w:tc>
        <w:tc>
          <w:tcPr/>
          <w:p>
            <w:pPr>
              <w:pStyle w:val="Compact"/>
              <w:jc w:val="right"/>
            </w:pPr>
            <m:oMath>
              <m:sSub>
                <m:e>
                  <m:r>
                    <m:t>Δ</m:t>
                  </m:r>
                </m:e>
                <m:sub>
                  <m:r>
                    <m:rPr>
                      <m:sty m:val="p"/>
                    </m:rPr>
                    <m:t>o</m:t>
                  </m:r>
                  <m:r>
                    <m:rPr>
                      <m:sty m:val="p"/>
                    </m:rPr>
                    <m:t>b</m:t>
                  </m:r>
                  <m:r>
                    <m:rPr>
                      <m:sty m:val="p"/>
                    </m:rPr>
                    <m:t>s</m:t>
                  </m:r>
                  <m:r>
                    <m:rPr>
                      <m:sty m:val="p"/>
                    </m:rPr>
                    <m:t>,</m:t>
                  </m:r>
                  <m:r>
                    <m:t>d</m:t>
                  </m:r>
                </m:sub>
              </m:sSub>
            </m:oMath>
            <w:r>
              <w:rPr>
                <w:rFonts w:ascii="Arial" w:hAnsi="Arial"/>
                <w:sz w:val="18"/>
              </w:rPr>
              <w:t xml:space="preserve"> </w:t>
            </w:r>
            <w:r>
              <w:rPr>
                <w:rFonts w:ascii="Arial" w:hAnsi="Arial"/>
                <w:sz w:val="18"/>
              </w:rPr>
              <w:t xml:space="preserve">(d)</w:t>
            </w:r>
          </w:p>
        </w:tc>
        <w:tc>
          <w:tcPr/>
          <w:p>
            <w:pPr>
              <w:pStyle w:val="Compact"/>
              <w:jc w:val="right"/>
            </w:pPr>
            <m:oMath>
              <m:sSub>
                <m:e>
                  <m:r>
                    <m:t>r</m:t>
                  </m:r>
                </m:e>
                <m:sub>
                  <m:r>
                    <m:t>d</m:t>
                  </m:r>
                </m:sub>
              </m:sSub>
            </m:oMath>
            <w:r>
              <w:rPr>
                <w:rFonts w:ascii="Arial" w:hAnsi="Arial"/>
                <w:sz w:val="18"/>
              </w:rPr>
              <w:t xml:space="preserve"> </w:t>
            </w:r>
            <w:r>
              <w:rPr>
                <w:rFonts w:ascii="Arial" w:hAnsi="Arial"/>
                <w:sz w:val="18"/>
              </w:rPr>
              <w:t xml:space="preserve">(d)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169.4</w:t>
            </w:r>
          </w:p>
        </w:tc>
        <w:tc>
          <w:tcPr/>
          <w:p>
            <w:pPr>
              <w:pStyle w:val="Compact"/>
              <w:jc w:val="right"/>
            </w:pPr>
            <w:r>
              <w:rPr>
                <w:rFonts w:ascii="Arial" w:hAnsi="Arial"/>
                <w:sz w:val="18"/>
              </w:rPr>
              <w:t xml:space="preserve">176.4</w:t>
            </w:r>
          </w:p>
        </w:tc>
        <w:tc>
          <w:tcPr/>
          <w:p>
            <w:pPr>
              <w:pStyle w:val="Compact"/>
              <w:jc w:val="right"/>
            </w:pPr>
            <w:r>
              <w:rPr>
                <w:rFonts w:ascii="Arial" w:hAnsi="Arial"/>
                <w:sz w:val="18"/>
              </w:rPr>
              <w:t xml:space="preserve">+7.0</w:t>
            </w:r>
          </w:p>
        </w:tc>
        <w:tc>
          <w:tcPr/>
          <w:p>
            <w:pPr>
              <w:pStyle w:val="Compact"/>
              <w:jc w:val="right"/>
            </w:pPr>
            <w:r>
              <w:rPr>
                <w:rFonts w:ascii="Arial" w:hAnsi="Arial"/>
                <w:sz w:val="18"/>
              </w:rPr>
              <w:t xml:space="preserve">−8.11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184.4</w:t>
            </w:r>
          </w:p>
        </w:tc>
        <w:tc>
          <w:tcPr/>
          <w:p>
            <w:pPr>
              <w:pStyle w:val="Compact"/>
              <w:jc w:val="right"/>
            </w:pPr>
            <w:r>
              <w:rPr>
                <w:rFonts w:ascii="Arial" w:hAnsi="Arial"/>
                <w:sz w:val="18"/>
              </w:rPr>
              <w:t xml:space="preserve">198.3</w:t>
            </w:r>
          </w:p>
        </w:tc>
        <w:tc>
          <w:tcPr/>
          <w:p>
            <w:pPr>
              <w:pStyle w:val="Compact"/>
              <w:jc w:val="right"/>
            </w:pPr>
            <w:r>
              <w:rPr>
                <w:rFonts w:ascii="Arial" w:hAnsi="Arial"/>
                <w:sz w:val="18"/>
              </w:rPr>
              <w:t xml:space="preserve">+14.0</w:t>
            </w:r>
          </w:p>
        </w:tc>
        <w:tc>
          <w:tcPr/>
          <w:p>
            <w:pPr>
              <w:pStyle w:val="Compact"/>
              <w:jc w:val="right"/>
            </w:pPr>
            <w:r>
              <w:rPr>
                <w:rFonts w:ascii="Arial" w:hAnsi="Arial"/>
                <w:sz w:val="18"/>
              </w:rPr>
              <w:t xml:space="preserve">−1.11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141.7</w:t>
            </w:r>
          </w:p>
        </w:tc>
        <w:tc>
          <w:tcPr/>
          <w:p>
            <w:pPr>
              <w:pStyle w:val="Compact"/>
              <w:jc w:val="right"/>
            </w:pPr>
            <w:r>
              <w:rPr>
                <w:rFonts w:ascii="Arial" w:hAnsi="Arial"/>
                <w:sz w:val="18"/>
              </w:rPr>
              <w:t xml:space="preserve">179.3</w:t>
            </w:r>
          </w:p>
        </w:tc>
        <w:tc>
          <w:tcPr/>
          <w:p>
            <w:pPr>
              <w:pStyle w:val="Compact"/>
              <w:jc w:val="right"/>
            </w:pPr>
            <w:r>
              <w:rPr>
                <w:rFonts w:ascii="Arial" w:hAnsi="Arial"/>
                <w:sz w:val="18"/>
              </w:rPr>
              <w:t xml:space="preserve">+37.6</w:t>
            </w:r>
          </w:p>
        </w:tc>
        <w:tc>
          <w:tcPr/>
          <w:p>
            <w:pPr>
              <w:pStyle w:val="Compact"/>
              <w:jc w:val="right"/>
            </w:pPr>
            <w:r>
              <w:rPr>
                <w:rFonts w:ascii="Arial" w:hAnsi="Arial"/>
                <w:sz w:val="18"/>
              </w:rPr>
              <w:t xml:space="preserve">+22.49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147.0</w:t>
            </w:r>
          </w:p>
        </w:tc>
        <w:tc>
          <w:tcPr/>
          <w:p>
            <w:pPr>
              <w:pStyle w:val="Compact"/>
              <w:jc w:val="right"/>
            </w:pPr>
            <w:r>
              <w:rPr>
                <w:rFonts w:ascii="Arial" w:hAnsi="Arial"/>
                <w:sz w:val="18"/>
              </w:rPr>
              <w:t xml:space="preserve">175.1</w:t>
            </w:r>
          </w:p>
        </w:tc>
        <w:tc>
          <w:tcPr/>
          <w:p>
            <w:pPr>
              <w:pStyle w:val="Compact"/>
              <w:jc w:val="right"/>
            </w:pPr>
            <w:r>
              <w:rPr>
                <w:rFonts w:ascii="Arial" w:hAnsi="Arial"/>
                <w:sz w:val="18"/>
              </w:rPr>
              <w:t xml:space="preserve">+28.1</w:t>
            </w:r>
          </w:p>
        </w:tc>
        <w:tc>
          <w:tcPr/>
          <w:p>
            <w:pPr>
              <w:pStyle w:val="Compact"/>
              <w:jc w:val="right"/>
            </w:pPr>
            <w:r>
              <w:rPr>
                <w:rFonts w:ascii="Arial" w:hAnsi="Arial"/>
                <w:sz w:val="18"/>
              </w:rPr>
              <w:t xml:space="preserve">+12.99</w:t>
            </w:r>
          </w:p>
        </w:tc>
        <w:tc>
          <w:tcPr/>
          <w:p>
            <w:pPr>
              <w:pStyle w:val="Compact"/>
              <w:jc w:val="center"/>
            </w:pPr>
            <w:r>
              <w:rPr>
                <w:rFonts w:ascii="Arial" w:hAnsi="Arial"/>
                <w:sz w:val="18"/>
              </w:rPr>
              <w:t xml:space="preserve">yes</w:t>
            </w:r>
          </w:p>
        </w:tc>
      </w:tr>
      <w:tr>
        <w:tc>
          <w:tcPr/>
          <w:p>
            <w:pPr>
              <w:pStyle w:val="Compact"/>
              <w:jc w:val="left"/>
            </w:pPr>
            <w:r>
              <w:rPr>
                <w:rFonts w:ascii="Arial" w:hAnsi="Arial"/>
                <w:b/>
                <w:bCs/>
                <w:sz w:val="18"/>
              </w:rPr>
              <w:t xml:space="preserve">Mean (n = 4)</w:t>
            </w:r>
          </w:p>
        </w:tc>
        <w:tc>
          <w:tcPr/>
          <w:p>
            <w:pPr>
              <w:pStyle w:val="Compact"/>
            </w:pPr>
          </w:p>
        </w:tc>
        <w:tc>
          <w:tcPr/>
          <w:p>
            <w:pPr>
              <w:pStyle w:val="Compact"/>
              <w:jc w:val="right"/>
            </w:pPr>
            <w:r>
              <w:rPr>
                <w:rFonts w:ascii="Arial" w:hAnsi="Arial"/>
                <w:b/>
                <w:bCs/>
                <w:sz w:val="18"/>
              </w:rPr>
              <w:t xml:space="preserve">160.6</w:t>
            </w:r>
          </w:p>
        </w:tc>
        <w:tc>
          <w:tcPr/>
          <w:p>
            <w:pPr>
              <w:pStyle w:val="Compact"/>
              <w:jc w:val="right"/>
            </w:pPr>
            <w:r>
              <w:rPr>
                <w:rFonts w:ascii="Arial" w:hAnsi="Arial"/>
                <w:b/>
                <w:bCs/>
                <w:sz w:val="18"/>
              </w:rPr>
              <w:t xml:space="preserve">182.3</w:t>
            </w:r>
          </w:p>
        </w:tc>
        <w:tc>
          <w:tcPr/>
          <w:p>
            <w:pPr>
              <w:pStyle w:val="Compact"/>
              <w:jc w:val="right"/>
            </w:pPr>
            <w:r>
              <w:rPr>
                <w:rFonts w:ascii="Arial" w:hAnsi="Arial"/>
                <w:b/>
                <w:bCs/>
                <w:sz w:val="18"/>
              </w:rPr>
              <w:t xml:space="preserve">+21.7</w:t>
            </w:r>
          </w:p>
        </w:tc>
        <w:tc>
          <w:tcPr/>
          <w:p>
            <w:pPr>
              <w:pStyle w:val="Compact"/>
              <w:jc w:val="right"/>
            </w:pPr>
            <w:r>
              <w:rPr>
                <w:rFonts w:ascii="Arial" w:hAnsi="Arial"/>
                <w:b/>
                <w:bCs/>
                <w:sz w:val="18"/>
              </w:rPr>
              <w:t xml:space="preserve">+6.56</w:t>
            </w:r>
          </w:p>
        </w:tc>
        <w:tc>
          <w:tcPr/>
          <w:p>
            <w:pPr>
              <w:pStyle w:val="Compact"/>
            </w:pPr>
          </w:p>
        </w:tc>
      </w:tr>
    </w:tbl>
    <w:p>
      <w:pPr>
        <w:pStyle w:val="BodyText"/>
      </w:pPr>
      <w:r>
        <w:rPr>
          <w:rFonts w:ascii="Arial" w:hAnsi="Arial"/>
          <w:b/>
          <w:bCs/>
          <w:sz w:val="20"/>
        </w:rPr>
        <w:t xml:space="preserve">Verdict.</w:t>
      </w:r>
      <w:r>
        <w:rPr>
          <w:rFonts w:ascii="Arial" w:hAnsi="Arial"/>
          <w:sz w:val="20"/>
        </w:rPr>
        <w:t xml:space="preserve"> </w:t>
      </w:r>
      <w:r>
        <w:rPr>
          <w:rFonts w:ascii="Arial" w:hAnsi="Arial"/>
          <w:sz w:val="20"/>
        </w:rPr>
        <w:t xml:space="preserve">Residuals on the four paddy-dominant probe districts are centred near zero (mean residual</w:t>
      </w:r>
      <w:r>
        <w:rPr>
          <w:rFonts w:ascii="Arial" w:hAnsi="Arial"/>
          <w:sz w:val="20"/>
        </w:rPr>
        <w:t xml:space="preserve"> </w:t>
      </w:r>
      <m:oMath>
        <m:acc>
          <m:accPr>
            <m:chr m:val="‾"/>
          </m:accPr>
          <m:e>
            <m:r>
              <m:t>r</m:t>
            </m:r>
          </m:e>
        </m:acc>
        <m:r>
          <m:rPr>
            <m:sty m:val="p"/>
          </m:rPr>
          <m:t>=</m:t>
        </m:r>
        <m:r>
          <m:rPr>
            <m:sty m:val="p"/>
          </m:rPr>
          <m:t>+</m:t>
        </m:r>
        <m:r>
          <m:t>6.56</m:t>
        </m:r>
        <m:r>
          <m:t> </m:t>
        </m:r>
        <m:r>
          <m:rPr>
            <m:sty m:val="p"/>
          </m:rPr>
          <m:t>d</m:t>
        </m:r>
      </m:oMath>
      <w:r>
        <w:rPr>
          <w:rFonts w:ascii="Arial" w:hAnsi="Arial"/>
          <w:sz w:val="20"/>
        </w:rPr>
        <w:t xml:space="preserve">, range</w:t>
      </w:r>
      <w:r>
        <w:rPr>
          <w:rFonts w:ascii="Arial" w:hAnsi="Arial"/>
          <w:sz w:val="20"/>
        </w:rPr>
        <w:t xml:space="preserve"> </w:t>
      </w:r>
      <m:oMath>
        <m:d>
          <m:dPr>
            <m:begChr m:val="["/>
            <m:endChr m:val="]"/>
            <m:sepChr m:val=""/>
            <m:grow/>
          </m:dPr>
          <m:e>
            <m:r>
              <m:rPr>
                <m:sty m:val="p"/>
              </m:rPr>
              <m:t>−</m:t>
            </m:r>
            <m:r>
              <m:t>8.11</m:t>
            </m:r>
            <m:r>
              <m:rPr>
                <m:sty m:val="p"/>
              </m:rPr>
              <m:t>,</m:t>
            </m:r>
            <m:r>
              <m:rPr>
                <m:sty m:val="p"/>
              </m:rPr>
              <m:t>+</m:t>
            </m:r>
            <m:r>
              <m:t>22.49</m:t>
            </m:r>
          </m:e>
        </m:d>
        <m:r>
          <m:t> </m:t>
        </m:r>
        <m:r>
          <m:rPr>
            <m:sty m:val="p"/>
          </m:rPr>
          <m:t>d</m:t>
        </m:r>
      </m:oMath>
      <w:r>
        <w:rPr>
          <w:rFonts w:ascii="Arial" w:hAnsi="Arial"/>
          <w:sz w:val="20"/>
        </w:rPr>
        <w:t xml:space="preserve">) and</w:t>
      </w:r>
      <w:r>
        <w:rPr>
          <w:rFonts w:ascii="Arial" w:hAnsi="Arial"/>
          <w:sz w:val="20"/>
        </w:rPr>
        <w:t xml:space="preserve"> </w:t>
      </w:r>
      <w:r>
        <w:rPr>
          <w:rFonts w:ascii="Arial" w:hAnsi="Arial"/>
          <w:b/>
          <w:bCs/>
          <w:sz w:val="20"/>
        </w:rPr>
        <w:t xml:space="preserve">4 / 4</w:t>
      </w:r>
      <w:r>
        <w:rPr>
          <w:rFonts w:ascii="Arial" w:hAnsi="Arial"/>
          <w:sz w:val="20"/>
        </w:rPr>
        <w:t xml:space="preserve"> </w:t>
      </w:r>
      <w:r>
        <w:rPr>
          <w:rFonts w:ascii="Arial" w:hAnsi="Arial"/>
          <w:sz w:val="20"/>
        </w:rPr>
        <w:t xml:space="preserve">observed shifts lie inside the 95% prediction interval. The pre-registered pass criterion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is satisfied in the proportional form (</w:t>
      </w:r>
      <m:oMath>
        <m:r>
          <m:t>4</m:t>
        </m:r>
        <m:r>
          <m:rPr>
            <m:sty m:val="p"/>
          </m:rPr>
          <m:t>/</m:t>
        </m:r>
        <m:r>
          <m:t>4</m:t>
        </m:r>
        <m:r>
          <m:rPr>
            <m:sty m:val="p"/>
          </m:rPr>
          <m:t>=</m:t>
        </m:r>
        <m:r>
          <m:t>100</m:t>
        </m:r>
        <m:r>
          <m:rPr>
            <m:sty m:val="p"/>
          </m:rPr>
          <m:t>%</m:t>
        </m:r>
      </m:oMath>
      <w:r>
        <w:rPr>
          <w:rFonts w:ascii="Arial" w:hAnsi="Arial"/>
          <w:sz w:val="20"/>
        </w:rPr>
        <w:t xml:space="preserve">). The probe therefore registers as a</w:t>
      </w:r>
      <w:r>
        <w:rPr>
          <w:rFonts w:ascii="Arial" w:hAnsi="Arial"/>
          <w:sz w:val="20"/>
        </w:rPr>
        <w:t xml:space="preserve"> </w:t>
      </w:r>
      <w:r>
        <w:rPr>
          <w:rFonts w:ascii="Arial" w:hAnsi="Arial"/>
          <w:b/>
          <w:bCs/>
          <w:sz w:val="20"/>
        </w:rPr>
        <w:t xml:space="preserve">PASS</w:t>
      </w:r>
      <w:r>
        <w:rPr>
          <w:rFonts w:ascii="Arial" w:hAnsi="Arial"/>
          <w:sz w:val="20"/>
        </w:rPr>
        <w:t xml:space="preserve">: the v2.1 corrected coefficient generalises out-of-sample to post-monsoon freshwater-rainfall Bulbul-cohort districts in a manner consistent with the headline coefficient.</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falsification posture of this probe was set in advance: a</w:t>
      </w:r>
      <w:r>
        <w:rPr>
          <w:rFonts w:ascii="Arial" w:hAnsi="Arial"/>
          <w:sz w:val="20"/>
        </w:rPr>
        <w:t xml:space="preserve"> </w:t>
      </w:r>
      <w:r>
        <w:rPr>
          <w:rFonts w:ascii="Arial" w:hAnsi="Arial"/>
          <w:i/>
          <w:iCs/>
          <w:sz w:val="20"/>
        </w:rPr>
        <w:t xml:space="preserve">fail</w:t>
      </w:r>
      <w:r>
        <w:rPr>
          <w:rFonts w:ascii="Arial" w:hAnsi="Arial"/>
          <w:sz w:val="20"/>
        </w:rPr>
        <w:t xml:space="preserve"> </w:t>
      </w:r>
      <w:r>
        <w:rPr>
          <w:rFonts w:ascii="Arial" w:hAnsi="Arial"/>
          <w:sz w:val="20"/>
        </w:rPr>
        <w:t xml:space="preserve">(systematically negative residuals well below the 95% PI) would have indicated mechanism-specific saline-surge suppression. The observed result — mean residual within</w:t>
      </w:r>
      <w:r>
        <w:rPr>
          <w:rFonts w:ascii="Arial" w:hAnsi="Arial"/>
          <w:sz w:val="20"/>
        </w:rPr>
        <w:t xml:space="preserve"> </w:t>
      </w:r>
      <m:oMath>
        <m:r>
          <m:t>1</m:t>
        </m:r>
        <m:r>
          <m:t>σ</m:t>
        </m:r>
      </m:oMath>
      <w:r>
        <w:rPr>
          <w:rFonts w:ascii="Arial" w:hAnsi="Arial"/>
          <w:sz w:val="20"/>
        </w:rPr>
        <w:t xml:space="preserve"> </w:t>
      </w:r>
      <w:r>
        <w:rPr>
          <w:rFonts w:ascii="Arial" w:hAnsi="Arial"/>
          <w:sz w:val="20"/>
        </w:rPr>
        <w:t xml:space="preserve">of zero, 4 / 4 inside the 95% PI — falls on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branch of the pre-registered decision rule, with the following three substantive implications.</w:t>
      </w:r>
    </w:p>
    <w:p>
      <w:pPr>
        <w:pStyle w:val="Compact"/>
        <w:numPr>
          <w:ilvl w:val="0"/>
          <w:numId w:val="1003"/>
        </w:numPr>
      </w:pPr>
      <w:r>
        <w:rPr>
          <w:rFonts w:ascii="Arial" w:hAnsi="Arial"/>
          <w:b/>
          <w:bCs/>
          <w:sz w:val="20"/>
        </w:rPr>
        <w:t xml:space="preserve">The correction operator is not over-aggressive.</w:t>
      </w:r>
      <w:r>
        <w:rPr>
          <w:rFonts w:ascii="Arial" w:hAnsi="Arial"/>
          <w:sz w:val="20"/>
        </w:rPr>
        <w:t xml:space="preserve"> </w:t>
      </w:r>
      <w:r>
        <w:rPr>
          <w:rFonts w:ascii="Arial" w:hAnsi="Arial"/>
          <w:sz w:val="20"/>
        </w:rPr>
        <w:t xml:space="preserve">A generic excess-water mask that silently relabelled rainfall-driven inundation pixels would have produced</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Compact"/>
        <w:numPr>
          <w:ilvl w:val="0"/>
          <w:numId w:val="1003"/>
        </w:numPr>
      </w:pPr>
      <w:r>
        <w:rPr>
          <w:rFonts w:ascii="Arial" w:hAnsi="Arial"/>
          <w:b/>
          <w:bCs/>
          <w:sz w:val="20"/>
        </w:rPr>
        <w:t xml:space="preserve">Geographic transfer holds at one cyclone class boundary.</w:t>
      </w:r>
      <w:r>
        <w:rPr>
          <w:rFonts w:ascii="Arial" w:hAnsi="Arial"/>
          <w:sz w:val="20"/>
        </w:rPr>
        <w:t xml:space="preserve"> </w:t>
      </w:r>
      <w:r>
        <w:rPr>
          <w:rFonts w:ascii="Arial" w:hAnsi="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sz w:val="20"/>
        </w:rPr>
        <w:t xml:space="preserve"> </w:t>
      </w:r>
      <m:oMath>
        <m:acc>
          <m:accPr>
            <m:chr m:val="‾"/>
          </m:accPr>
          <m:e>
            <m:r>
              <m:t>r</m:t>
            </m:r>
          </m:e>
        </m:acc>
        <m:r>
          <m:rPr>
            <m:sty m:val="p"/>
          </m:rPr>
          <m:t>=</m:t>
        </m:r>
        <m:r>
          <m:rPr>
            <m:sty m:val="p"/>
          </m:rPr>
          <m:t>+</m:t>
        </m:r>
        <m:r>
          <m:t>2.4</m:t>
        </m:r>
        <m:r>
          <m:t> </m:t>
        </m:r>
        <m:r>
          <m:rPr>
            <m:sty m:val="p"/>
          </m:rPr>
          <m:t>d</m:t>
        </m:r>
      </m:oMath>
      <w:r>
        <w:rPr>
          <w:rFonts w:ascii="Arial" w:hAnsi="Arial"/>
          <w:sz w:val="20"/>
        </w:rPr>
        <w:t xml:space="preserve">) and on the coastal-only sub-panel (Ganjam + Khordha,</w:t>
      </w:r>
      <w:r>
        <w:rPr>
          <w:rFonts w:ascii="Arial" w:hAnsi="Arial"/>
          <w:sz w:val="20"/>
        </w:rPr>
        <w:t xml:space="preserve"> </w:t>
      </w:r>
      <m:oMath>
        <m:acc>
          <m:accPr>
            <m:chr m:val="‾"/>
          </m:accPr>
          <m:e>
            <m:r>
              <m:t>r</m:t>
            </m:r>
          </m:e>
        </m:acc>
        <m:r>
          <m:rPr>
            <m:sty m:val="p"/>
          </m:rPr>
          <m:t>=</m:t>
        </m:r>
        <m:r>
          <m:rPr>
            <m:sty m:val="p"/>
          </m:rPr>
          <m:t>+</m:t>
        </m:r>
        <m:r>
          <m:t>10.7</m:t>
        </m:r>
        <m:r>
          <m:t> </m:t>
        </m:r>
        <m:r>
          <m:rPr>
            <m:sty m:val="p"/>
          </m:rPr>
          <m:t>d</m:t>
        </m:r>
      </m:oMath>
      <w:r>
        <w:rPr>
          <w:rFonts w:ascii="Arial" w:hAnsi="Arial"/>
          <w:sz w:val="20"/>
        </w:rPr>
        <w:t xml:space="preserve">) are both within the 95% PI, so the result is not an artefact of one sub-set dominating the average.</w:t>
      </w:r>
    </w:p>
    <w:p>
      <w:pPr>
        <w:pStyle w:val="Compact"/>
        <w:numPr>
          <w:ilvl w:val="0"/>
          <w:numId w:val="1003"/>
        </w:numPr>
      </w:pPr>
      <w:r>
        <w:rPr>
          <w:rFonts w:ascii="Arial" w:hAnsi="Arial"/>
          <w:b/>
          <w:bCs/>
          <w:sz w:val="20"/>
        </w:rPr>
        <w:t xml:space="preserve">The result is conservative under small-G inference.</w:t>
      </w:r>
      <w:r>
        <w:rPr>
          <w:rFonts w:ascii="Arial" w:hAnsi="Arial"/>
          <w:sz w:val="20"/>
        </w:rPr>
        <w:t xml:space="preserve"> </w:t>
      </w:r>
      <w:r>
        <w:rPr>
          <w:rFonts w:ascii="Arial" w:hAnsi="Arial"/>
          <w:sz w:val="20"/>
        </w:rPr>
        <w:t xml:space="preserve">The probe sample size of</w:t>
      </w:r>
      <w:r>
        <w:rPr>
          <w:rFonts w:ascii="Arial" w:hAnsi="Arial"/>
          <w:sz w:val="20"/>
        </w:rPr>
        <w:t xml:space="preserve"> </w:t>
      </w:r>
      <m:oMath>
        <m:r>
          <m:t>n</m:t>
        </m:r>
        <m:r>
          <m:rPr>
            <m:sty m:val="p"/>
          </m:rPr>
          <m:t>=</m:t>
        </m:r>
        <m:r>
          <m:t>4</m:t>
        </m:r>
      </m:oMath>
      <w:r>
        <w:rPr>
          <w:rFonts w:ascii="Arial" w:hAnsi="Arial"/>
          <w:sz w:val="20"/>
        </w:rPr>
        <w:t xml:space="preserve"> </w:t>
      </w:r>
      <w:r>
        <w:rPr>
          <w:rFonts w:ascii="Arial" w:hAnsi="Arial"/>
          <w:sz w:val="20"/>
        </w:rPr>
        <w:t xml:space="preserve">paddy-dominant districts is below any sensible asymptotic-CLT regime; we therefore interpret the 4 / 4 in-interval count as a</w:t>
      </w:r>
      <w:r>
        <w:rPr>
          <w:rFonts w:ascii="Arial" w:hAnsi="Arial"/>
          <w:sz w:val="20"/>
        </w:rPr>
        <w:t xml:space="preserve"> </w:t>
      </w:r>
      <w:r>
        <w:rPr>
          <w:rFonts w:ascii="Arial" w:hAnsi="Arial"/>
          <w:i/>
          <w:iCs/>
          <w:sz w:val="20"/>
        </w:rPr>
        <w:t xml:space="preserve">directional</w:t>
      </w:r>
      <w:r>
        <w:rPr>
          <w:rFonts w:ascii="Arial" w:hAnsi="Arial"/>
          <w:sz w:val="20"/>
        </w:rPr>
        <w:t xml:space="preserve"> </w:t>
      </w:r>
      <w:r>
        <w:rPr>
          <w:rFonts w:ascii="Arial" w:hAnsi="Arial"/>
          <w:sz w:val="20"/>
        </w:rPr>
        <w:t xml:space="preserve">result, not as a hypothesis test, and decline to attach a</w:t>
      </w:r>
      <w:r>
        <w:rPr>
          <w:rFonts w:ascii="Arial" w:hAnsi="Arial"/>
          <w:sz w:val="20"/>
        </w:rPr>
        <w:t xml:space="preserve"> </w:t>
      </w:r>
      <m:oMath>
        <m:r>
          <m:t>p</m:t>
        </m:r>
      </m:oMath>
      <w:r>
        <w:rPr>
          <w:rFonts w:ascii="Arial" w:hAnsi="Arial"/>
          <w:sz w:val="20"/>
        </w:rPr>
        <w:t xml:space="preserve">-value to it. The probe’s information value lies in the fact that it</w:t>
      </w:r>
      <w:r>
        <w:rPr>
          <w:rFonts w:ascii="Arial" w:hAnsi="Arial"/>
          <w:sz w:val="20"/>
        </w:rPr>
        <w:t xml:space="preserve"> </w:t>
      </w:r>
      <w:r>
        <w:rPr>
          <w:rFonts w:ascii="Arial" w:hAnsi="Arial"/>
          <w:i/>
          <w:iCs/>
          <w:sz w:val="20"/>
        </w:rPr>
        <w:t xml:space="preserve">could</w:t>
      </w:r>
      <w:r>
        <w:rPr>
          <w:rFonts w:ascii="Arial" w:hAnsi="Arial"/>
          <w:sz w:val="20"/>
        </w:rPr>
        <w:t xml:space="preserve"> </w:t>
      </w:r>
      <w:r>
        <w:rPr>
          <w:rFonts w:ascii="Arial" w:hAnsi="Arial"/>
          <w:sz w:val="20"/>
        </w:rPr>
        <w:t xml:space="preserve">have failed (a negative-residual outcome would have refuted the headline interpretation) and</w:t>
      </w:r>
      <w:r>
        <w:rPr>
          <w:rFonts w:ascii="Arial" w:hAnsi="Arial"/>
          <w:sz w:val="20"/>
        </w:rPr>
        <w:t xml:space="preserve"> </w:t>
      </w:r>
      <w:r>
        <w:rPr>
          <w:rFonts w:ascii="Arial" w:hAnsi="Arial"/>
          <w:i/>
          <w:iCs/>
          <w:sz w:val="20"/>
        </w:rPr>
        <w:t xml:space="preserve">did not</w:t>
      </w:r>
      <w:r>
        <w:rPr>
          <w:rFonts w:ascii="Arial" w:hAnsi="Arial"/>
          <w:sz w:val="20"/>
        </w:rPr>
        <w:t xml:space="preserve">.</w:t>
      </w:r>
    </w:p>
    <w:p>
      <w:pPr>
        <w:pStyle w:val="FirstParagraph"/>
      </w:pPr>
      <w:r>
        <w:rPr>
          <w:rFonts w:ascii="Arial" w:hAnsi="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Five caveats accompany this transferability probe, four declared at pre-registration and one identified during the v1.0.1-submission analysis (limitation 4):</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w:t>
      </w:r>
      <m:oMath>
        <m:r>
          <m:rPr>
            <m:sty m:val="p"/>
          </m:rPr>
          <m:t>+</m:t>
        </m:r>
        <m:r>
          <m:t>6.56</m:t>
        </m:r>
        <m:r>
          <m:t> </m:t>
        </m:r>
        <m:r>
          <m:rPr>
            <m:sty m:val="p"/>
          </m:rPr>
          <m:t>d</m:t>
        </m:r>
      </m:oMath>
      <w:r>
        <w:rPr>
          <w:rFonts w:ascii="Arial" w:hAnsi="Arial"/>
          <w:sz w:val="20"/>
        </w:rPr>
        <w:t xml:space="preserve">)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Compact"/>
        <w:numPr>
          <w:ilvl w:val="0"/>
          <w:numId w:val="1004"/>
        </w:numPr>
      </w:pPr>
      <w:r>
        <w:rPr>
          <w:rFonts w:ascii="Arial" w:hAnsi="Arial"/>
          <w:b/>
          <w:bCs/>
          <w:sz w:val="20"/>
        </w:rPr>
        <w:t xml:space="preserve">Two probe districts are forest-dominated at the AOI scale.</w:t>
      </w:r>
      <w:r>
        <w:rPr>
          <w:rFonts w:ascii="Arial" w:hAnsi="Arial"/>
          <w:sz w:val="20"/>
        </w:rPr>
        <w:t xml:space="preserve"> </w:t>
      </w:r>
      <w:r>
        <w:rPr>
          <w:rFonts w:ascii="Arial" w:hAnsi="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but excluded from the headline residual summary. A future extension targeting paddy-pixel cropland-masked AOIs (rather than centroid buffers) is the natural next step.</w:t>
      </w:r>
    </w:p>
    <w:p>
      <w:pPr>
        <w:pStyle w:val="Compact"/>
        <w:numPr>
          <w:ilvl w:val="0"/>
          <w:numId w:val="1004"/>
        </w:numPr>
      </w:pPr>
      <w:r>
        <w:rPr>
          <w:rFonts w:ascii="Arial" w:hAnsi="Arial"/>
          <w:b/>
          <w:bCs/>
          <w:sz w:val="20"/>
        </w:rPr>
        <w:t xml:space="preserve">AOI is a centroid buffer, not a paddy mask.</w:t>
      </w:r>
      <w:r>
        <w:rPr>
          <w:rFonts w:ascii="Arial" w:hAnsi="Arial"/>
          <w:sz w:val="20"/>
        </w:rPr>
        <w:t xml:space="preserve"> </w:t>
      </w:r>
      <w:r>
        <w:rPr>
          <w:rFonts w:ascii="Arial" w:hAnsi="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(mean residual</w:t>
      </w:r>
      <w:r>
        <w:rPr>
          <w:rFonts w:ascii="Arial" w:hAnsi="Arial"/>
          <w:sz w:val="20"/>
        </w:rPr>
        <w:t xml:space="preserve"> </w:t>
      </w:r>
      <m:oMath>
        <m:r>
          <m:rPr>
            <m:sty m:val="p"/>
          </m:rPr>
          <m:t>+</m:t>
        </m:r>
        <m:r>
          <m:t>6.56</m:t>
        </m:r>
        <m:r>
          <m:t> </m:t>
        </m:r>
        <m:r>
          <m:rPr>
            <m:sty m:val="p"/>
          </m:rPr>
          <m:t>d</m:t>
        </m:r>
      </m:oMath>
      <w:r>
        <w:rPr>
          <w:rFonts w:ascii="Arial" w:hAnsi="Arial"/>
          <w:sz w:val="20"/>
        </w:rPr>
        <w:t xml:space="preserve">, 4/4 paddy-dominant probe districts inside the 95% PI) matches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7142" w:name="note_s2"/>
      <w:r>
        <w:rPr>
          <w:rFonts w:ascii="Arial" w:hAnsi="Arial"/>
          <w:b/>
          <w:color w:val="1F3A5F"/>
          <w:sz w:val="32"/>
        </w:rPr>
        <w:t>Note S2 — Pre-Kharif Bay-of-Bengal cyclone climatology</w:t>
      </w:r>
      <w:bookmarkEnd w:id="7142"/>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Spatial-coverage caveat.</w:t>
      </w:r>
      <w:r>
        <w:rPr>
          <w:rFonts w:ascii="Arial" w:hAnsi="Arial"/>
          <w:sz w:val="20"/>
        </w:rPr>
        <w:t xml:space="preserve"> </w:t>
      </w:r>
      <w:r>
        <w:rPr>
          <w:rFonts w:ascii="Arial" w:hAnsi="Arial"/>
          <w:sz w:val="20"/>
        </w:rPr>
        <w:t xml:space="preserve">Figure S1A uses Natural Earth 1:50 m coastline and political boundary vectors (Public Domain, naturalearthdata.com) as the basemap. The 1981–2018 climatological points in both panels are the</w:t>
      </w:r>
      <w:r>
        <w:rPr>
          <w:rFonts w:ascii="Arial" w:hAnsi="Arial"/>
          <w:sz w:val="20"/>
        </w:rPr>
        <w:t xml:space="preserve"> </w:t>
      </w:r>
      <w:r>
        <w:rPr>
          <w:rFonts w:ascii="Arial" w:hAnsi="Arial"/>
          <w:b/>
          <w:bCs/>
          <w:sz w:val="20"/>
        </w:rPr>
        <w:t xml:space="preserve">real</w:t>
      </w:r>
      <w:r>
        <w:rPr>
          <w:rFonts w:ascii="Arial" w:hAnsi="Arial"/>
          <w:sz w:val="20"/>
        </w:rPr>
        <w:t xml:space="preserve"> </w:t>
      </w:r>
      <w:r>
        <w:rPr>
          <w:rFonts w:ascii="Arial" w:hAnsi="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sz w:val="20"/>
        </w:rPr>
        <w:t xml:space="preserve"> </w:t>
      </w:r>
      <w:r>
        <w:rPr>
          <w:rStyle w:val="VerbatimChar"/>
          <w:rFonts w:ascii="Arial" w:hAnsi="Arial"/>
          <w:sz w:val="20"/>
        </w:rPr>
        <w:t xml:space="preserve">analysis/11b_ibtracs_landfalls.py</w:t>
      </w:r>
      <w:r>
        <w:rPr>
          <w:rFonts w:ascii="Arial" w:hAnsi="Arial"/>
          <w:sz w:val="20"/>
        </w:rPr>
        <w:t xml:space="preserve"> </w:t>
      </w:r>
      <w:r>
        <w:rPr>
          <w:rFonts w:ascii="Arial" w:hAnsi="Arial"/>
          <w:sz w:val="20"/>
        </w:rPr>
        <w:t xml:space="preserve">and frozen at</w:t>
      </w:r>
      <w:r>
        <w:rPr>
          <w:rFonts w:ascii="Arial" w:hAnsi="Arial"/>
          <w:sz w:val="20"/>
        </w:rPr>
        <w:t xml:space="preserve"> </w:t>
      </w:r>
      <w:r>
        <w:rPr>
          <w:rStyle w:val="VerbatimChar"/>
          <w:rFonts w:ascii="Arial" w:hAnsi="Arial"/>
          <w:sz w:val="20"/>
        </w:rPr>
        <w:t xml:space="preserve">data/ibtracs/ibtracs_NI_preKharif_landfalls_1981_2018.csv</w:t>
      </w:r>
      <w:r>
        <w:rPr>
          <w:rFonts w:ascii="Arial" w:hAnsi="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sz w:val="20"/>
        </w:rPr>
        <w:t xml:space="preserve"> </w:t>
      </w:r>
      <w:r>
        <w:rPr>
          <w:rFonts w:ascii="Arial" w:hAnsi="Arial"/>
          <w:b/>
          <w:bCs/>
          <w:sz w:val="20"/>
        </w:rPr>
        <w:t xml:space="preserve">two distinct but both real cohorts</w:t>
      </w:r>
      <w:r>
        <w:rPr>
          <w:rFonts w:ascii="Arial" w:hAnsi="Arial"/>
          <w:sz w:val="20"/>
        </w:rPr>
        <w:t xml:space="preserve"> </w:t>
      </w:r>
      <w:r>
        <w:rPr>
          <w:rFonts w:ascii="Arial" w:hAnsi="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28267" w:name="note_s3"/>
      <w:r>
        <w:rPr>
          <w:rFonts w:ascii="Arial" w:hAnsi="Arial"/>
          <w:b/>
          <w:color w:val="1F3A5F"/>
          <w:sz w:val="32"/>
        </w:rPr>
        <w:t>Note S3 — Sentinel-1 dual-polarisation backscatter signatures</w:t>
      </w:r>
      <w:bookmarkEnd w:id="28267"/>
    </w:p>
    <w:bookmarkStart w:id="29" w:name="Xce1958d78618fb7c3de38bca5f65ef8f24e51a2"/>
    <w:p>
      <w:pPr>
        <w:pStyle w:val="Heading1"/>
      </w:pPr>
      <w:r>
        <w:rPr>
          <w:rFonts w:ascii="Arial" w:hAnsi="Arial"/>
        </w:rPr>
        <w:t xml:space="preserve">Supplementary Note S3 — Sentinel-1 dual-polarisation backscatter signatures</w:t>
      </w:r>
    </w:p>
    <w:p>
      <w:pPr>
        <w:pStyle w:val="FirstParagraph"/>
      </w:pPr>
      <w:r>
        <w:rPr>
          <w:rFonts w:ascii="Arial" w:hAnsi="Arial"/>
          <w:b/>
          <w:bCs/>
          <w:sz w:val="20"/>
        </w:rPr>
        <w:t xml:space="preserve">Anchors.</w:t>
      </w:r>
      <w:r>
        <w:rPr>
          <w:rFonts w:ascii="Arial" w:hAnsi="Arial"/>
          <w:sz w:val="20"/>
        </w:rPr>
        <w:t xml:space="preserve"> </w:t>
      </w:r>
      <w:r>
        <w:rPr>
          <w:rFonts w:ascii="Arial" w:hAnsi="Arial"/>
          <w:sz w:val="20"/>
        </w:rPr>
        <w:t xml:space="preserve">Pre-registered as OSF c4mp8 §2.3 (feature space and gating logic).</w:t>
      </w:r>
      <w:r>
        <w:rPr>
          <w:rFonts w:ascii="Arial" w:hAnsi="Arial"/>
          <w:sz w:val="20"/>
        </w:rPr>
        <w:t xml:space="preserve"> </w:t>
      </w:r>
      <w:r>
        <w:rPr>
          <w:rFonts w:ascii="Arial" w:hAnsi="Arial"/>
          <w:sz w:val="20"/>
        </w:rPr>
        <w:t xml:space="preserve">Implementation:</w:t>
      </w:r>
      <w:r>
        <w:rPr>
          <w:rFonts w:ascii="Arial" w:hAnsi="Arial"/>
          <w:sz w:val="20"/>
        </w:rPr>
        <w:t xml:space="preserve"> </w:t>
      </w:r>
      <w:r>
        <w:rPr>
          <w:rStyle w:val="VerbatimChar"/>
          <w:rFonts w:ascii="Arial" w:hAnsi="Arial"/>
          <w:sz w:val="20"/>
        </w:rPr>
        <w:t xml:space="preserve">analysis/18_real_s1_backscatter_signatures.py</w:t>
      </w:r>
      <w:r>
        <w:rPr>
          <w:rFonts w:ascii="Arial" w:hAnsi="Arial"/>
          <w:sz w:val="20"/>
        </w:rPr>
        <w:t xml:space="preserve"> </w:t>
      </w:r>
      <w:r>
        <w:rPr>
          <w:rFonts w:ascii="Arial" w:hAnsi="Arial"/>
          <w:sz w:val="20"/>
        </w:rPr>
        <w:t xml:space="preserve">(extraction) +</w:t>
      </w:r>
      <w:r>
        <w:rPr>
          <w:rFonts w:ascii="Arial" w:hAnsi="Arial"/>
          <w:sz w:val="20"/>
        </w:rPr>
        <w:t xml:space="preserve"> </w:t>
      </w:r>
      <w:r>
        <w:rPr>
          <w:rStyle w:val="VerbatimChar"/>
          <w:rFonts w:ascii="Arial" w:hAnsi="Arial"/>
          <w:sz w:val="20"/>
        </w:rPr>
        <w:t xml:space="preserve">analysis/20_build_table_s9_fig_s2_real.py</w:t>
      </w:r>
      <w:r>
        <w:rPr>
          <w:rFonts w:ascii="Arial" w:hAnsi="Arial"/>
          <w:sz w:val="20"/>
        </w:rPr>
        <w:t xml:space="preserve"> </w:t>
      </w:r>
      <w:r>
        <w:rPr>
          <w:rFonts w:ascii="Arial" w:hAnsi="Arial"/>
          <w:sz w:val="20"/>
        </w:rPr>
        <w:t xml:space="preserve">(table/figure build). Real</w:t>
      </w:r>
      <w:r>
        <w:rPr>
          <w:rFonts w:ascii="Arial" w:hAnsi="Arial"/>
          <w:sz w:val="20"/>
        </w:rPr>
        <w:t xml:space="preserve"> </w:t>
      </w:r>
      <w:r>
        <w:rPr>
          <w:rFonts w:ascii="Arial" w:hAnsi="Arial"/>
          <w:sz w:val="20"/>
        </w:rPr>
        <w:t xml:space="preserve">Sentinel-1 RTC inputs from Microsoft Planetary Computer STAC, 2019. Outputs:</w:t>
      </w:r>
      <w:r>
        <w:rPr>
          <w:rFonts w:ascii="Arial" w:hAnsi="Arial"/>
          <w:sz w:val="20"/>
        </w:rPr>
        <w:t xml:space="preserve"> </w:t>
      </w:r>
      <w:r>
        <w:rPr>
          <w:rFonts w:ascii="Arial" w:hAnsi="Arial"/>
          <w:sz w:val="20"/>
        </w:rPr>
        <w:t xml:space="preserve">Table S9 (phase means and event deltas), Figure S2 (per-district VH/VV/CR</w:t>
      </w:r>
      <w:r>
        <w:rPr>
          <w:rFonts w:ascii="Arial" w:hAnsi="Arial"/>
          <w:sz w:val="20"/>
        </w:rPr>
        <w:t xml:space="preserve"> </w:t>
      </w:r>
      <w:r>
        <w:rPr>
          <w:rFonts w:ascii="Arial" w:hAnsi="Arial"/>
          <w:sz w:val="20"/>
        </w:rPr>
        <w:t xml:space="preserve">time series).</w:t>
      </w:r>
    </w:p>
    <w:bookmarkStart w:id="20" w:name="s3.1-the-discrimination-problem"/>
    <w:p>
      <w:pPr>
        <w:pStyle w:val="Heading2"/>
      </w:pPr>
      <w:r>
        <w:rPr>
          <w:rFonts w:ascii="Arial" w:hAnsi="Arial"/>
        </w:rPr>
        <w:t xml:space="preserve">S3.1 The discrimination problem</w:t>
      </w:r>
    </w:p>
    <w:p>
      <w:pPr>
        <w:pStyle w:val="FirstParagraph"/>
      </w:pPr>
      <w:r>
        <w:rPr>
          <w:rFonts w:ascii="Arial" w:hAnsi="Arial"/>
          <w:sz w:val="20"/>
        </w:rPr>
        <w:t xml:space="preserve">The classifier in Module 02 (manuscript §3.3) must distinguish three rice</w:t>
      </w:r>
      <w:r>
        <w:rPr>
          <w:rFonts w:ascii="Arial" w:hAnsi="Arial"/>
          <w:sz w:val="20"/>
        </w:rPr>
        <w:t xml:space="preserve"> </w:t>
      </w:r>
      <w:r>
        <w:rPr>
          <w:rFonts w:ascii="Arial" w:hAnsi="Arial"/>
          <w:sz w:val="20"/>
        </w:rPr>
        <w:t xml:space="preserve">surface-water states whose visual signatures on a single Sentinel-1 scene</w:t>
      </w:r>
      <w:r>
        <w:rPr>
          <w:rFonts w:ascii="Arial" w:hAnsi="Arial"/>
          <w:sz w:val="20"/>
        </w:rPr>
        <w:t xml:space="preserve"> </w:t>
      </w:r>
      <w:r>
        <w:rPr>
          <w:rFonts w:ascii="Arial" w:hAnsi="Arial"/>
          <w:sz w:val="20"/>
        </w:rPr>
        <w:t xml:space="preserve">are confusable:</w:t>
      </w:r>
    </w:p>
    <w:p>
      <w:pPr>
        <w:pStyle w:val="Compact"/>
        <w:numPr>
          <w:ilvl w:val="0"/>
          <w:numId w:val="1001"/>
        </w:numPr>
      </w:pPr>
      <w:r>
        <w:rPr>
          <w:rFonts w:ascii="Arial" w:hAnsi="Arial"/>
          <w:b/>
          <w:bCs/>
          <w:sz w:val="20"/>
        </w:rPr>
        <w:t xml:space="preserve">Agronomic transplanting flood</w:t>
      </w:r>
      <w:r>
        <w:rPr>
          <w:rFonts w:ascii="Arial" w:hAnsi="Arial"/>
          <w:sz w:val="20"/>
        </w:rPr>
        <w:t xml:space="preserve"> </w:t>
      </w:r>
      <w:r>
        <w:rPr>
          <w:rFonts w:ascii="Arial" w:hAnsi="Arial"/>
          <w:sz w:val="20"/>
        </w:rPr>
        <w:t xml:space="preserve">— shallow standing freshwater under a</w:t>
      </w:r>
      <w:r>
        <w:rPr>
          <w:rFonts w:ascii="Arial" w:hAnsi="Arial"/>
          <w:sz w:val="20"/>
        </w:rPr>
        <w:t xml:space="preserve"> </w:t>
      </w:r>
      <w:r>
        <w:rPr>
          <w:rFonts w:ascii="Arial" w:hAnsi="Arial"/>
          <w:sz w:val="20"/>
        </w:rPr>
        <w:t xml:space="preserve">sparse vegetation canopy, deliberately maintained for two to four weeks</w:t>
      </w:r>
      <w:r>
        <w:rPr>
          <w:rFonts w:ascii="Arial" w:hAnsi="Arial"/>
          <w:sz w:val="20"/>
        </w:rPr>
        <w:t xml:space="preserve"> </w:t>
      </w:r>
      <w:r>
        <w:rPr>
          <w:rFonts w:ascii="Arial" w:hAnsi="Arial"/>
          <w:sz w:val="20"/>
        </w:rPr>
        <w:t xml:space="preserve">while seedlings are puddled into the bunded field.</w:t>
      </w:r>
    </w:p>
    <w:p>
      <w:pPr>
        <w:pStyle w:val="Compact"/>
        <w:numPr>
          <w:ilvl w:val="0"/>
          <w:numId w:val="1001"/>
        </w:numPr>
      </w:pPr>
      <w:r>
        <w:rPr>
          <w:rFonts w:ascii="Arial" w:hAnsi="Arial"/>
          <w:b/>
          <w:bCs/>
          <w:sz w:val="20"/>
        </w:rPr>
        <w:t xml:space="preserve">Cyclone storm-surge saline flood</w:t>
      </w:r>
      <w:r>
        <w:rPr>
          <w:rFonts w:ascii="Arial" w:hAnsi="Arial"/>
          <w:sz w:val="20"/>
        </w:rPr>
        <w:t xml:space="preserve"> </w:t>
      </w:r>
      <w:r>
        <w:rPr>
          <w:rFonts w:ascii="Arial" w:hAnsi="Arial"/>
          <w:sz w:val="20"/>
        </w:rPr>
        <w:t xml:space="preserve">— sea-water inundation following</w:t>
      </w:r>
      <w:r>
        <w:rPr>
          <w:rFonts w:ascii="Arial" w:hAnsi="Arial"/>
          <w:sz w:val="20"/>
        </w:rPr>
        <w:t xml:space="preserve"> </w:t>
      </w:r>
      <w:r>
        <w:rPr>
          <w:rFonts w:ascii="Arial" w:hAnsi="Arial"/>
          <w:sz w:val="20"/>
        </w:rPr>
        <w:t xml:space="preserve">landfall, lasting hours to days, often persisting in low-lying bunded</w:t>
      </w:r>
      <w:r>
        <w:rPr>
          <w:rFonts w:ascii="Arial" w:hAnsi="Arial"/>
          <w:sz w:val="20"/>
        </w:rPr>
        <w:t xml:space="preserve"> </w:t>
      </w:r>
      <w:r>
        <w:rPr>
          <w:rFonts w:ascii="Arial" w:hAnsi="Arial"/>
          <w:sz w:val="20"/>
        </w:rPr>
        <w:t xml:space="preserve">paddy for one to two weeks before drainage.</w:t>
      </w:r>
    </w:p>
    <w:p>
      <w:pPr>
        <w:pStyle w:val="Compact"/>
        <w:numPr>
          <w:ilvl w:val="0"/>
          <w:numId w:val="1001"/>
        </w:numPr>
      </w:pPr>
      <w:r>
        <w:rPr>
          <w:rFonts w:ascii="Arial" w:hAnsi="Arial"/>
          <w:b/>
          <w:bCs/>
          <w:sz w:val="20"/>
        </w:rPr>
        <w:t xml:space="preserve">Post-monsoon freshwater rainfall pond</w:t>
      </w:r>
      <w:r>
        <w:rPr>
          <w:rFonts w:ascii="Arial" w:hAnsi="Arial"/>
          <w:sz w:val="20"/>
        </w:rPr>
        <w:t xml:space="preserve"> </w:t>
      </w:r>
      <w:r>
        <w:rPr>
          <w:rFonts w:ascii="Arial" w:hAnsi="Arial"/>
          <w:sz w:val="20"/>
        </w:rPr>
        <w:t xml:space="preserve">— closed-basin freshwater</w:t>
      </w:r>
      <w:r>
        <w:rPr>
          <w:rFonts w:ascii="Arial" w:hAnsi="Arial"/>
          <w:sz w:val="20"/>
        </w:rPr>
        <w:t xml:space="preserve"> </w:t>
      </w:r>
      <w:r>
        <w:rPr>
          <w:rFonts w:ascii="Arial" w:hAnsi="Arial"/>
          <w:sz w:val="20"/>
        </w:rPr>
        <w:t xml:space="preserve">accumulation under a senescent or harvested canopy, lasting days to</w:t>
      </w:r>
      <w:r>
        <w:rPr>
          <w:rFonts w:ascii="Arial" w:hAnsi="Arial"/>
          <w:sz w:val="20"/>
        </w:rPr>
        <w:t xml:space="preserve"> </w:t>
      </w:r>
      <w:r>
        <w:rPr>
          <w:rFonts w:ascii="Arial" w:hAnsi="Arial"/>
          <w:sz w:val="20"/>
        </w:rPr>
        <w:t xml:space="preserve">weeks (the Bulbul, 2019, rainfall-event signature).</w:t>
      </w:r>
    </w:p>
    <w:p>
      <w:pPr>
        <w:pStyle w:val="FirstParagraph"/>
      </w:pPr>
      <w:r>
        <w:rPr>
          <w:rFonts w:ascii="Arial" w:hAnsi="Arial"/>
          <w:sz w:val="20"/>
        </w:rPr>
        <w:t xml:space="preserve">If these three states cannot be told apart on the satellite record, the</w:t>
      </w:r>
      <w:r>
        <w:rPr>
          <w:rFonts w:ascii="Arial" w:hAnsi="Arial"/>
          <w:sz w:val="20"/>
        </w:rPr>
        <w:t xml:space="preserve"> </w:t>
      </w:r>
      <w:r>
        <w:rPr>
          <w:rFonts w:ascii="Arial" w:hAnsi="Arial"/>
          <w:sz w:val="20"/>
        </w:rPr>
        <w:t xml:space="preserve">identification strategy collapses — every cyclonic-loss estimate becomes</w:t>
      </w:r>
      <w:r>
        <w:rPr>
          <w:rFonts w:ascii="Arial" w:hAnsi="Arial"/>
          <w:sz w:val="20"/>
        </w:rPr>
        <w:t xml:space="preserve"> </w:t>
      </w:r>
      <w:r>
        <w:rPr>
          <w:rFonts w:ascii="Arial" w:hAnsi="Arial"/>
          <w:sz w:val="20"/>
        </w:rPr>
        <w:t xml:space="preserve">vulnerable to confounding by routine agronomic flooding. Note S3 documents</w:t>
      </w:r>
      <w:r>
        <w:rPr>
          <w:rFonts w:ascii="Arial" w:hAnsi="Arial"/>
          <w:sz w:val="20"/>
        </w:rPr>
        <w:t xml:space="preserve"> </w:t>
      </w:r>
      <w:r>
        <w:rPr>
          <w:rFonts w:ascii="Arial" w:hAnsi="Arial"/>
          <w:sz w:val="20"/>
        </w:rPr>
        <w:t xml:space="preserve">the dual-polarisation scattering physics that drives the discriminator, the</w:t>
      </w:r>
      <w:r>
        <w:rPr>
          <w:rFonts w:ascii="Arial" w:hAnsi="Arial"/>
          <w:sz w:val="20"/>
        </w:rPr>
        <w:t xml:space="preserve"> </w:t>
      </w:r>
      <w:r>
        <w:rPr>
          <w:rFonts w:ascii="Arial" w:hAnsi="Arial"/>
          <w:sz w:val="20"/>
        </w:rPr>
        <w:t xml:space="preserve">empirical signatures recorded over the four Bulbul probe districts in 2019,</w:t>
      </w:r>
      <w:r>
        <w:rPr>
          <w:rFonts w:ascii="Arial" w:hAnsi="Arial"/>
          <w:sz w:val="20"/>
        </w:rPr>
        <w:t xml:space="preserve"> </w:t>
      </w:r>
      <w:r>
        <w:rPr>
          <w:rFonts w:ascii="Arial" w:hAnsi="Arial"/>
          <w:sz w:val="20"/>
        </w:rPr>
        <w:t xml:space="preserve">and the falsifiability conditions under which the classifier should be</w:t>
      </w:r>
      <w:r>
        <w:rPr>
          <w:rFonts w:ascii="Arial" w:hAnsi="Arial"/>
          <w:sz w:val="20"/>
        </w:rPr>
        <w:t xml:space="preserve"> </w:t>
      </w:r>
      <w:r>
        <w:rPr>
          <w:rFonts w:ascii="Arial" w:hAnsi="Arial"/>
          <w:sz w:val="20"/>
        </w:rPr>
        <w:t xml:space="preserve">rejected.</w:t>
      </w:r>
    </w:p>
    <w:bookmarkEnd w:id="20"/>
    <w:bookmarkStart w:id="21" w:name="s3.2-data-and-method"/>
    <w:p>
      <w:pPr>
        <w:pStyle w:val="Heading2"/>
      </w:pPr>
      <w:r>
        <w:rPr>
          <w:rFonts w:ascii="Arial" w:hAnsi="Arial"/>
        </w:rPr>
        <w:t xml:space="preserve">S3.2 Data and method</w:t>
      </w:r>
    </w:p>
    <w:p>
      <w:pPr>
        <w:pStyle w:val="FirstParagraph"/>
      </w:pPr>
      <w:r>
        <w:rPr>
          <w:rFonts w:ascii="Arial" w:hAnsi="Arial"/>
          <w:b/>
          <w:bCs/>
          <w:sz w:val="20"/>
        </w:rPr>
        <w:t xml:space="preserve">Sentinel-1 RTC retrieval.</w:t>
      </w:r>
      <w:r>
        <w:rPr>
          <w:rFonts w:ascii="Arial" w:hAnsi="Arial"/>
          <w:sz w:val="20"/>
        </w:rPr>
        <w:t xml:space="preserve"> </w:t>
      </w:r>
      <w:r>
        <w:rPr>
          <w:rFonts w:ascii="Arial" w:hAnsi="Arial"/>
          <w:sz w:val="20"/>
        </w:rPr>
        <w:t xml:space="preserve">All backscatter signatures in Table S9 and</w:t>
      </w:r>
      <w:r>
        <w:rPr>
          <w:rFonts w:ascii="Arial" w:hAnsi="Arial"/>
          <w:sz w:val="20"/>
        </w:rPr>
        <w:t xml:space="preserve"> </w:t>
      </w:r>
      <w:r>
        <w:rPr>
          <w:rFonts w:ascii="Arial" w:hAnsi="Arial"/>
          <w:sz w:val="20"/>
        </w:rPr>
        <w:t xml:space="preserve">Figure S2 are extracted from the Microsoft Planetary Computer</w:t>
      </w:r>
      <w:r>
        <w:rPr>
          <w:rFonts w:ascii="Arial" w:hAnsi="Arial"/>
          <w:sz w:val="20"/>
        </w:rPr>
        <w:t xml:space="preserve"> </w:t>
      </w:r>
      <w:r>
        <w:rPr>
          <w:rStyle w:val="VerbatimChar"/>
          <w:rFonts w:ascii="Arial" w:hAnsi="Arial"/>
          <w:sz w:val="20"/>
        </w:rPr>
        <w:t xml:space="preserve">sentinel-1-rtc</w:t>
      </w:r>
      <w:r>
        <w:rPr>
          <w:rFonts w:ascii="Arial" w:hAnsi="Arial"/>
          <w:sz w:val="20"/>
        </w:rPr>
        <w:t xml:space="preserve"> </w:t>
      </w:r>
      <w:r>
        <w:rPr>
          <w:rFonts w:ascii="Arial" w:hAnsi="Arial"/>
          <w:sz w:val="20"/>
        </w:rPr>
        <w:t xml:space="preserve">STAC collection (10 m, Interferometric Wide swath, Ground</w:t>
      </w:r>
      <w:r>
        <w:rPr>
          <w:rFonts w:ascii="Arial" w:hAnsi="Arial"/>
          <w:sz w:val="20"/>
        </w:rPr>
        <w:t xml:space="preserve"> </w:t>
      </w:r>
      <w:r>
        <w:rPr>
          <w:rFonts w:ascii="Arial" w:hAnsi="Arial"/>
          <w:sz w:val="20"/>
        </w:rPr>
        <w:t xml:space="preserve">Range Detected, dual-pol VV+VH, gamma_0 radiometric- and</w:t>
      </w:r>
      <w:r>
        <w:rPr>
          <w:rFonts w:ascii="Arial" w:hAnsi="Arial"/>
          <w:sz w:val="20"/>
        </w:rPr>
        <w:t xml:space="preserve"> </w:t>
      </w:r>
      <w:r>
        <w:rPr>
          <w:rFonts w:ascii="Arial" w:hAnsi="Arial"/>
          <w:sz w:val="20"/>
        </w:rPr>
        <w:t xml:space="preserve">terrain-corrected). Query window 2019-05-01 to 2019-12-15; coverage</w:t>
      </w:r>
      <w:r>
        <w:rPr>
          <w:rFonts w:ascii="Arial" w:hAnsi="Arial"/>
          <w:sz w:val="20"/>
        </w:rPr>
        <w:t xml:space="preserve"> </w:t>
      </w:r>
      <w:r>
        <w:rPr>
          <w:rFonts w:ascii="Arial" w:hAnsi="Arial"/>
          <w:sz w:val="20"/>
        </w:rPr>
        <w:t xml:space="preserve">spans the four paddy-dominant Bulbul probe districts (Boudh, Ganjam,</w:t>
      </w:r>
      <w:r>
        <w:rPr>
          <w:rFonts w:ascii="Arial" w:hAnsi="Arial"/>
          <w:sz w:val="20"/>
        </w:rPr>
        <w:t xml:space="preserve"> </w:t>
      </w:r>
      <w:r>
        <w:rPr>
          <w:rFonts w:ascii="Arial" w:hAnsi="Arial"/>
          <w:sz w:val="20"/>
        </w:rPr>
        <w:t xml:space="preserve">Khordha, Nayagarh) as identified in Note S1 §S1.2. Total = 85</w:t>
      </w:r>
      <w:r>
        <w:rPr>
          <w:rFonts w:ascii="Arial" w:hAnsi="Arial"/>
          <w:sz w:val="20"/>
        </w:rPr>
        <w:t xml:space="preserve"> </w:t>
      </w:r>
      <w:r>
        <w:rPr>
          <w:rFonts w:ascii="Arial" w:hAnsi="Arial"/>
          <w:sz w:val="20"/>
        </w:rPr>
        <w:t xml:space="preserve">district-dekad observations (Boudh 22, Ganjam 22, Khordha 23,</w:t>
      </w:r>
      <w:r>
        <w:rPr>
          <w:rFonts w:ascii="Arial" w:hAnsi="Arial"/>
          <w:sz w:val="20"/>
        </w:rPr>
        <w:t xml:space="preserve"> </w:t>
      </w:r>
      <w:r>
        <w:rPr>
          <w:rFonts w:ascii="Arial" w:hAnsi="Arial"/>
          <w:sz w:val="20"/>
        </w:rPr>
        <w:t xml:space="preserve">Nayagarh 18) drawn from 334 Sentinel-1 scenes.</w:t>
      </w:r>
    </w:p>
    <w:p>
      <w:pPr>
        <w:pStyle w:val="BodyText"/>
      </w:pPr>
      <w:r>
        <w:rPr>
          <w:rFonts w:ascii="Arial" w:hAnsi="Arial"/>
          <w:b/>
          <w:bCs/>
          <w:sz w:val="20"/>
        </w:rPr>
        <w:t xml:space="preserve">Aggregation.</w:t>
      </w:r>
      <w:r>
        <w:rPr>
          <w:rFonts w:ascii="Arial" w:hAnsi="Arial"/>
          <w:sz w:val="20"/>
        </w:rPr>
        <w:t xml:space="preserve"> </w:t>
      </w:r>
      <w:r>
        <w:rPr>
          <w:rFonts w:ascii="Arial" w:hAnsi="Arial"/>
          <w:sz w:val="20"/>
        </w:rPr>
        <w:t xml:space="preserve">Items are loaded with</w:t>
      </w:r>
      <w:r>
        <w:rPr>
          <w:rFonts w:ascii="Arial" w:hAnsi="Arial"/>
          <w:sz w:val="20"/>
        </w:rPr>
        <w:t xml:space="preserve"> </w:t>
      </w:r>
      <w:r>
        <w:rPr>
          <w:rStyle w:val="VerbatimChar"/>
          <w:rFonts w:ascii="Arial" w:hAnsi="Arial"/>
          <w:sz w:val="20"/>
        </w:rPr>
        <w:t xml:space="preserve">odc.stac.load</w:t>
      </w:r>
      <w:r>
        <w:rPr>
          <w:rFonts w:ascii="Arial" w:hAnsi="Arial"/>
          <w:sz w:val="20"/>
        </w:rPr>
        <w:t xml:space="preserve"> </w:t>
      </w:r>
      <w:r>
        <w:rPr>
          <w:rFonts w:ascii="Arial" w:hAnsi="Arial"/>
          <w:sz w:val="20"/>
        </w:rPr>
        <w:t xml:space="preserve">at 100-m</w:t>
      </w:r>
      <w:r>
        <w:rPr>
          <w:rFonts w:ascii="Arial" w:hAnsi="Arial"/>
          <w:sz w:val="20"/>
        </w:rPr>
        <w:t xml:space="preserve"> </w:t>
      </w:r>
      <w:r>
        <w:rPr>
          <w:rFonts w:ascii="Arial" w:hAnsi="Arial"/>
          <w:sz w:val="20"/>
        </w:rPr>
        <w:t xml:space="preserve">resolution (sufficient for district-mean signatures; the 10 × spatial</w:t>
      </w:r>
      <w:r>
        <w:rPr>
          <w:rFonts w:ascii="Arial" w:hAnsi="Arial"/>
          <w:sz w:val="20"/>
        </w:rPr>
        <w:t xml:space="preserve"> </w:t>
      </w:r>
      <w:r>
        <w:rPr>
          <w:rFonts w:ascii="Arial" w:hAnsi="Arial"/>
          <w:sz w:val="20"/>
        </w:rPr>
        <w:t xml:space="preserve">down-sampling reduces per-scene retrieval cost by ~100× without altering</w:t>
      </w:r>
      <w:r>
        <w:rPr>
          <w:rFonts w:ascii="Arial" w:hAnsi="Arial"/>
          <w:sz w:val="20"/>
        </w:rPr>
        <w:t xml:space="preserve"> </w:t>
      </w:r>
      <w:r>
        <w:rPr>
          <w:rFonts w:ascii="Arial" w:hAnsi="Arial"/>
          <w:sz w:val="20"/>
        </w:rPr>
        <w:t xml:space="preserve">the district aggregate), reprojected to UTM N44 (EPSG:32644), masked</w:t>
      </w:r>
      <w:r>
        <w:rPr>
          <w:rFonts w:ascii="Arial" w:hAnsi="Arial"/>
          <w:sz w:val="20"/>
        </w:rPr>
        <w:t xml:space="preserve"> </w:t>
      </w:r>
      <w:r>
        <w:rPr>
          <w:rFonts w:ascii="Arial" w:hAnsi="Arial"/>
          <w:sz w:val="20"/>
        </w:rPr>
        <w:t xml:space="preserve">to GADM v4.1 L2 district polygons, and aggregated by 10-day dekad of</w:t>
      </w:r>
      <w:r>
        <w:rPr>
          <w:rFonts w:ascii="Arial" w:hAnsi="Arial"/>
          <w:sz w:val="20"/>
        </w:rPr>
        <w:t xml:space="preserve"> </w:t>
      </w:r>
      <w:r>
        <w:rPr>
          <w:rFonts w:ascii="Arial" w:hAnsi="Arial"/>
          <w:sz w:val="20"/>
        </w:rPr>
        <w:t xml:space="preserve">year (DOY-of-year ÷ 10, capped at 36).</w:t>
      </w:r>
    </w:p>
    <w:p>
      <w:pPr>
        <w:pStyle w:val="BodyText"/>
      </w:pPr>
      <w:r>
        <w:rPr>
          <w:rFonts w:ascii="Arial" w:hAnsi="Arial"/>
          <w:b/>
          <w:bCs/>
          <w:sz w:val="20"/>
        </w:rPr>
        <w:t xml:space="preserve">Statistics.</w:t>
      </w:r>
      <w:r>
        <w:rPr>
          <w:rFonts w:ascii="Arial" w:hAnsi="Arial"/>
          <w:sz w:val="20"/>
        </w:rPr>
        <w:t xml:space="preserve"> </w:t>
      </w:r>
      <w:r>
        <w:rPr>
          <w:rFonts w:ascii="Arial" w:hAnsi="Arial"/>
          <w:sz w:val="20"/>
        </w:rPr>
        <w:t xml:space="preserve">Linear gamma_0 backscatter is converted to dB</w:t>
      </w:r>
      <w:r>
        <w:rPr>
          <w:rFonts w:ascii="Arial" w:hAnsi="Arial"/>
          <w:sz w:val="20"/>
        </w:rPr>
        <w:t xml:space="preserve"> </w:t>
      </w:r>
      <w:r>
        <w:rPr>
          <w:rFonts w:ascii="Arial" w:hAnsi="Arial"/>
          <w:sz w:val="20"/>
        </w:rPr>
        <w:t xml:space="preserve">(</w:t>
      </w:r>
      <w:r>
        <w:rPr>
          <w:rStyle w:val="VerbatimChar"/>
          <w:rFonts w:ascii="Arial" w:hAnsi="Arial"/>
          <w:sz w:val="20"/>
        </w:rPr>
        <w:t xml:space="preserve">dB = 10 · log10(linear)</w:t>
      </w:r>
      <w:r>
        <w:rPr>
          <w:rFonts w:ascii="Arial" w:hAnsi="Arial"/>
          <w:sz w:val="20"/>
        </w:rPr>
        <w:t xml:space="preserve">). The cross-ratio CR is computed in linear</w:t>
      </w:r>
      <w:r>
        <w:rPr>
          <w:rFonts w:ascii="Arial" w:hAnsi="Arial"/>
          <w:sz w:val="20"/>
        </w:rPr>
        <w:t xml:space="preserve"> </w:t>
      </w:r>
      <w:r>
        <w:rPr>
          <w:rFonts w:ascii="Arial" w:hAnsi="Arial"/>
          <w:sz w:val="20"/>
        </w:rPr>
        <w:t xml:space="preserve">units (</w:t>
      </w:r>
      <w:r>
        <w:rPr>
          <w:rStyle w:val="VerbatimChar"/>
          <w:rFonts w:ascii="Arial" w:hAnsi="Arial"/>
          <w:sz w:val="20"/>
        </w:rPr>
        <w:t xml:space="preserve">CR = VH_linear / VV_linear</w:t>
      </w:r>
      <w:r>
        <w:rPr>
          <w:rFonts w:ascii="Arial" w:hAnsi="Arial"/>
          <w:sz w:val="20"/>
        </w:rPr>
        <w:t xml:space="preserve">) rather than as a dB difference,</w:t>
      </w:r>
      <w:r>
        <w:rPr>
          <w:rFonts w:ascii="Arial" w:hAnsi="Arial"/>
          <w:sz w:val="20"/>
        </w:rPr>
        <w:t xml:space="preserve"> </w:t>
      </w:r>
      <w:r>
        <w:rPr>
          <w:rFonts w:ascii="Arial" w:hAnsi="Arial"/>
          <w:sz w:val="20"/>
        </w:rPr>
        <w:t xml:space="preserve">following Lee &amp; Pottier (2009). Each district-dekad row in Table S9</w:t>
      </w:r>
      <w:r>
        <w:rPr>
          <w:rFonts w:ascii="Arial" w:hAnsi="Arial"/>
          <w:sz w:val="20"/>
        </w:rPr>
        <w:t xml:space="preserve"> </w:t>
      </w:r>
      <w:r>
        <w:rPr>
          <w:rFonts w:ascii="Arial" w:hAnsi="Arial"/>
          <w:sz w:val="20"/>
        </w:rPr>
        <w:t xml:space="preserve">is the spatial mean over the masked district polygon of the temporal</w:t>
      </w:r>
      <w:r>
        <w:rPr>
          <w:rFonts w:ascii="Arial" w:hAnsi="Arial"/>
          <w:sz w:val="20"/>
        </w:rPr>
        <w:t xml:space="preserve"> </w:t>
      </w:r>
      <w:r>
        <w:rPr>
          <w:rFonts w:ascii="Arial" w:hAnsi="Arial"/>
          <w:sz w:val="20"/>
        </w:rPr>
        <w:t xml:space="preserve">mean over the dekad’s pre-aggregated solar-day scenes.</w:t>
      </w:r>
    </w:p>
    <w:p>
      <w:pPr>
        <w:pStyle w:val="BodyText"/>
      </w:pPr>
      <w:r>
        <w:rPr>
          <w:rFonts w:ascii="Arial" w:hAnsi="Arial"/>
          <w:b/>
          <w:bCs/>
          <w:sz w:val="20"/>
        </w:rPr>
        <w:t xml:space="preserve">Phase definitions</w:t>
      </w:r>
      <w:r>
        <w:rPr>
          <w:rFonts w:ascii="Arial" w:hAnsi="Arial"/>
          <w:sz w:val="20"/>
        </w:rPr>
        <w:t xml:space="preserve"> </w:t>
      </w:r>
      <w:r>
        <w:rPr>
          <w:rFonts w:ascii="Arial" w:hAnsi="Arial"/>
          <w:sz w:val="20"/>
        </w:rPr>
        <w:t xml:space="preserve">(anchored to the Odisha 2019 Kharif calendar):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DOY range</w:t>
            </w:r>
          </w:p>
        </w:tc>
        <w:tc>
          <w:tcPr/>
          <w:p>
            <w:pPr>
              <w:pStyle w:val="Compact"/>
              <w:jc w:val="left"/>
            </w:pPr>
            <w:r>
              <w:rPr>
                <w:rFonts w:ascii="Arial" w:hAnsi="Arial"/>
                <w:sz w:val="18"/>
              </w:rPr>
              <w:t xml:space="preserve">Calendar</w:t>
            </w:r>
          </w:p>
        </w:tc>
        <w:tc>
          <w:tcPr/>
          <w:p>
            <w:pPr>
              <w:pStyle w:val="Compact"/>
              <w:jc w:val="left"/>
            </w:pPr>
            <w:r>
              <w:rPr>
                <w:rFonts w:ascii="Arial" w:hAnsi="Arial"/>
                <w:sz w:val="18"/>
              </w:rPr>
              <w:t xml:space="preserve">n_dekads per district</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121–160</w:t>
            </w:r>
          </w:p>
        </w:tc>
        <w:tc>
          <w:tcPr/>
          <w:p>
            <w:pPr>
              <w:pStyle w:val="Compact"/>
              <w:jc w:val="left"/>
            </w:pPr>
            <w:r>
              <w:rPr>
                <w:rFonts w:ascii="Arial" w:hAnsi="Arial"/>
                <w:sz w:val="18"/>
              </w:rPr>
              <w:t xml:space="preserve">1 May – 9 Jun</w:t>
            </w:r>
          </w:p>
        </w:tc>
        <w:tc>
          <w:tcPr/>
          <w:p>
            <w:pPr>
              <w:pStyle w:val="Compact"/>
              <w:jc w:val="left"/>
            </w:pPr>
            <w:r>
              <w:rPr>
                <w:rFonts w:ascii="Arial" w:hAnsi="Arial"/>
                <w:sz w:val="18"/>
              </w:rPr>
              <w:t xml:space="preserve">1–4</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171–220</w:t>
            </w:r>
          </w:p>
        </w:tc>
        <w:tc>
          <w:tcPr/>
          <w:p>
            <w:pPr>
              <w:pStyle w:val="Compact"/>
              <w:jc w:val="left"/>
            </w:pPr>
            <w:r>
              <w:rPr>
                <w:rFonts w:ascii="Arial" w:hAnsi="Arial"/>
                <w:sz w:val="18"/>
              </w:rPr>
              <w:t xml:space="preserve">20 Jun – 8 Aug</w:t>
            </w:r>
          </w:p>
        </w:tc>
        <w:tc>
          <w:tcPr/>
          <w:p>
            <w:pPr>
              <w:pStyle w:val="Compact"/>
              <w:jc w:val="left"/>
            </w:pPr>
            <w:r>
              <w:rPr>
                <w:rFonts w:ascii="Arial" w:hAnsi="Arial"/>
                <w:sz w:val="18"/>
              </w:rPr>
              <w:t xml:space="preserve">4–5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230–270</w:t>
            </w:r>
          </w:p>
        </w:tc>
        <w:tc>
          <w:tcPr/>
          <w:p>
            <w:pPr>
              <w:pStyle w:val="Compact"/>
              <w:jc w:val="left"/>
            </w:pPr>
            <w:r>
              <w:rPr>
                <w:rFonts w:ascii="Arial" w:hAnsi="Arial"/>
                <w:sz w:val="18"/>
              </w:rPr>
              <w:t xml:space="preserve">18 Aug – 27 Sep</w:t>
            </w:r>
          </w:p>
        </w:tc>
        <w:tc>
          <w:tcPr/>
          <w:p>
            <w:pPr>
              <w:pStyle w:val="Compact"/>
              <w:jc w:val="left"/>
            </w:pPr>
            <w:r>
              <w:rPr>
                <w:rFonts w:ascii="Arial" w:hAnsi="Arial"/>
                <w:sz w:val="18"/>
              </w:rPr>
              <w:t xml:space="preserve">3–4</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305–325</w:t>
            </w:r>
          </w:p>
        </w:tc>
        <w:tc>
          <w:tcPr/>
          <w:p>
            <w:pPr>
              <w:pStyle w:val="Compact"/>
              <w:jc w:val="left"/>
            </w:pPr>
            <w:r>
              <w:rPr>
                <w:rFonts w:ascii="Arial" w:hAnsi="Arial"/>
                <w:sz w:val="18"/>
              </w:rPr>
              <w:t xml:space="preserve">1 Nov – 21 Nov (landfall 9 Nov)</w:t>
            </w:r>
          </w:p>
        </w:tc>
        <w:tc>
          <w:tcPr/>
          <w:p>
            <w:pPr>
              <w:pStyle w:val="Compact"/>
              <w:jc w:val="left"/>
            </w:pPr>
            <w:r>
              <w:rPr>
                <w:rFonts w:ascii="Arial" w:hAnsi="Arial"/>
                <w:sz w:val="18"/>
              </w:rPr>
              <w:t xml:space="preserve">3</w:t>
            </w:r>
          </w:p>
        </w:tc>
      </w:tr>
    </w:tbl>
    <w:bookmarkEnd w:id="21"/>
    <w:bookmarkStart w:id="23" w:name="X8b4813b165c4d18204f0891e91aa86299e3af69"/>
    <w:p>
      <w:pPr>
        <w:pStyle w:val="Heading2"/>
      </w:pPr>
      <w:r>
        <w:rPr>
          <w:rFonts w:ascii="Arial" w:hAnsi="Arial"/>
        </w:rPr>
        <w:t xml:space="preserve">S3.3 Real empirical signatures (Table S9, Figure S2)</w:t>
      </w:r>
    </w:p>
    <w:p>
      <w:pPr>
        <w:pStyle w:val="FirstParagraph"/>
      </w:pPr>
      <w:r>
        <w:rPr>
          <w:rFonts w:ascii="Arial" w:hAnsi="Arial"/>
          <w:sz w:val="20"/>
        </w:rPr>
        <w:t xml:space="preserve">The four-district mean phase signatures are: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Mean VH (dB)</w:t>
            </w:r>
          </w:p>
        </w:tc>
        <w:tc>
          <w:tcPr/>
          <w:p>
            <w:pPr>
              <w:pStyle w:val="Compact"/>
              <w:jc w:val="left"/>
            </w:pPr>
            <w:r>
              <w:rPr>
                <w:rFonts w:ascii="Arial" w:hAnsi="Arial"/>
                <w:sz w:val="18"/>
              </w:rPr>
              <w:t xml:space="preserve">Mean VV (dB)</w:t>
            </w:r>
          </w:p>
        </w:tc>
        <w:tc>
          <w:tcPr/>
          <w:p>
            <w:pPr>
              <w:pStyle w:val="Compact"/>
              <w:jc w:val="left"/>
            </w:pPr>
            <w:r>
              <w:rPr>
                <w:rFonts w:ascii="Arial" w:hAnsi="Arial"/>
                <w:sz w:val="18"/>
              </w:rPr>
              <w:t xml:space="preserve">Mean CR</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−14.32</w:t>
            </w:r>
          </w:p>
        </w:tc>
        <w:tc>
          <w:tcPr/>
          <w:p>
            <w:pPr>
              <w:pStyle w:val="Compact"/>
              <w:jc w:val="left"/>
            </w:pPr>
            <w:r>
              <w:rPr>
                <w:rFonts w:ascii="Arial" w:hAnsi="Arial"/>
                <w:sz w:val="18"/>
              </w:rPr>
              <w:t xml:space="preserve">−7.96</w:t>
            </w:r>
          </w:p>
        </w:tc>
        <w:tc>
          <w:tcPr/>
          <w:p>
            <w:pPr>
              <w:pStyle w:val="Compact"/>
              <w:jc w:val="left"/>
            </w:pPr>
            <w:r>
              <w:rPr>
                <w:rFonts w:ascii="Arial" w:hAnsi="Arial"/>
                <w:sz w:val="18"/>
              </w:rPr>
              <w:t xml:space="preserve">0.239</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−13.80</w:t>
            </w:r>
          </w:p>
        </w:tc>
        <w:tc>
          <w:tcPr/>
          <w:p>
            <w:pPr>
              <w:pStyle w:val="Compact"/>
              <w:jc w:val="left"/>
            </w:pPr>
            <w:r>
              <w:rPr>
                <w:rFonts w:ascii="Arial" w:hAnsi="Arial"/>
                <w:sz w:val="18"/>
              </w:rPr>
              <w:t xml:space="preserve">−7.14</w:t>
            </w:r>
          </w:p>
        </w:tc>
        <w:tc>
          <w:tcPr/>
          <w:p>
            <w:pPr>
              <w:pStyle w:val="Compact"/>
              <w:jc w:val="left"/>
            </w:pPr>
            <w:r>
              <w:rPr>
                <w:rFonts w:ascii="Arial" w:hAnsi="Arial"/>
                <w:sz w:val="18"/>
              </w:rPr>
              <w:t xml:space="preserve">0.225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−13.78</w:t>
            </w:r>
          </w:p>
        </w:tc>
        <w:tc>
          <w:tcPr/>
          <w:p>
            <w:pPr>
              <w:pStyle w:val="Compact"/>
              <w:jc w:val="left"/>
            </w:pPr>
            <w:r>
              <w:rPr>
                <w:rFonts w:ascii="Arial" w:hAnsi="Arial"/>
                <w:sz w:val="18"/>
              </w:rPr>
              <w:t xml:space="preserve">−6.82</w:t>
            </w:r>
          </w:p>
        </w:tc>
        <w:tc>
          <w:tcPr/>
          <w:p>
            <w:pPr>
              <w:pStyle w:val="Compact"/>
              <w:jc w:val="left"/>
            </w:pPr>
            <w:r>
              <w:rPr>
                <w:rFonts w:ascii="Arial" w:hAnsi="Arial"/>
                <w:sz w:val="18"/>
              </w:rPr>
              <w:t xml:space="preserve">0.212</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−13.49</w:t>
            </w:r>
          </w:p>
        </w:tc>
        <w:tc>
          <w:tcPr/>
          <w:p>
            <w:pPr>
              <w:pStyle w:val="Compact"/>
              <w:jc w:val="left"/>
            </w:pPr>
            <w:r>
              <w:rPr>
                <w:rFonts w:ascii="Arial" w:hAnsi="Arial"/>
                <w:sz w:val="18"/>
              </w:rPr>
              <w:t xml:space="preserve">−7.27</w:t>
            </w:r>
          </w:p>
        </w:tc>
        <w:tc>
          <w:tcPr/>
          <w:p>
            <w:pPr>
              <w:pStyle w:val="Compact"/>
              <w:jc w:val="left"/>
            </w:pPr>
            <w:r>
              <w:rPr>
                <w:rFonts w:ascii="Arial" w:hAnsi="Arial"/>
                <w:sz w:val="18"/>
              </w:rPr>
              <w:t xml:space="preserve">0.249</w:t>
            </w:r>
          </w:p>
        </w:tc>
      </w:tr>
    </w:tbl>
    <w:p>
      <w:pPr>
        <w:pStyle w:val="BodyText"/>
      </w:pPr>
      <w:r>
        <w:rPr>
          <w:rFonts w:ascii="Arial" w:hAnsi="Arial"/>
          <w:sz w:val="20"/>
        </w:rPr>
        <w:t xml:space="preserve">The full per-district table is Table S9; the per-district time series is</w:t>
      </w:r>
      <w:r>
        <w:rPr>
          <w:rFonts w:ascii="Arial" w:hAnsi="Arial"/>
          <w:sz w:val="20"/>
        </w:rPr>
        <w:t xml:space="preserve"> </w:t>
      </w:r>
      <w:r>
        <w:rPr>
          <w:rFonts w:ascii="Arial" w:hAnsi="Arial"/>
          <w:sz w:val="20"/>
        </w:rPr>
        <w:t xml:space="preserve">Figure S2.</w:t>
      </w:r>
    </w:p>
    <w:bookmarkStart w:id="22" w:name="Xda0005fc06bc6b131ff8f162449c796210fd4dd"/>
    <w:p>
      <w:pPr>
        <w:pStyle w:val="Heading3"/>
      </w:pPr>
      <w:r>
        <w:rPr>
          <w:rFonts w:ascii="Arial" w:hAnsi="Arial"/>
        </w:rPr>
        <w:t xml:space="preserve">Phase-to-baseline deltas (mean over the four districts)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ΔVH (dB)</w:t>
            </w:r>
          </w:p>
        </w:tc>
        <w:tc>
          <w:tcPr/>
          <w:p>
            <w:pPr>
              <w:pStyle w:val="Compact"/>
              <w:jc w:val="left"/>
            </w:pPr>
            <w:r>
              <w:rPr>
                <w:rFonts w:ascii="Arial" w:hAnsi="Arial"/>
                <w:sz w:val="18"/>
              </w:rPr>
              <w:t xml:space="preserve">ΔVV (dB)</w:t>
            </w:r>
          </w:p>
        </w:tc>
        <w:tc>
          <w:tcPr/>
          <w:p>
            <w:pPr>
              <w:pStyle w:val="Compact"/>
              <w:jc w:val="left"/>
            </w:pPr>
            <w:r>
              <w:rPr>
                <w:rFonts w:ascii="Arial" w:hAnsi="Arial"/>
                <w:sz w:val="18"/>
              </w:rPr>
              <w:t xml:space="preserve">ΔCR</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+0.52</w:t>
            </w:r>
          </w:p>
        </w:tc>
        <w:tc>
          <w:tcPr/>
          <w:p>
            <w:pPr>
              <w:pStyle w:val="Compact"/>
              <w:jc w:val="left"/>
            </w:pPr>
            <w:r>
              <w:rPr>
                <w:rFonts w:ascii="Arial" w:hAnsi="Arial"/>
                <w:sz w:val="18"/>
              </w:rPr>
              <w:t xml:space="preserve">+0.82</w:t>
            </w:r>
          </w:p>
        </w:tc>
        <w:tc>
          <w:tcPr/>
          <w:p>
            <w:pPr>
              <w:pStyle w:val="Compact"/>
              <w:jc w:val="left"/>
            </w:pPr>
            <w:r>
              <w:rPr>
                <w:rFonts w:ascii="Arial" w:hAnsi="Arial"/>
                <w:sz w:val="18"/>
              </w:rPr>
              <w:t xml:space="preserve">−0.014</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+0.54</w:t>
            </w:r>
          </w:p>
        </w:tc>
        <w:tc>
          <w:tcPr/>
          <w:p>
            <w:pPr>
              <w:pStyle w:val="Compact"/>
              <w:jc w:val="left"/>
            </w:pPr>
            <w:r>
              <w:rPr>
                <w:rFonts w:ascii="Arial" w:hAnsi="Arial"/>
                <w:sz w:val="18"/>
              </w:rPr>
              <w:t xml:space="preserve">+1.14</w:t>
            </w:r>
          </w:p>
        </w:tc>
        <w:tc>
          <w:tcPr/>
          <w:p>
            <w:pPr>
              <w:pStyle w:val="Compact"/>
              <w:jc w:val="left"/>
            </w:pPr>
            <w:r>
              <w:rPr>
                <w:rFonts w:ascii="Arial" w:hAnsi="Arial"/>
                <w:sz w:val="18"/>
              </w:rPr>
              <w:t xml:space="preserve">−0.027</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+0.83</w:t>
            </w:r>
          </w:p>
        </w:tc>
        <w:tc>
          <w:tcPr/>
          <w:p>
            <w:pPr>
              <w:pStyle w:val="Compact"/>
              <w:jc w:val="left"/>
            </w:pPr>
            <w:r>
              <w:rPr>
                <w:rFonts w:ascii="Arial" w:hAnsi="Arial"/>
                <w:sz w:val="18"/>
              </w:rPr>
              <w:t xml:space="preserve">+0.69</w:t>
            </w:r>
          </w:p>
        </w:tc>
        <w:tc>
          <w:tcPr/>
          <w:p>
            <w:pPr>
              <w:pStyle w:val="Compact"/>
              <w:jc w:val="left"/>
            </w:pPr>
            <w:r>
              <w:rPr>
                <w:rFonts w:ascii="Arial" w:hAnsi="Arial"/>
                <w:sz w:val="18"/>
              </w:rPr>
              <w:t xml:space="preserve">+0.009</w:t>
            </w:r>
          </w:p>
        </w:tc>
      </w:tr>
    </w:tbl>
    <w:bookmarkEnd w:id="22"/>
    <w:bookmarkEnd w:id="23"/>
    <w:bookmarkStart w:id="24" w:name="s3.4-physical-interpretation"/>
    <w:p>
      <w:pPr>
        <w:pStyle w:val="Heading2"/>
      </w:pPr>
      <w:r>
        <w:rPr>
          <w:rFonts w:ascii="Arial" w:hAnsi="Arial"/>
        </w:rPr>
        <w:t xml:space="preserve">S3.4 Physical interpretation</w:t>
      </w:r>
    </w:p>
    <w:p>
      <w:pPr>
        <w:pStyle w:val="FirstParagraph"/>
      </w:pPr>
      <w:r>
        <w:rPr>
          <w:rFonts w:ascii="Arial" w:hAnsi="Arial"/>
          <w:b/>
          <w:bCs/>
          <w:sz w:val="20"/>
        </w:rPr>
        <w:t xml:space="preserve">VH backscatter.</w:t>
      </w:r>
      <w:r>
        <w:rPr>
          <w:rFonts w:ascii="Arial" w:hAnsi="Arial"/>
          <w:sz w:val="20"/>
        </w:rPr>
        <w:t xml:space="preserve"> </w:t>
      </w:r>
      <w:r>
        <w:rPr>
          <w:rFonts w:ascii="Arial" w:hAnsi="Arial"/>
          <w:sz w:val="20"/>
        </w:rPr>
        <w:t xml:space="preserve">The cross-polarised VH channel is the most</w:t>
      </w:r>
      <w:r>
        <w:rPr>
          <w:rFonts w:ascii="Arial" w:hAnsi="Arial"/>
          <w:sz w:val="20"/>
        </w:rPr>
        <w:t xml:space="preserve"> </w:t>
      </w:r>
      <w:r>
        <w:rPr>
          <w:rFonts w:ascii="Arial" w:hAnsi="Arial"/>
          <w:sz w:val="20"/>
        </w:rPr>
        <w:t xml:space="preserve">phenologically responsive in C-band over rice: it tracks volume</w:t>
      </w:r>
      <w:r>
        <w:rPr>
          <w:rFonts w:ascii="Arial" w:hAnsi="Arial"/>
          <w:sz w:val="20"/>
        </w:rPr>
        <w:t xml:space="preserve"> </w:t>
      </w:r>
      <w:r>
        <w:rPr>
          <w:rFonts w:ascii="Arial" w:hAnsi="Arial"/>
          <w:sz w:val="20"/>
        </w:rPr>
        <w:t xml:space="preserve">scattering from the developing canopy. From the pre-transplant baseline</w:t>
      </w:r>
      <w:r>
        <w:rPr>
          <w:rFonts w:ascii="Arial" w:hAnsi="Arial"/>
          <w:sz w:val="20"/>
        </w:rPr>
        <w:t xml:space="preserve"> </w:t>
      </w:r>
      <w:r>
        <w:rPr>
          <w:rFonts w:ascii="Arial" w:hAnsi="Arial"/>
          <w:sz w:val="20"/>
        </w:rPr>
        <w:t xml:space="preserve">(bare soil + bunded field; VH ≈ −14.3 dB) the canopy emergence raises</w:t>
      </w:r>
      <w:r>
        <w:rPr>
          <w:rFonts w:ascii="Arial" w:hAnsi="Arial"/>
          <w:sz w:val="20"/>
        </w:rPr>
        <w:t xml:space="preserve"> </w:t>
      </w:r>
      <w:r>
        <w:rPr>
          <w:rFonts w:ascii="Arial" w:hAnsi="Arial"/>
          <w:sz w:val="20"/>
        </w:rPr>
        <w:t xml:space="preserve">VH by ~0.5–0.8 dB through transplanting and peak canopy. The Bulbul</w:t>
      </w:r>
      <w:r>
        <w:rPr>
          <w:rFonts w:ascii="Arial" w:hAnsi="Arial"/>
          <w:sz w:val="20"/>
        </w:rPr>
        <w:t xml:space="preserve"> </w:t>
      </w:r>
      <w:r>
        <w:rPr>
          <w:rFonts w:ascii="Arial" w:hAnsi="Arial"/>
          <w:sz w:val="20"/>
        </w:rPr>
        <w:t xml:space="preserve">event-window mean is brighter still (+0.83 dB vs baseline), consistent</w:t>
      </w:r>
      <w:r>
        <w:rPr>
          <w:rFonts w:ascii="Arial" w:hAnsi="Arial"/>
          <w:sz w:val="20"/>
        </w:rPr>
        <w:t xml:space="preserve"> </w:t>
      </w:r>
      <w:r>
        <w:rPr>
          <w:rFonts w:ascii="Arial" w:hAnsi="Arial"/>
          <w:sz w:val="20"/>
        </w:rPr>
        <w:t xml:space="preserve">with a senescent rice canopy that has not yet collapsed plus standing</w:t>
      </w:r>
      <w:r>
        <w:rPr>
          <w:rFonts w:ascii="Arial" w:hAnsi="Arial"/>
          <w:sz w:val="20"/>
        </w:rPr>
        <w:t xml:space="preserve"> </w:t>
      </w:r>
      <w:r>
        <w:rPr>
          <w:rFonts w:ascii="Arial" w:hAnsi="Arial"/>
          <w:sz w:val="20"/>
        </w:rPr>
        <w:t xml:space="preserve">rainfall water under the canopy producing weak double-bounce. The</w:t>
      </w:r>
      <w:r>
        <w:rPr>
          <w:rFonts w:ascii="Arial" w:hAnsi="Arial"/>
          <w:sz w:val="20"/>
        </w:rPr>
        <w:t xml:space="preserve"> </w:t>
      </w:r>
      <w:r>
        <w:rPr>
          <w:rFonts w:ascii="Arial" w:hAnsi="Arial"/>
          <w:sz w:val="20"/>
        </w:rPr>
        <w:t xml:space="preserve">spatially-resolved Figure S2 panel a shows the Bulbul-week VH increase</w:t>
      </w:r>
      <w:r>
        <w:rPr>
          <w:rFonts w:ascii="Arial" w:hAnsi="Arial"/>
          <w:sz w:val="20"/>
        </w:rPr>
        <w:t xml:space="preserve"> </w:t>
      </w:r>
      <w:r>
        <w:rPr>
          <w:rFonts w:ascii="Arial" w:hAnsi="Arial"/>
          <w:sz w:val="20"/>
        </w:rPr>
        <w:t xml:space="preserve">is largest in Khordha (+1.63 dB), which is also the probe district</w:t>
      </w:r>
      <w:r>
        <w:rPr>
          <w:rFonts w:ascii="Arial" w:hAnsi="Arial"/>
          <w:sz w:val="20"/>
        </w:rPr>
        <w:t xml:space="preserve"> </w:t>
      </w:r>
      <w:r>
        <w:rPr>
          <w:rFonts w:ascii="Arial" w:hAnsi="Arial"/>
          <w:sz w:val="20"/>
        </w:rPr>
        <w:t xml:space="preserve">with the largest observed 2020 SOS shift (+37.6 d) in Note S1.</w:t>
      </w:r>
    </w:p>
    <w:p>
      <w:pPr>
        <w:pStyle w:val="BodyText"/>
      </w:pPr>
      <w:r>
        <w:rPr>
          <w:rFonts w:ascii="Arial" w:hAnsi="Arial"/>
          <w:b/>
          <w:bCs/>
          <w:sz w:val="20"/>
        </w:rPr>
        <w:t xml:space="preserve">VV backscatter.</w:t>
      </w:r>
      <w:r>
        <w:rPr>
          <w:rFonts w:ascii="Arial" w:hAnsi="Arial"/>
          <w:sz w:val="20"/>
        </w:rPr>
        <w:t xml:space="preserve"> </w:t>
      </w:r>
      <w:r>
        <w:rPr>
          <w:rFonts w:ascii="Arial" w:hAnsi="Arial"/>
          <w:sz w:val="20"/>
        </w:rPr>
        <w:t xml:space="preserve">The co-polarised VV channel is dominated by</w:t>
      </w:r>
      <w:r>
        <w:rPr>
          <w:rFonts w:ascii="Arial" w:hAnsi="Arial"/>
          <w:sz w:val="20"/>
        </w:rPr>
        <w:t xml:space="preserve"> </w:t>
      </w:r>
      <w:r>
        <w:rPr>
          <w:rFonts w:ascii="Arial" w:hAnsi="Arial"/>
          <w:sz w:val="20"/>
        </w:rPr>
        <w:t xml:space="preserve">surface scattering (specular reflection from smooth water). It is the</w:t>
      </w:r>
      <w:r>
        <w:rPr>
          <w:rFonts w:ascii="Arial" w:hAnsi="Arial"/>
          <w:sz w:val="20"/>
        </w:rPr>
        <w:t xml:space="preserve"> </w:t>
      </w:r>
      <w:r>
        <w:rPr>
          <w:rFonts w:ascii="Arial" w:hAnsi="Arial"/>
          <w:sz w:val="20"/>
        </w:rPr>
        <w:t xml:space="preserve">most sensitive to standing water with a near-vertical look angle. The</w:t>
      </w:r>
      <w:r>
        <w:rPr>
          <w:rFonts w:ascii="Arial" w:hAnsi="Arial"/>
          <w:sz w:val="20"/>
        </w:rPr>
        <w:t xml:space="preserve"> </w:t>
      </w:r>
      <w:r>
        <w:rPr>
          <w:rFonts w:ascii="Arial" w:hAnsi="Arial"/>
          <w:sz w:val="20"/>
        </w:rPr>
        <w:t xml:space="preserve">pre-transplant baseline VV (−7.96 dB) brightens through transplanting</w:t>
      </w:r>
      <w:r>
        <w:rPr>
          <w:rFonts w:ascii="Arial" w:hAnsi="Arial"/>
          <w:sz w:val="20"/>
        </w:rPr>
        <w:t xml:space="preserve"> </w:t>
      </w:r>
      <w:r>
        <w:rPr>
          <w:rFonts w:ascii="Arial" w:hAnsi="Arial"/>
          <w:sz w:val="20"/>
        </w:rPr>
        <w:t xml:space="preserve">(+0.82 dB) and peak canopy (+1.14 dB) as the canopy attenuates the</w:t>
      </w:r>
      <w:r>
        <w:rPr>
          <w:rFonts w:ascii="Arial" w:hAnsi="Arial"/>
          <w:sz w:val="20"/>
        </w:rPr>
        <w:t xml:space="preserve"> </w:t>
      </w:r>
      <w:r>
        <w:rPr>
          <w:rFonts w:ascii="Arial" w:hAnsi="Arial"/>
          <w:sz w:val="20"/>
        </w:rPr>
        <w:t xml:space="preserve">soil-surface scattering. The Bulbul-week VV (+0.69 dB vs baseline,</w:t>
      </w:r>
      <w:r>
        <w:rPr>
          <w:rFonts w:ascii="Arial" w:hAnsi="Arial"/>
          <w:sz w:val="20"/>
        </w:rPr>
        <w:t xml:space="preserve"> </w:t>
      </w:r>
      <w:r>
        <w:rPr>
          <w:rFonts w:ascii="Arial" w:hAnsi="Arial"/>
          <w:sz w:val="20"/>
        </w:rPr>
        <w:t xml:space="preserve">−0.42 dB in Ganjam specifically) reflects the rainfall pond’s smooth</w:t>
      </w:r>
      <w:r>
        <w:rPr>
          <w:rFonts w:ascii="Arial" w:hAnsi="Arial"/>
          <w:sz w:val="20"/>
        </w:rPr>
        <w:t xml:space="preserve"> </w:t>
      </w:r>
      <w:r>
        <w:rPr>
          <w:rFonts w:ascii="Arial" w:hAnsi="Arial"/>
          <w:sz w:val="20"/>
        </w:rPr>
        <w:t xml:space="preserve">water surface partially attenuated by the standing canopy.</w:t>
      </w:r>
    </w:p>
    <w:p>
      <w:pPr>
        <w:pStyle w:val="BodyText"/>
      </w:pPr>
      <w:r>
        <w:rPr>
          <w:rFonts w:ascii="Arial" w:hAnsi="Arial"/>
          <w:b/>
          <w:bCs/>
          <w:sz w:val="20"/>
        </w:rPr>
        <w:t xml:space="preserve">Cross-ratio CR.</w:t>
      </w:r>
      <w:r>
        <w:rPr>
          <w:rFonts w:ascii="Arial" w:hAnsi="Arial"/>
          <w:sz w:val="20"/>
        </w:rPr>
        <w:t xml:space="preserve"> </w:t>
      </w:r>
      <w:r>
        <w:rPr>
          <w:rFonts w:ascii="Arial" w:hAnsi="Arial"/>
          <w:sz w:val="20"/>
        </w:rPr>
        <w:t xml:space="preserve">The linear cross-ratio CR = VH/VV is the</w:t>
      </w:r>
      <w:r>
        <w:rPr>
          <w:rFonts w:ascii="Arial" w:hAnsi="Arial"/>
          <w:sz w:val="20"/>
        </w:rPr>
        <w:t xml:space="preserve"> </w:t>
      </w:r>
      <w:r>
        <w:rPr>
          <w:rFonts w:ascii="Arial" w:hAnsi="Arial"/>
          <w:sz w:val="20"/>
        </w:rPr>
        <w:t xml:space="preserve">canopy-density invariant of the dual-pol signal. The baseline-to-peak</w:t>
      </w:r>
      <w:r>
        <w:rPr>
          <w:rFonts w:ascii="Arial" w:hAnsi="Arial"/>
          <w:sz w:val="20"/>
        </w:rPr>
        <w:t xml:space="preserve"> </w:t>
      </w:r>
      <w:r>
        <w:rPr>
          <w:rFonts w:ascii="Arial" w:hAnsi="Arial"/>
          <w:sz w:val="20"/>
        </w:rPr>
        <w:t xml:space="preserve">trajectory (0.239 → 0.225 → 0.212) reflects the progressively</w:t>
      </w:r>
      <w:r>
        <w:rPr>
          <w:rFonts w:ascii="Arial" w:hAnsi="Arial"/>
          <w:sz w:val="20"/>
        </w:rPr>
        <w:t xml:space="preserve"> </w:t>
      </w:r>
      <w:r>
        <w:rPr>
          <w:rFonts w:ascii="Arial" w:hAnsi="Arial"/>
          <w:sz w:val="20"/>
        </w:rPr>
        <w:t xml:space="preserve">denser canopy increasing volume scattering relative to surface</w:t>
      </w:r>
      <w:r>
        <w:rPr>
          <w:rFonts w:ascii="Arial" w:hAnsi="Arial"/>
          <w:sz w:val="20"/>
        </w:rPr>
        <w:t xml:space="preserve"> </w:t>
      </w:r>
      <w:r>
        <w:rPr>
          <w:rFonts w:ascii="Arial" w:hAnsi="Arial"/>
          <w:sz w:val="20"/>
        </w:rPr>
        <w:t xml:space="preserve">scattering. The Bulbul-week CR rises to 0.249 — a senescent-canopy</w:t>
      </w:r>
      <w:r>
        <w:rPr>
          <w:rFonts w:ascii="Arial" w:hAnsi="Arial"/>
          <w:sz w:val="20"/>
        </w:rPr>
        <w:t xml:space="preserve"> </w:t>
      </w:r>
      <w:r>
        <w:rPr>
          <w:rFonts w:ascii="Arial" w:hAnsi="Arial"/>
          <w:sz w:val="20"/>
        </w:rPr>
        <w:t xml:space="preserve">+ rainfall-pond signature distinct from both the transplanting and</w:t>
      </w:r>
      <w:r>
        <w:rPr>
          <w:rFonts w:ascii="Arial" w:hAnsi="Arial"/>
          <w:sz w:val="20"/>
        </w:rPr>
        <w:t xml:space="preserve"> </w:t>
      </w:r>
      <w:r>
        <w:rPr>
          <w:rFonts w:ascii="Arial" w:hAnsi="Arial"/>
          <w:sz w:val="20"/>
        </w:rPr>
        <w:t xml:space="preserve">peak-canopy phases.</w:t>
      </w:r>
    </w:p>
    <w:bookmarkEnd w:id="24"/>
    <w:bookmarkStart w:id="25" w:name="Xe40c7fe42d0f3be810e55b83955c57fff6aea02"/>
    <w:p>
      <w:pPr>
        <w:pStyle w:val="Heading2"/>
      </w:pPr>
      <w:r>
        <w:rPr>
          <w:rFonts w:ascii="Arial" w:hAnsi="Arial"/>
        </w:rPr>
        <w:t xml:space="preserve">S3.5 Falsifiability conditions for the Module 02 classifier</w:t>
      </w:r>
    </w:p>
    <w:p>
      <w:pPr>
        <w:pStyle w:val="FirstParagraph"/>
      </w:pPr>
      <w:r>
        <w:rPr>
          <w:rFonts w:ascii="Arial" w:hAnsi="Arial"/>
          <w:sz w:val="20"/>
        </w:rPr>
        <w:t xml:space="preserve">The pre-registered (OSF c4mp8 §3.3) random-forest classifier should</w:t>
      </w:r>
      <w:r>
        <w:rPr>
          <w:rFonts w:ascii="Arial" w:hAnsi="Arial"/>
          <w:sz w:val="20"/>
        </w:rPr>
        <w:t xml:space="preserve"> </w:t>
      </w:r>
      <w:r>
        <w:rPr>
          <w:rFonts w:ascii="Arial" w:hAnsi="Arial"/>
          <w:sz w:val="20"/>
        </w:rPr>
        <w:t xml:space="preserve">be rejected if any of the following empirical signatures from Table S9</w:t>
      </w:r>
      <w:r>
        <w:rPr>
          <w:rFonts w:ascii="Arial" w:hAnsi="Arial"/>
          <w:sz w:val="20"/>
        </w:rPr>
        <w:t xml:space="preserve"> </w:t>
      </w:r>
      <w:r>
        <w:rPr>
          <w:rFonts w:ascii="Arial" w:hAnsi="Arial"/>
          <w:sz w:val="20"/>
        </w:rPr>
        <w:t xml:space="preserve">fail to hold:</w:t>
      </w:r>
    </w:p>
    <w:p>
      <w:pPr>
        <w:pStyle w:val="Compact"/>
        <w:numPr>
          <w:ilvl w:val="0"/>
          <w:numId w:val="1002"/>
        </w:numPr>
      </w:pPr>
      <w:r>
        <w:rPr>
          <w:rFonts w:ascii="Arial" w:hAnsi="Arial"/>
          <w:b/>
          <w:bCs/>
          <w:sz w:val="20"/>
        </w:rPr>
        <w:t xml:space="preserve">VH baseline-to-canopy contrast.</w:t>
      </w:r>
      <w:r>
        <w:rPr>
          <w:rFonts w:ascii="Arial" w:hAnsi="Arial"/>
          <w:sz w:val="20"/>
        </w:rPr>
        <w:t xml:space="preserve"> </w:t>
      </w:r>
      <w:r>
        <w:rPr>
          <w:rFonts w:ascii="Arial" w:hAnsi="Arial"/>
          <w:sz w:val="20"/>
        </w:rPr>
        <w:t xml:space="preserve">Mean transplanting VH must</w:t>
      </w:r>
      <w:r>
        <w:rPr>
          <w:rFonts w:ascii="Arial" w:hAnsi="Arial"/>
          <w:sz w:val="20"/>
        </w:rPr>
        <w:t xml:space="preserve"> </w:t>
      </w:r>
      <w:r>
        <w:rPr>
          <w:rFonts w:ascii="Arial" w:hAnsi="Arial"/>
          <w:sz w:val="20"/>
        </w:rPr>
        <w:t xml:space="preserve">exceed mean pre-transplant baseline VH by ≥ 0.3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+0.52 dB. PASS.</w:t>
      </w:r>
    </w:p>
    <w:p>
      <w:pPr>
        <w:pStyle w:val="Compact"/>
        <w:numPr>
          <w:ilvl w:val="0"/>
          <w:numId w:val="1002"/>
        </w:numPr>
      </w:pPr>
      <w:r>
        <w:rPr>
          <w:rFonts w:ascii="Arial" w:hAnsi="Arial"/>
          <w:b/>
          <w:bCs/>
          <w:sz w:val="20"/>
        </w:rPr>
        <w:t xml:space="preserve">VV baseline-to-canopy contrast.</w:t>
      </w:r>
      <w:r>
        <w:rPr>
          <w:rFonts w:ascii="Arial" w:hAnsi="Arial"/>
          <w:sz w:val="20"/>
        </w:rPr>
        <w:t xml:space="preserve"> </w:t>
      </w:r>
      <w:r>
        <w:rPr>
          <w:rFonts w:ascii="Arial" w:hAnsi="Arial"/>
          <w:sz w:val="20"/>
        </w:rPr>
        <w:t xml:space="preserve">Mean transplanting VV must</w:t>
      </w:r>
      <w:r>
        <w:rPr>
          <w:rFonts w:ascii="Arial" w:hAnsi="Arial"/>
          <w:sz w:val="20"/>
        </w:rPr>
        <w:t xml:space="preserve"> </w:t>
      </w:r>
      <w:r>
        <w:rPr>
          <w:rFonts w:ascii="Arial" w:hAnsi="Arial"/>
          <w:sz w:val="20"/>
        </w:rPr>
        <w:t xml:space="preserve">exceed mean pre-transplant baseline VV by ≥ 0.5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+0.82 dB. PASS.</w:t>
      </w:r>
    </w:p>
    <w:p>
      <w:pPr>
        <w:pStyle w:val="Compact"/>
        <w:numPr>
          <w:ilvl w:val="0"/>
          <w:numId w:val="1002"/>
        </w:numPr>
      </w:pPr>
      <w:r>
        <w:rPr>
          <w:rFonts w:ascii="Arial" w:hAnsi="Arial"/>
          <w:b/>
          <w:bCs/>
          <w:sz w:val="20"/>
        </w:rPr>
        <w:t xml:space="preserve">CR monotonic-canopy decrease.</w:t>
      </w:r>
      <w:r>
        <w:rPr>
          <w:rFonts w:ascii="Arial" w:hAnsi="Arial"/>
          <w:sz w:val="20"/>
        </w:rPr>
        <w:t xml:space="preserve"> </w:t>
      </w:r>
      <w:r>
        <w:rPr>
          <w:rFonts w:ascii="Arial" w:hAnsi="Arial"/>
          <w:sz w:val="20"/>
        </w:rPr>
        <w:t xml:space="preserve">Mean CR must decrease from</w:t>
      </w:r>
      <w:r>
        <w:rPr>
          <w:rFonts w:ascii="Arial" w:hAnsi="Arial"/>
          <w:sz w:val="20"/>
        </w:rPr>
        <w:t xml:space="preserve"> </w:t>
      </w:r>
      <w:r>
        <w:rPr>
          <w:rFonts w:ascii="Arial" w:hAnsi="Arial"/>
          <w:sz w:val="20"/>
        </w:rPr>
        <w:t xml:space="preserve">pre-transplant baseline through peak canopy.</w:t>
      </w:r>
      <w:r>
        <w:rPr>
          <w:rFonts w:ascii="Arial" w:hAnsi="Arial"/>
          <w:sz w:val="20"/>
        </w:rPr>
        <w:t xml:space="preserve"> </w:t>
      </w:r>
      <w:r>
        <w:rPr>
          <w:rFonts w:ascii="Arial" w:hAnsi="Arial"/>
          <w:i/>
          <w:iCs/>
          <w:sz w:val="20"/>
        </w:rPr>
        <w:t xml:space="preserve">Observed: 0.239 →</w:t>
      </w:r>
      <w:r>
        <w:rPr>
          <w:rFonts w:ascii="Arial" w:hAnsi="Arial"/>
          <w:i/>
          <w:iCs/>
          <w:sz w:val="20"/>
        </w:rPr>
        <w:t xml:space="preserve"> </w:t>
      </w:r>
      <w:r>
        <w:rPr>
          <w:rFonts w:ascii="Arial" w:hAnsi="Arial"/>
          <w:i/>
          <w:iCs/>
          <w:sz w:val="20"/>
        </w:rPr>
        <w:t xml:space="preserve">0.225 → 0.212. PASS.</w:t>
      </w:r>
    </w:p>
    <w:p>
      <w:pPr>
        <w:pStyle w:val="Compact"/>
        <w:numPr>
          <w:ilvl w:val="0"/>
          <w:numId w:val="1002"/>
        </w:numPr>
      </w:pPr>
      <w:r>
        <w:rPr>
          <w:rFonts w:ascii="Arial" w:hAnsi="Arial"/>
          <w:b/>
          <w:bCs/>
          <w:sz w:val="20"/>
        </w:rPr>
        <w:t xml:space="preserve">Bulbul-event distinguishability.</w:t>
      </w:r>
      <w:r>
        <w:rPr>
          <w:rFonts w:ascii="Arial" w:hAnsi="Arial"/>
          <w:sz w:val="20"/>
        </w:rPr>
        <w:t xml:space="preserve"> </w:t>
      </w:r>
      <w:r>
        <w:rPr>
          <w:rFonts w:ascii="Arial" w:hAnsi="Arial"/>
          <w:sz w:val="20"/>
        </w:rPr>
        <w:t xml:space="preserve">The Bulbul event-window CR</w:t>
      </w:r>
      <w:r>
        <w:rPr>
          <w:rFonts w:ascii="Arial" w:hAnsi="Arial"/>
          <w:sz w:val="20"/>
        </w:rPr>
        <w:t xml:space="preserve"> </w:t>
      </w:r>
      <w:r>
        <w:rPr>
          <w:rFonts w:ascii="Arial" w:hAnsi="Arial"/>
          <w:sz w:val="20"/>
        </w:rPr>
        <w:t xml:space="preserve">must differ from the peak-canopy CR by ≥ 0.02 in at least three of</w:t>
      </w:r>
      <w:r>
        <w:rPr>
          <w:rFonts w:ascii="Arial" w:hAnsi="Arial"/>
          <w:sz w:val="20"/>
        </w:rPr>
        <w:t xml:space="preserve"> </w:t>
      </w:r>
      <w:r>
        <w:rPr>
          <w:rFonts w:ascii="Arial" w:hAnsi="Arial"/>
          <w:sz w:val="20"/>
        </w:rPr>
        <w:t xml:space="preserve">the four districts.</w:t>
      </w:r>
      <w:r>
        <w:rPr>
          <w:rFonts w:ascii="Arial" w:hAnsi="Arial"/>
          <w:sz w:val="20"/>
        </w:rPr>
        <w:t xml:space="preserve"> </w:t>
      </w:r>
      <w:r>
        <w:rPr>
          <w:rFonts w:ascii="Arial" w:hAnsi="Arial"/>
          <w:i/>
          <w:iCs/>
          <w:sz w:val="20"/>
        </w:rPr>
        <w:t xml:space="preserve">Observed: per-district ΔCR (Bulbul − peak)</w:t>
      </w:r>
      <w:r>
        <w:rPr>
          <w:rFonts w:ascii="Arial" w:hAnsi="Arial"/>
          <w:i/>
          <w:iCs/>
          <w:sz w:val="20"/>
        </w:rPr>
        <w:t xml:space="preserve"> </w:t>
      </w:r>
      <w:r>
        <w:rPr>
          <w:rFonts w:ascii="Arial" w:hAnsi="Arial"/>
          <w:i/>
          <w:iCs/>
          <w:sz w:val="20"/>
        </w:rPr>
        <w:t xml:space="preserve">= +0.023 (Boudh), +0.050 (Ganjam), +0.046 (Khordha), +0.030</w:t>
      </w:r>
      <w:r>
        <w:rPr>
          <w:rFonts w:ascii="Arial" w:hAnsi="Arial"/>
          <w:i/>
          <w:iCs/>
          <w:sz w:val="20"/>
        </w:rPr>
        <w:t xml:space="preserve"> </w:t>
      </w:r>
      <w:r>
        <w:rPr>
          <w:rFonts w:ascii="Arial" w:hAnsi="Arial"/>
          <w:i/>
          <w:iCs/>
          <w:sz w:val="20"/>
        </w:rPr>
        <w:t xml:space="preserve">(Nayagarh). PASS in 4 of 4 districts.</w:t>
      </w:r>
    </w:p>
    <w:p>
      <w:pPr>
        <w:pStyle w:val="FirstParagraph"/>
      </w:pPr>
      <w:r>
        <w:rPr>
          <w:rFonts w:ascii="Arial" w:hAnsi="Arial"/>
          <w:sz w:val="20"/>
        </w:rPr>
        <w:t xml:space="preserve">All four pre-registered falsifiability conditions PASS on the real</w:t>
      </w:r>
      <w:r>
        <w:rPr>
          <w:rFonts w:ascii="Arial" w:hAnsi="Arial"/>
          <w:sz w:val="20"/>
        </w:rPr>
        <w:t xml:space="preserve"> </w:t>
      </w:r>
      <w:r>
        <w:rPr>
          <w:rFonts w:ascii="Arial" w:hAnsi="Arial"/>
          <w:sz w:val="20"/>
        </w:rPr>
        <w:t xml:space="preserve">2019 Sentinel-1 record over the four probe districts.</w:t>
      </w:r>
    </w:p>
    <w:bookmarkEnd w:id="25"/>
    <w:bookmarkStart w:id="26" w:name="s3.6-pre-registration-and-scope"/>
    <w:p>
      <w:pPr>
        <w:pStyle w:val="Heading2"/>
      </w:pPr>
      <w:r>
        <w:rPr>
          <w:rFonts w:ascii="Arial" w:hAnsi="Arial"/>
        </w:rPr>
        <w:t xml:space="preserve">S3.6 Pre-registration and scope</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empirical calibration record</w:t>
      </w:r>
      <w:r>
        <w:rPr>
          <w:rFonts w:ascii="Arial" w:hAnsi="Arial"/>
          <w:sz w:val="20"/>
        </w:rPr>
        <w:t xml:space="preserve"> </w:t>
      </w:r>
      <w:r>
        <w:rPr>
          <w:rFonts w:ascii="Arial" w:hAnsi="Arial"/>
          <w:sz w:val="20"/>
        </w:rPr>
        <w:t xml:space="preserve">for the saline-flood</w:t>
      </w:r>
      <w:r>
        <w:rPr>
          <w:rFonts w:ascii="Arial" w:hAnsi="Arial"/>
          <w:sz w:val="20"/>
        </w:rPr>
        <w:t xml:space="preserve"> </w:t>
      </w:r>
      <w:r>
        <w:rPr>
          <w:rFonts w:ascii="Arial" w:hAnsi="Arial"/>
          <w:sz w:val="20"/>
        </w:rPr>
        <w:t xml:space="preserve">feature space declared in OSF pre-registration §2.3 (</w:t>
      </w:r>
      <w:r>
        <w:rPr>
          <w:rFonts w:ascii="Arial" w:hAnsi="Arial"/>
          <w:sz w:val="20"/>
        </w:rPr>
        <w:t xml:space="preserve">“</w:t>
      </w:r>
      <w:r>
        <w:rPr>
          <w:rFonts w:ascii="Arial" w:hAnsi="Arial"/>
          <w:sz w:val="20"/>
        </w:rPr>
        <w:t xml:space="preserve">Sentinel-1</w:t>
      </w:r>
      <w:r>
        <w:rPr>
          <w:rFonts w:ascii="Arial" w:hAnsi="Arial"/>
          <w:sz w:val="20"/>
        </w:rPr>
        <w:t xml:space="preserve"> </w:t>
      </w:r>
      <w:r>
        <w:rPr>
          <w:rFonts w:ascii="Arial" w:hAnsi="Arial"/>
          <w:sz w:val="20"/>
        </w:rPr>
        <w:t xml:space="preserve">dual-polarisation backscatter, with cross-ratio CR, will be used as</w:t>
      </w:r>
      <w:r>
        <w:rPr>
          <w:rFonts w:ascii="Arial" w:hAnsi="Arial"/>
          <w:sz w:val="20"/>
        </w:rPr>
        <w:t xml:space="preserve"> </w:t>
      </w:r>
      <w:r>
        <w:rPr>
          <w:rFonts w:ascii="Arial" w:hAnsi="Arial"/>
          <w:sz w:val="20"/>
        </w:rPr>
        <w:t xml:space="preserve">the primary inundation discriminator; ERA5 wind will gate cyclonic</w:t>
      </w:r>
      <w:r>
        <w:rPr>
          <w:rFonts w:ascii="Arial" w:hAnsi="Arial"/>
          <w:sz w:val="20"/>
        </w:rPr>
        <w:t xml:space="preserve"> </w:t>
      </w:r>
      <w:r>
        <w:rPr>
          <w:rFonts w:ascii="Arial" w:hAnsi="Arial"/>
          <w:sz w:val="20"/>
        </w:rPr>
        <w:t xml:space="preserve">events; JRC water mask will exclude permanent water</w:t>
      </w:r>
      <w:r>
        <w:rPr>
          <w:rFonts w:ascii="Arial" w:hAnsi="Arial"/>
          <w:sz w:val="20"/>
        </w:rPr>
        <w:t xml:space="preserve">”</w:t>
      </w:r>
      <w:r>
        <w:rPr>
          <w:rFonts w:ascii="Arial" w:hAnsi="Arial"/>
          <w:sz w:val="20"/>
        </w:rPr>
        <w:t xml:space="preserve">). The</w:t>
      </w:r>
      <w:r>
        <w:rPr>
          <w:rFonts w:ascii="Arial" w:hAnsi="Arial"/>
          <w:sz w:val="20"/>
        </w:rPr>
        <w:t xml:space="preserve"> </w:t>
      </w:r>
      <w:r>
        <w:rPr>
          <w:rFonts w:ascii="Arial" w:hAnsi="Arial"/>
          <w:sz w:val="20"/>
        </w:rPr>
        <w:t xml:space="preserve">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w:t>
      </w:r>
      <w:r>
        <w:rPr>
          <w:rFonts w:ascii="Arial" w:hAnsi="Arial"/>
          <w:sz w:val="20"/>
        </w:rPr>
        <w:t xml:space="preserve"> </w:t>
      </w:r>
      <w:r>
        <w:rPr>
          <w:rFonts w:ascii="Arial" w:hAnsi="Arial"/>
          <w:sz w:val="20"/>
        </w:rPr>
        <w:t xml:space="preserve">The signatures in Table S9 are observational, post-registration, and</w:t>
      </w:r>
      <w:r>
        <w:rPr>
          <w:rFonts w:ascii="Arial" w:hAnsi="Arial"/>
          <w:sz w:val="20"/>
        </w:rPr>
        <w:t xml:space="preserve"> </w:t>
      </w:r>
      <w:r>
        <w:rPr>
          <w:rFonts w:ascii="Arial" w:hAnsi="Arial"/>
          <w:sz w:val="20"/>
        </w:rPr>
        <w:t xml:space="preserve">were not used to alter any pre-registered hypothesis or decision rule.</w:t>
      </w:r>
    </w:p>
    <w:bookmarkEnd w:id="26"/>
    <w:bookmarkStart w:id="27" w:name="s3.7-replication-recipe"/>
    <w:p>
      <w:pPr>
        <w:pStyle w:val="Heading2"/>
      </w:pPr>
      <w:r>
        <w:rPr>
          <w:rFonts w:ascii="Arial" w:hAnsi="Arial"/>
        </w:rPr>
        <w:t xml:space="preserve">S3.7 Replication recipe</w:t>
      </w:r>
    </w:p>
    <w:p>
      <w:pPr>
        <w:pStyle w:val="FirstParagraph"/>
      </w:pPr>
      <w:r>
        <w:rPr>
          <w:rFonts w:ascii="Arial" w:hAnsi="Arial"/>
          <w:sz w:val="20"/>
        </w:rPr>
        <w:t xml:space="preserve">To reproduce Table S9 and Figure S2 end-to-end (no GEE auth required;</w:t>
      </w:r>
      <w:r>
        <w:rPr>
          <w:rFonts w:ascii="Arial" w:hAnsi="Arial"/>
          <w:sz w:val="20"/>
        </w:rPr>
        <w:t xml:space="preserve"> </w:t>
      </w:r>
      <w:r>
        <w:rPr>
          <w:rFonts w:ascii="Arial" w:hAnsi="Arial"/>
          <w:sz w:val="20"/>
        </w:rPr>
        <w:t xml:space="preserve">~12 min CPU on a single core):</w:t>
      </w:r>
    </w:p>
    <w:p>
      <w:pPr>
        <w:pStyle w:val="SourceCode"/>
      </w:pPr>
      <w:r>
        <w:rPr>
          <w:rStyle w:val="VerbatimChar"/>
          <w:rFonts w:ascii="Arial" w:hAnsi="Arial"/>
          <w:sz w:val="20"/>
        </w:rPr>
        <w:t xml:space="preserve">pip install pystac-client planetary-computer odc-stac rioxarray rasterio</w:t>
      </w:r>
      <w:r>
        <w:rPr>
          <w:rFonts w:ascii="Arial" w:hAnsi="Arial"/>
          <w:sz w:val="20"/>
        </w:rPr>
        <w:br/>
      </w:r>
      <w:r>
        <w:rPr>
          <w:rStyle w:val="VerbatimChar"/>
          <w:rFonts w:ascii="Arial" w:hAnsi="Arial"/>
          <w:sz w:val="20"/>
        </w:rPr>
        <w:t xml:space="preserve">python analysis/18_real_s1_backscatter_signatures.py   # extracts 85 dekads</w:t>
      </w:r>
      <w:r>
        <w:rPr>
          <w:rFonts w:ascii="Arial" w:hAnsi="Arial"/>
          <w:sz w:val="20"/>
        </w:rPr>
        <w:br/>
      </w:r>
      <w:r>
        <w:rPr>
          <w:rStyle w:val="VerbatimChar"/>
          <w:rFonts w:ascii="Arial" w:hAnsi="Arial"/>
          <w:sz w:val="20"/>
        </w:rPr>
        <w:t xml:space="preserve">python analysis/20_build_table_s9_fig_s2_real.py        # builds DOCX + PDF</w:t>
      </w:r>
    </w:p>
    <w:p>
      <w:pPr>
        <w:pStyle w:val="FirstParagraph"/>
      </w:pPr>
      <w:r>
        <w:rPr>
          <w:rFonts w:ascii="Arial" w:hAnsi="Arial"/>
          <w:sz w:val="20"/>
        </w:rPr>
        <w:t xml:space="preserve">Intermediate artefacts (in</w:t>
      </w:r>
      <w:r>
        <w:rPr>
          <w:rFonts w:ascii="Arial" w:hAnsi="Arial"/>
          <w:sz w:val="20"/>
        </w:rPr>
        <w:t xml:space="preserve"> </w:t>
      </w:r>
      <w:r>
        <w:rPr>
          <w:rStyle w:val="VerbatimChar"/>
          <w:rFonts w:ascii="Arial" w:hAnsi="Arial"/>
          <w:sz w:val="20"/>
        </w:rPr>
        <w:t xml:space="preserve">analysis/results/real_v21/</w:t>
      </w:r>
      <w:r>
        <w:rPr>
          <w:rFonts w:ascii="Arial" w:hAnsi="Arial"/>
          <w:sz w:val="20"/>
        </w:rPr>
        <w:t xml:space="preserve">):</w:t>
      </w:r>
    </w:p>
    <w:p>
      <w:pPr>
        <w:pStyle w:val="Compact"/>
        <w:numPr>
          <w:ilvl w:val="0"/>
          <w:numId w:val="1003"/>
        </w:numPr>
      </w:pPr>
      <w:r>
        <w:rPr>
          <w:rStyle w:val="VerbatimChar"/>
          <w:rFonts w:ascii="Arial" w:hAnsi="Arial"/>
          <w:sz w:val="20"/>
        </w:rPr>
        <w:t xml:space="preserve">s1_backscatter_real_signatures.csv</w:t>
      </w:r>
      <w:r>
        <w:rPr>
          <w:rFonts w:ascii="Arial" w:hAnsi="Arial"/>
          <w:sz w:val="20"/>
        </w:rPr>
        <w:t xml:space="preserve"> </w:t>
      </w:r>
      <w:r>
        <w:rPr>
          <w:rFonts w:ascii="Arial" w:hAnsi="Arial"/>
          <w:sz w:val="20"/>
        </w:rPr>
        <w:t xml:space="preserve">— 85 district-dekad rows</w:t>
      </w:r>
    </w:p>
    <w:p>
      <w:pPr>
        <w:pStyle w:val="Compact"/>
        <w:numPr>
          <w:ilvl w:val="0"/>
          <w:numId w:val="1003"/>
        </w:numPr>
      </w:pPr>
      <w:r>
        <w:rPr>
          <w:rStyle w:val="VerbatimChar"/>
          <w:rFonts w:ascii="Arial" w:hAnsi="Arial"/>
          <w:sz w:val="20"/>
        </w:rPr>
        <w:t xml:space="preserve">s1_backscatter_real_series_&lt;district&gt;.csv</w:t>
      </w:r>
      <w:r>
        <w:rPr>
          <w:rFonts w:ascii="Arial" w:hAnsi="Arial"/>
          <w:sz w:val="20"/>
        </w:rPr>
        <w:t xml:space="preserve"> </w:t>
      </w:r>
      <w:r>
        <w:rPr>
          <w:rFonts w:ascii="Arial" w:hAnsi="Arial"/>
          <w:sz w:val="20"/>
        </w:rPr>
        <w:t xml:space="preserve">— per-district series</w:t>
      </w:r>
    </w:p>
    <w:p>
      <w:pPr>
        <w:pStyle w:val="Compact"/>
        <w:numPr>
          <w:ilvl w:val="0"/>
          <w:numId w:val="1003"/>
        </w:numPr>
      </w:pPr>
      <w:r>
        <w:rPr>
          <w:rStyle w:val="VerbatimChar"/>
          <w:rFonts w:ascii="Arial" w:hAnsi="Arial"/>
          <w:sz w:val="20"/>
        </w:rPr>
        <w:t xml:space="preserve">s1_backscatter_phase_means.csv</w:t>
      </w:r>
      <w:r>
        <w:rPr>
          <w:rFonts w:ascii="Arial" w:hAnsi="Arial"/>
          <w:sz w:val="20"/>
        </w:rPr>
        <w:t xml:space="preserve"> </w:t>
      </w:r>
      <w:r>
        <w:rPr>
          <w:rFonts w:ascii="Arial" w:hAnsi="Arial"/>
          <w:sz w:val="20"/>
        </w:rPr>
        <w:t xml:space="preserve">— Table S9(a)</w:t>
      </w:r>
    </w:p>
    <w:p>
      <w:pPr>
        <w:pStyle w:val="Compact"/>
        <w:numPr>
          <w:ilvl w:val="0"/>
          <w:numId w:val="1003"/>
        </w:numPr>
      </w:pPr>
      <w:r>
        <w:rPr>
          <w:rStyle w:val="VerbatimChar"/>
          <w:rFonts w:ascii="Arial" w:hAnsi="Arial"/>
          <w:sz w:val="20"/>
        </w:rPr>
        <w:t xml:space="preserve">s1_backscatter_phase_deltas.csv</w:t>
      </w:r>
      <w:r>
        <w:rPr>
          <w:rFonts w:ascii="Arial" w:hAnsi="Arial"/>
          <w:sz w:val="20"/>
        </w:rPr>
        <w:t xml:space="preserve"> </w:t>
      </w:r>
      <w:r>
        <w:rPr>
          <w:rFonts w:ascii="Arial" w:hAnsi="Arial"/>
          <w:sz w:val="20"/>
        </w:rPr>
        <w:t xml:space="preserve">— Table S9(b)</w:t>
      </w:r>
    </w:p>
    <w:bookmarkEnd w:id="27"/>
    <w:bookmarkStart w:id="28" w:name="references"/>
    <w:p>
      <w:pPr>
        <w:pStyle w:val="Heading2"/>
      </w:pPr>
      <w:r>
        <w:rPr>
          <w:rFonts w:ascii="Arial" w:hAnsi="Arial"/>
        </w:rPr>
        <w:t xml:space="preserve">References</w:t>
      </w:r>
    </w:p>
    <w:p>
      <w:pPr>
        <w:pStyle w:val="Compact"/>
        <w:numPr>
          <w:ilvl w:val="0"/>
          <w:numId w:val="1004"/>
        </w:numPr>
      </w:pPr>
      <w:r>
        <w:rPr>
          <w:rFonts w:ascii="Arial" w:hAnsi="Arial"/>
          <w:sz w:val="20"/>
        </w:rPr>
        <w:t xml:space="preserve">Filipponi, F. (2019). Sentinel-1 GRD pre-processing workflow.</w:t>
      </w:r>
      <w:r>
        <w:rPr>
          <w:rFonts w:ascii="Arial" w:hAnsi="Arial"/>
          <w:sz w:val="20"/>
        </w:rPr>
        <w:t xml:space="preserve"> </w:t>
      </w:r>
      <w:r>
        <w:rPr>
          <w:rFonts w:ascii="Arial" w:hAnsi="Arial"/>
          <w:i/>
          <w:iCs/>
          <w:sz w:val="20"/>
        </w:rPr>
        <w:t xml:space="preserve">Proceedings</w:t>
      </w:r>
      <w:r>
        <w:rPr>
          <w:rFonts w:ascii="Arial" w:hAnsi="Arial"/>
          <w:sz w:val="20"/>
        </w:rPr>
        <w:t xml:space="preserve"> </w:t>
      </w:r>
      <w:r>
        <w:rPr>
          <w:rFonts w:ascii="Arial" w:hAnsi="Arial"/>
          <w:sz w:val="20"/>
        </w:rPr>
        <w:t xml:space="preserve">18:11.</w:t>
      </w:r>
    </w:p>
    <w:p>
      <w:pPr>
        <w:pStyle w:val="Compact"/>
        <w:numPr>
          <w:ilvl w:val="0"/>
          <w:numId w:val="1004"/>
        </w:numPr>
      </w:pPr>
      <w:r>
        <w:rPr>
          <w:rFonts w:ascii="Arial" w:hAnsi="Arial"/>
          <w:sz w:val="20"/>
        </w:rPr>
        <w:t xml:space="preserve">Hoshikawa, K., Nagano, T., Kotera, A., et al. (2023). Quantifying</w:t>
      </w:r>
      <w:r>
        <w:rPr>
          <w:rFonts w:ascii="Arial" w:hAnsi="Arial"/>
          <w:sz w:val="20"/>
        </w:rPr>
        <w:t xml:space="preserve"> </w:t>
      </w:r>
      <w:r>
        <w:rPr>
          <w:rFonts w:ascii="Arial" w:hAnsi="Arial"/>
          <w:sz w:val="20"/>
        </w:rPr>
        <w:t xml:space="preserve">flood-induced rice loss in the Mekong Delta using SAR.</w:t>
      </w:r>
      <w:r>
        <w:rPr>
          <w:rFonts w:ascii="Arial" w:hAnsi="Arial"/>
          <w:sz w:val="20"/>
        </w:rPr>
        <w:t xml:space="preserve"> </w:t>
      </w:r>
      <w:r>
        <w:rPr>
          <w:rFonts w:ascii="Arial" w:hAnsi="Arial"/>
          <w:i/>
          <w:iCs/>
          <w:sz w:val="20"/>
        </w:rPr>
        <w:t xml:space="preserve">Remote</w:t>
      </w:r>
      <w:r>
        <w:rPr>
          <w:rFonts w:ascii="Arial" w:hAnsi="Arial"/>
          <w:i/>
          <w:iCs/>
          <w:sz w:val="20"/>
        </w:rPr>
        <w:t xml:space="preserve"> </w:t>
      </w:r>
      <w:r>
        <w:rPr>
          <w:rFonts w:ascii="Arial" w:hAnsi="Arial"/>
          <w:i/>
          <w:iCs/>
          <w:sz w:val="20"/>
        </w:rPr>
        <w:t xml:space="preserve">Sensing</w:t>
      </w:r>
      <w:r>
        <w:rPr>
          <w:rFonts w:ascii="Arial" w:hAnsi="Arial"/>
          <w:sz w:val="20"/>
        </w:rPr>
        <w:t xml:space="preserve"> </w:t>
      </w:r>
      <w:r>
        <w:rPr>
          <w:rFonts w:ascii="Arial" w:hAnsi="Arial"/>
          <w:sz w:val="20"/>
        </w:rPr>
        <w:t xml:space="preserve">15(8):2102.</w:t>
      </w:r>
    </w:p>
    <w:p>
      <w:pPr>
        <w:pStyle w:val="Compact"/>
        <w:numPr>
          <w:ilvl w:val="0"/>
          <w:numId w:val="1004"/>
        </w:numPr>
      </w:pPr>
      <w:r>
        <w:rPr>
          <w:rFonts w:ascii="Arial" w:hAnsi="Arial"/>
          <w:sz w:val="20"/>
        </w:rPr>
        <w:t xml:space="preserve">Konkathi, P., Vasundhara, R., Anandh, K., et al. (2024). Sentinel-1</w:t>
      </w:r>
      <w:r>
        <w:rPr>
          <w:rFonts w:ascii="Arial" w:hAnsi="Arial"/>
          <w:sz w:val="20"/>
        </w:rPr>
        <w:t xml:space="preserve"> </w:t>
      </w:r>
      <w:r>
        <w:rPr>
          <w:rFonts w:ascii="Arial" w:hAnsi="Arial"/>
          <w:sz w:val="20"/>
        </w:rPr>
        <w:t xml:space="preserve">C-band SAR for cyclone-induced inundation mapping over Indian east</w:t>
      </w:r>
      <w:r>
        <w:rPr>
          <w:rFonts w:ascii="Arial" w:hAnsi="Arial"/>
          <w:sz w:val="20"/>
        </w:rPr>
        <w:t xml:space="preserve"> </w:t>
      </w:r>
      <w:r>
        <w:rPr>
          <w:rFonts w:ascii="Arial" w:hAnsi="Arial"/>
          <w:sz w:val="20"/>
        </w:rPr>
        <w:t xml:space="preserve">coast.</w:t>
      </w:r>
      <w:r>
        <w:rPr>
          <w:rFonts w:ascii="Arial" w:hAnsi="Arial"/>
          <w:sz w:val="20"/>
        </w:rPr>
        <w:t xml:space="preserve"> </w:t>
      </w:r>
      <w:r>
        <w:rPr>
          <w:rFonts w:ascii="Arial" w:hAnsi="Arial"/>
          <w:i/>
          <w:iCs/>
          <w:sz w:val="20"/>
        </w:rPr>
        <w:t xml:space="preserve">International Journal of Remote Sensing</w:t>
      </w:r>
      <w:r>
        <w:rPr>
          <w:rFonts w:ascii="Arial" w:hAnsi="Arial"/>
          <w:sz w:val="20"/>
        </w:rPr>
        <w:t xml:space="preserve"> </w:t>
      </w:r>
      <w:r>
        <w:rPr>
          <w:rFonts w:ascii="Arial" w:hAnsi="Arial"/>
          <w:sz w:val="20"/>
        </w:rPr>
        <w:t xml:space="preserve">45(3):947–971.</w:t>
      </w:r>
    </w:p>
    <w:p>
      <w:pPr>
        <w:pStyle w:val="Compact"/>
        <w:numPr>
          <w:ilvl w:val="0"/>
          <w:numId w:val="1004"/>
        </w:numPr>
      </w:pPr>
      <w:r>
        <w:rPr>
          <w:rFonts w:ascii="Arial" w:hAnsi="Arial"/>
          <w:sz w:val="20"/>
        </w:rPr>
        <w:t xml:space="preserve">Lee, J. S., Pottier, E. (2009).</w:t>
      </w:r>
      <w:r>
        <w:rPr>
          <w:rFonts w:ascii="Arial" w:hAnsi="Arial"/>
          <w:sz w:val="20"/>
        </w:rPr>
        <w:t xml:space="preserve"> </w:t>
      </w:r>
      <w:r>
        <w:rPr>
          <w:rFonts w:ascii="Arial" w:hAnsi="Arial"/>
          <w:i/>
          <w:iCs/>
          <w:sz w:val="20"/>
        </w:rPr>
        <w:t xml:space="preserve">Polarimetric Radar Imaging: From</w:t>
      </w:r>
      <w:r>
        <w:rPr>
          <w:rFonts w:ascii="Arial" w:hAnsi="Arial"/>
          <w:i/>
          <w:iCs/>
          <w:sz w:val="20"/>
        </w:rPr>
        <w:t xml:space="preserve"> </w:t>
      </w:r>
      <w:r>
        <w:rPr>
          <w:rFonts w:ascii="Arial" w:hAnsi="Arial"/>
          <w:i/>
          <w:iCs/>
          <w:sz w:val="20"/>
        </w:rPr>
        <w:t xml:space="preserve">Basics to Applications.</w:t>
      </w:r>
      <w:r>
        <w:rPr>
          <w:rFonts w:ascii="Arial" w:hAnsi="Arial"/>
          <w:sz w:val="20"/>
        </w:rPr>
        <w:t xml:space="preserve"> </w:t>
      </w:r>
      <w:r>
        <w:rPr>
          <w:rFonts w:ascii="Arial" w:hAnsi="Arial"/>
          <w:sz w:val="20"/>
        </w:rPr>
        <w:t xml:space="preserve">CRC Press.</w:t>
      </w:r>
    </w:p>
    <w:p>
      <w:pPr>
        <w:pStyle w:val="Compact"/>
        <w:numPr>
          <w:ilvl w:val="0"/>
          <w:numId w:val="1004"/>
        </w:numPr>
      </w:pPr>
      <w:r>
        <w:rPr>
          <w:rFonts w:ascii="Arial" w:hAnsi="Arial"/>
          <w:sz w:val="20"/>
        </w:rPr>
        <w:t xml:space="preserve">Wali, E., Jain, M., Mondal, P. (2020). Detecting flooded rice with</w:t>
      </w:r>
      <w:r>
        <w:rPr>
          <w:rFonts w:ascii="Arial" w:hAnsi="Arial"/>
          <w:sz w:val="20"/>
        </w:rPr>
        <w:t xml:space="preserve"> </w:t>
      </w:r>
      <w:r>
        <w:rPr>
          <w:rFonts w:ascii="Arial" w:hAnsi="Arial"/>
          <w:sz w:val="20"/>
        </w:rPr>
        <w:t xml:space="preserve">synthetic aperture radar in cyclone-affected coastal Bangladesh.</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 </w:t>
      </w:r>
      <w:r>
        <w:rPr>
          <w:rFonts w:ascii="Arial" w:hAnsi="Arial"/>
          <w:sz w:val="20"/>
        </w:rPr>
        <w:t xml:space="preserve">251:112063.</w:t>
      </w:r>
    </w:p>
    <w:bookmarkEnd w:id="28"/>
    <w:bookmarkEnd w:id="29"/>
    <w:p>
      <w:r>
        <w:rPr>
          <w:rFonts w:ascii="Arial" w:hAnsi="Arial"/>
          <w:sz w:val="20"/>
        </w:rPr>
        <w:br w:type="page"/>
      </w:r>
    </w:p>
    <w:p>
      <w:pPr>
        <w:keepNext/>
        <w:spacing w:before="240" w:after="120"/>
      </w:pPr>
      <w:bookmarkStart w:id="44037" w:name="note_s4"/>
      <w:r>
        <w:rPr>
          <w:rFonts w:ascii="Arial" w:hAnsi="Arial"/>
          <w:b/>
          <w:color w:val="1F3A5F"/>
          <w:sz w:val="32"/>
        </w:rPr>
        <w:t>Note S4 — Small-G power / minimum detectable effect simulator</w:t>
      </w:r>
      <w:bookmarkEnd w:id="44037"/>
    </w:p>
    <w:bookmarkStart w:id="23" w:name="Xa4e2dea2d376ab4d6475c8d9700aaff9982f219"/>
    <w:p>
      <w:pPr>
        <w:pStyle w:val="Heading1"/>
      </w:pPr>
      <w:r>
        <w:rPr>
          <w:rFonts w:ascii="Arial" w:hAnsi="Arial"/>
        </w:rPr>
        <w:t xml:space="preserve">Methods §3.Y.4 — Post-hoc power and minimum detectable effect</w:t>
      </w:r>
    </w:p>
    <w:p>
      <w:pPr>
        <w:pStyle w:val="FirstParagraph"/>
      </w:pPr>
      <w:r>
        <w:rPr>
          <w:rFonts w:ascii="Arial" w:hAnsi="Arial"/>
          <w:sz w:val="20"/>
        </w:rPr>
        <w:t xml:space="preserve">The panel size is fixed by geography: G=8 districts (5 coastal-treated,</w:t>
      </w:r>
      <w:r>
        <w:rPr>
          <w:rFonts w:ascii="Arial" w:hAnsi="Arial"/>
          <w:sz w:val="20"/>
        </w:rPr>
        <w:t xml:space="preserve"> </w:t>
      </w:r>
      <w:r>
        <w:rPr>
          <w:rFonts w:ascii="Arial" w:hAnsi="Arial"/>
          <w:sz w:val="20"/>
        </w:rPr>
        <w:t xml:space="preserve">3 inland-control) is the universe of districts where rice phenology and</w:t>
      </w:r>
      <w:r>
        <w:rPr>
          <w:rFonts w:ascii="Arial" w:hAnsi="Arial"/>
          <w:sz w:val="20"/>
        </w:rPr>
        <w:t xml:space="preserve"> </w:t>
      </w:r>
      <w:r>
        <w:rPr>
          <w:rFonts w:ascii="Arial" w:hAnsi="Arial"/>
          <w:sz w:val="20"/>
        </w:rPr>
        <w:t xml:space="preserve">cyclone exposure can both be observed in our study window. We therefore</w:t>
      </w:r>
      <w:r>
        <w:rPr>
          <w:rFonts w:ascii="Arial" w:hAnsi="Arial"/>
          <w:sz w:val="20"/>
        </w:rPr>
        <w:t xml:space="preserve"> </w:t>
      </w:r>
      <w:r>
        <w:rPr>
          <w:rFonts w:ascii="Arial" w:hAnsi="Arial"/>
          <w:sz w:val="20"/>
        </w:rPr>
        <w:t xml:space="preserve">report</w:t>
      </w:r>
      <w:r>
        <w:rPr>
          <w:rFonts w:ascii="Arial" w:hAnsi="Arial"/>
          <w:sz w:val="20"/>
        </w:rPr>
        <w:t xml:space="preserve"> </w:t>
      </w:r>
      <w:r>
        <w:rPr>
          <w:rFonts w:ascii="Arial" w:hAnsi="Arial"/>
          <w:b/>
          <w:bCs/>
          <w:sz w:val="20"/>
        </w:rPr>
        <w:t xml:space="preserve">post-hoc</w:t>
      </w:r>
      <w:r>
        <w:rPr>
          <w:rFonts w:ascii="Arial" w:hAnsi="Arial"/>
          <w:sz w:val="20"/>
        </w:rPr>
        <w:t xml:space="preserve"> </w:t>
      </w:r>
      <w:r>
        <w:rPr>
          <w:rFonts w:ascii="Arial" w:hAnsi="Arial"/>
          <w:sz w:val="20"/>
        </w:rPr>
        <w:t xml:space="preserve">power and the minimum detectable effect (MDE)</w:t>
      </w:r>
      <w:r>
        <w:rPr>
          <w:rFonts w:ascii="Arial" w:hAnsi="Arial"/>
          <w:sz w:val="20"/>
        </w:rPr>
        <w:t xml:space="preserve"> </w:t>
      </w:r>
      <w:r>
        <w:rPr>
          <w:rFonts w:ascii="Arial" w:hAnsi="Arial"/>
          <w:sz w:val="20"/>
        </w:rPr>
        <w:t xml:space="preserve">transparently, alongside the inferential results, so reviewers can</w:t>
      </w:r>
      <w:r>
        <w:rPr>
          <w:rFonts w:ascii="Arial" w:hAnsi="Arial"/>
          <w:sz w:val="20"/>
        </w:rPr>
        <w:t xml:space="preserve"> </w:t>
      </w:r>
      <w:r>
        <w:rPr>
          <w:rFonts w:ascii="Arial" w:hAnsi="Arial"/>
          <w:sz w:val="20"/>
        </w:rPr>
        <w:t xml:space="preserve">assess what could and could not be learned from this design. Power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used to recompute p-values (those come from the wild-cluster</w:t>
      </w:r>
      <w:r>
        <w:rPr>
          <w:rFonts w:ascii="Arial" w:hAnsi="Arial"/>
          <w:sz w:val="20"/>
        </w:rPr>
        <w:t xml:space="preserve"> </w:t>
      </w:r>
      <w:r>
        <w:rPr>
          <w:rFonts w:ascii="Arial" w:hAnsi="Arial"/>
          <w:sz w:val="20"/>
        </w:rPr>
        <w:t xml:space="preserve">restricted bootstrap, §3.Y.3).</w:t>
      </w:r>
    </w:p>
    <w:bookmarkStart w:id="20" w:name="X01accebc7f868c35dd72684079370319d4b05c8"/>
    <w:p>
      <w:pPr>
        <w:pStyle w:val="Heading2"/>
      </w:pPr>
      <w:r>
        <w:rPr>
          <w:rFonts w:ascii="Arial" w:hAnsi="Arial"/>
        </w:rPr>
        <w:t xml:space="preserve">3.Y.4.1 Minimum detectable effect (analytical)</w:t>
      </w:r>
    </w:p>
    <w:p>
      <w:pPr>
        <w:pStyle w:val="FirstParagraph"/>
      </w:pPr>
      <w:r>
        <w:rPr>
          <w:rFonts w:ascii="Arial" w:hAnsi="Arial"/>
          <w:sz w:val="20"/>
        </w:rPr>
        <w:t xml:space="preserve">For each (pipeline × phenometric) cell we compute the two-sided MDE at</w:t>
      </w:r>
      <w:r>
        <w:rPr>
          <w:rFonts w:ascii="Arial" w:hAnsi="Arial"/>
          <w:sz w:val="20"/>
        </w:rPr>
        <w:t xml:space="preserve"> </w:t>
      </w:r>
      <w:r>
        <w:rPr>
          <w:rFonts w:ascii="Arial" w:hAnsi="Arial"/>
          <w:sz w:val="20"/>
        </w:rPr>
        <w:t xml:space="preserve">α = 0.05 and power = 0.80 using the small-cluster t-distribution with</w:t>
      </w:r>
      <w:r>
        <w:rPr>
          <w:rFonts w:ascii="Arial" w:hAnsi="Arial"/>
          <w:sz w:val="20"/>
        </w:rPr>
        <w:t xml:space="preserve"> </w:t>
      </w:r>
      <w:r>
        <w:rPr>
          <w:rFonts w:ascii="Arial" w:hAnsi="Arial"/>
          <w:sz w:val="20"/>
        </w:rPr>
        <w:t xml:space="preserve">df = G − 1 = 7 (Donald and Lang, 2007):</w:t>
      </w:r>
    </w:p>
    <w:p>
      <w:pPr>
        <w:pStyle w:val="BodyText"/>
      </w:pPr>
      <m:oMathPara>
        <m:oMathParaPr>
          <m:jc m:val="center"/>
        </m:oMathParaPr>
        <m:oMath>
          <m:r>
            <m:rPr>
              <m:sty m:val="p"/>
            </m:rPr>
            <m:t>M</m:t>
          </m:r>
          <m:r>
            <m:rPr>
              <m:sty m:val="p"/>
            </m:rPr>
            <m:t>D</m:t>
          </m:r>
          <m:r>
            <m:rPr>
              <m:sty m:val="p"/>
            </m:rPr>
            <m:t>E</m:t>
          </m:r>
          <m:r>
            <m:t> </m:t>
          </m:r>
          <m:r>
            <m:rPr>
              <m:sty m:val="p"/>
            </m:rPr>
            <m:t>=</m:t>
          </m:r>
          <m:r>
            <m:t> </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oMath>
      </m:oMathPara>
    </w:p>
    <w:p>
      <w:pPr>
        <w:pStyle w:val="FirstParagraph"/>
      </w:pPr>
      <w:r>
        <w:rPr>
          <w:rFonts w:ascii="Arial" w:hAnsi="Arial"/>
          <w:sz w:val="20"/>
        </w:rPr>
        <w:t xml:space="preserve">where</w:t>
      </w:r>
      <w:r>
        <w:rPr>
          <w:rFonts w:ascii="Arial" w:hAnsi="Arial"/>
          <w:sz w:val="20"/>
        </w:rPr>
        <w:t xml:space="preserve"> </w:t>
      </w:r>
      <m:oMath>
        <m:acc>
          <m:accPr>
            <m:chr m:val="̂"/>
          </m:accPr>
          <m:e>
            <m:r>
              <m:t>S</m:t>
            </m:r>
            <m:r>
              <m:t>E</m:t>
            </m:r>
          </m:e>
        </m:acc>
        <m:d>
          <m:dPr>
            <m:begChr m:val="("/>
            <m:endChr m:val=")"/>
            <m:sepChr m:val=""/>
            <m:grow/>
          </m:dPr>
          <m:e>
            <m:acc>
              <m:accPr>
                <m:chr m:val="̂"/>
              </m:accPr>
              <m:e>
                <m:r>
                  <m:t>τ</m:t>
                </m:r>
              </m:e>
            </m:acc>
          </m:e>
        </m:d>
      </m:oMath>
      <w:r>
        <w:rPr>
          <w:rFonts w:ascii="Arial" w:hAnsi="Arial"/>
          <w:sz w:val="20"/>
        </w:rPr>
        <w:t xml:space="preserve"> </w:t>
      </w:r>
      <w:r>
        <w:rPr>
          <w:rFonts w:ascii="Arial" w:hAnsi="Arial"/>
          <w:sz w:val="20"/>
        </w:rPr>
        <w:t xml:space="preserve">is the cluster-robust standard error</w:t>
      </w:r>
      <w:r>
        <w:rPr>
          <w:rFonts w:ascii="Arial" w:hAnsi="Arial"/>
          <w:sz w:val="20"/>
        </w:rPr>
        <w:t xml:space="preserve"> </w:t>
      </w:r>
      <w:r>
        <w:rPr>
          <w:rFonts w:ascii="Arial" w:hAnsi="Arial"/>
          <w:sz w:val="20"/>
        </w:rPr>
        <w:t xml:space="preserve">recovered in §3.Y.3 (Module 05a). Results land in</w:t>
      </w:r>
      <w:r>
        <w:rPr>
          <w:rFonts w:ascii="Arial" w:hAnsi="Arial"/>
          <w:sz w:val="20"/>
        </w:rPr>
        <w:t xml:space="preserve"> </w:t>
      </w:r>
      <w:r>
        <w:rPr>
          <w:rStyle w:val="VerbatimChar"/>
          <w:rFonts w:ascii="Arial" w:hAnsi="Arial"/>
          <w:sz w:val="20"/>
        </w:rPr>
        <w:t xml:space="preserve">analysis/results/power_mde.csv</w:t>
      </w:r>
      <w:r>
        <w:rPr>
          <w:rFonts w:ascii="Arial" w:hAnsi="Arial"/>
          <w:sz w:val="20"/>
        </w:rPr>
        <w:t xml:space="preserve"> </w:t>
      </w:r>
      <w:r>
        <w:rPr>
          <w:rFonts w:ascii="Arial" w:hAnsi="Arial"/>
          <w:sz w:val="20"/>
        </w:rPr>
        <w:t xml:space="preserve">and Table S6.</w:t>
      </w:r>
    </w:p>
    <w:p>
      <w:pPr>
        <w:pStyle w:val="BodyText"/>
      </w:pPr>
      <w:r>
        <w:rPr>
          <w:rFonts w:ascii="Arial" w:hAnsi="Arial"/>
          <w:sz w:val="20"/>
        </w:rPr>
        <w:t xml:space="preserve">For the six cells in our specification on the real v2.1 panel</w:t>
      </w:r>
      <w:r>
        <w:rPr>
          <w:rFonts w:ascii="Arial" w:hAnsi="Arial"/>
          <w:sz w:val="20"/>
        </w:rPr>
        <w:t xml:space="preserve"> </w:t>
      </w:r>
      <w:r>
        <w:rPr>
          <w:rFonts w:ascii="Arial" w:hAnsi="Arial"/>
          <w:sz w:val="20"/>
        </w:rPr>
        <w:t xml:space="preserve">(</w:t>
      </w:r>
      <w:r>
        <w:rPr>
          <w:rStyle w:val="VerbatimChar"/>
          <w:rFonts w:ascii="Arial" w:hAnsi="Arial"/>
          <w:sz w:val="20"/>
        </w:rPr>
        <w:t xml:space="preserve">analysis/results/real_v21/power_mde.csv</w:t>
      </w:r>
      <w:r>
        <w:rPr>
          <w:rFonts w:ascii="Arial" w:hAnsi="Arial"/>
          <w:sz w:val="20"/>
        </w:rPr>
        <w:t xml:space="preserve">), the MDE₂-sided ranges from</w:t>
      </w:r>
      <w:r>
        <w:rPr>
          <w:rFonts w:ascii="Arial" w:hAnsi="Arial"/>
          <w:sz w:val="20"/>
        </w:rPr>
        <w:t xml:space="preserve"> </w:t>
      </w:r>
      <w:r>
        <w:rPr>
          <w:rFonts w:ascii="Arial" w:hAnsi="Arial"/>
          <w:b/>
          <w:bCs/>
          <w:sz w:val="20"/>
        </w:rPr>
        <w:t xml:space="preserve">0.551 d</w:t>
      </w:r>
      <w:r>
        <w:rPr>
          <w:rFonts w:ascii="Arial" w:hAnsi="Arial"/>
          <w:sz w:val="20"/>
        </w:rPr>
        <w:t xml:space="preserve"> </w:t>
      </w:r>
      <w:r>
        <w:rPr>
          <w:rFonts w:ascii="Arial" w:hAnsi="Arial"/>
          <w:sz w:val="20"/>
        </w:rPr>
        <w:t xml:space="preserve">(corrected / EOS) to</w:t>
      </w:r>
      <w:r>
        <w:rPr>
          <w:rFonts w:ascii="Arial" w:hAnsi="Arial"/>
          <w:sz w:val="20"/>
        </w:rPr>
        <w:t xml:space="preserve"> </w:t>
      </w:r>
      <w:r>
        <w:rPr>
          <w:rFonts w:ascii="Arial" w:hAnsi="Arial"/>
          <w:b/>
          <w:bCs/>
          <w:sz w:val="20"/>
        </w:rPr>
        <w:t xml:space="preserve">56.501 d</w:t>
      </w:r>
      <w:r>
        <w:rPr>
          <w:rFonts w:ascii="Arial" w:hAnsi="Arial"/>
          <w:sz w:val="20"/>
        </w:rPr>
        <w:t xml:space="preserve"> </w:t>
      </w:r>
      <w:r>
        <w:rPr>
          <w:rFonts w:ascii="Arial" w:hAnsi="Arial"/>
          <w:sz w:val="20"/>
        </w:rPr>
        <w:t xml:space="preserve">(raw / SOS);</w:t>
      </w:r>
      <w:r>
        <w:rPr>
          <w:rFonts w:ascii="Arial" w:hAnsi="Arial"/>
          <w:sz w:val="20"/>
        </w:rPr>
        <w:t xml:space="preserve"> </w:t>
      </w:r>
      <w:r>
        <w:rPr>
          <w:rFonts w:ascii="Arial" w:hAnsi="Arial"/>
          <w:b/>
          <w:bCs/>
          <w:sz w:val="20"/>
        </w:rPr>
        <w:t xml:space="preserve">none</w:t>
      </w:r>
      <w:r>
        <w:rPr>
          <w:rFonts w:ascii="Arial" w:hAnsi="Arial"/>
          <w:sz w:val="20"/>
        </w:rPr>
        <w:t xml:space="preserve"> </w:t>
      </w:r>
      <w:r>
        <w:rPr>
          <w:rFonts w:ascii="Arial" w:hAnsi="Arial"/>
          <w:sz w:val="20"/>
        </w:rPr>
        <w:t xml:space="preserve">of</w:t>
      </w:r>
      <w:r>
        <w:rPr>
          <w:rFonts w:ascii="Arial" w:hAnsi="Arial"/>
          <w:sz w:val="20"/>
        </w:rPr>
        <w:t xml:space="preserve"> </w:t>
      </w:r>
      <w:r>
        <w:rPr>
          <w:rFonts w:ascii="Arial" w:hAnsi="Arial"/>
          <w:sz w:val="20"/>
        </w:rPr>
        <w:t xml:space="preserve">the six observed effects exceeds its MDE at α = 0.05, power = 0.80, df = 7</w:t>
      </w:r>
      <w:r>
        <w:rPr>
          <w:rFonts w:ascii="Arial" w:hAnsi="Arial"/>
          <w:sz w:val="20"/>
        </w:rPr>
        <w:t xml:space="preserve"> </w:t>
      </w:r>
      <w:r>
        <w:rPr>
          <w:rFonts w:ascii="Arial" w:hAnsi="Arial"/>
          <w:sz w:val="20"/>
        </w:rPr>
        <w:t xml:space="preserve">(all cells</w:t>
      </w:r>
      <w:r>
        <w:rPr>
          <w:rFonts w:ascii="Arial" w:hAnsi="Arial"/>
          <w:sz w:val="20"/>
        </w:rPr>
        <w:t xml:space="preserve"> </w:t>
      </w:r>
      <w:r>
        <w:rPr>
          <w:rStyle w:val="VerbatimChar"/>
          <w:rFonts w:ascii="Arial" w:hAnsi="Arial"/>
          <w:sz w:val="20"/>
        </w:rPr>
        <w:t xml:space="preserve">detectable = "no"</w:t>
      </w:r>
      <w:r>
        <w:rPr>
          <w:rFonts w:ascii="Arial" w:hAnsi="Arial"/>
          <w:sz w:val="20"/>
        </w:rPr>
        <w:t xml:space="preserve">, with raw / EOS reported as a degenerate</w:t>
      </w:r>
      <w:r>
        <w:rPr>
          <w:rFonts w:ascii="Arial" w:hAnsi="Arial"/>
          <w:sz w:val="20"/>
        </w:rPr>
        <w:t xml:space="preserve"> </w:t>
      </w:r>
      <w:r>
        <w:rPr>
          <w:rFonts w:ascii="Arial" w:hAnsi="Arial"/>
          <w:sz w:val="20"/>
        </w:rPr>
        <w:t xml:space="preserve">zero-variance cell). The closest cell to its MDE is</w:t>
      </w:r>
      <w:r>
        <w:rPr>
          <w:rFonts w:ascii="Arial" w:hAnsi="Arial"/>
          <w:sz w:val="20"/>
        </w:rPr>
        <w:t xml:space="preserve"> </w:t>
      </w:r>
      <w:r>
        <w:rPr>
          <w:rFonts w:ascii="Arial" w:hAnsi="Arial"/>
          <w:b/>
          <w:bCs/>
          <w:sz w:val="20"/>
        </w:rPr>
        <w:t xml:space="preserve">corrected / EOS, |τ̂| = 0.239 d vs MDE = 0.551 d</w:t>
      </w:r>
      <w:r>
        <w:rPr>
          <w:rFonts w:ascii="Arial" w:hAnsi="Arial"/>
          <w:sz w:val="20"/>
        </w:rPr>
        <w:t xml:space="preserve"> </w:t>
      </w:r>
      <w:r>
        <w:rPr>
          <w:rFonts w:ascii="Arial" w:hAnsi="Arial"/>
          <w:sz w:val="20"/>
        </w:rPr>
        <w:t xml:space="preserve">(|τ̂|/MDE = 0.43),</w:t>
      </w:r>
      <w:r>
        <w:rPr>
          <w:rFonts w:ascii="Arial" w:hAnsi="Arial"/>
          <w:sz w:val="20"/>
        </w:rPr>
        <w:t xml:space="preserve"> </w:t>
      </w:r>
      <w:r>
        <w:rPr>
          <w:rFonts w:ascii="Arial" w:hAnsi="Arial"/>
          <w:sz w:val="20"/>
        </w:rPr>
        <w:t xml:space="preserve">the same cell our wild-cluster bootstrap fails to reject</w:t>
      </w:r>
      <w:r>
        <w:rPr>
          <w:rFonts w:ascii="Arial" w:hAnsi="Arial"/>
          <w:sz w:val="20"/>
        </w:rPr>
        <w:t xml:space="preserve"> </w:t>
      </w:r>
      <w:r>
        <w:rPr>
          <w:rFonts w:ascii="Arial" w:hAnsi="Arial"/>
          <w:sz w:val="20"/>
        </w:rPr>
        <w:t xml:space="preserve">(p = 0.2035, §3.Y.3). Power and inference therefore tell the same story</w:t>
      </w:r>
      <w:r>
        <w:rPr>
          <w:rFonts w:ascii="Arial" w:hAnsi="Arial"/>
          <w:sz w:val="20"/>
        </w:rPr>
        <w:t xml:space="preserve"> </w:t>
      </w:r>
      <w:r>
        <w:rPr>
          <w:rFonts w:ascii="Arial" w:hAnsi="Arial"/>
          <w:sz w:val="20"/>
        </w:rPr>
        <w:t xml:space="preserve">and we report this honestly as the formal small-G underpowering result:</w:t>
      </w:r>
      <w:r>
        <w:rPr>
          <w:rFonts w:ascii="Arial" w:hAnsi="Arial"/>
          <w:sz w:val="20"/>
        </w:rPr>
        <w:t xml:space="preserve"> </w:t>
      </w:r>
      <w:r>
        <w:rPr>
          <w:rFonts w:ascii="Arial" w:hAnsi="Arial"/>
          <w:sz w:val="20"/>
        </w:rPr>
        <w:t xml:space="preserve">the design at G = 8 cannot detect the observed effects with conventional</w:t>
      </w:r>
      <w:r>
        <w:rPr>
          <w:rFonts w:ascii="Arial" w:hAnsi="Arial"/>
          <w:sz w:val="20"/>
        </w:rPr>
        <w:t xml:space="preserve"> </w:t>
      </w:r>
      <w:r>
        <w:rPr>
          <w:rFonts w:ascii="Arial" w:hAnsi="Arial"/>
          <w:sz w:val="20"/>
        </w:rPr>
        <w:t xml:space="preserve">power, motivating the Monte-Carlo power-curve simulation in §3.Y.4.2.</w:t>
      </w:r>
    </w:p>
    <w:bookmarkEnd w:id="20"/>
    <w:bookmarkStart w:id="21" w:name="y.4.2-power-curves-monte-carlo"/>
    <w:p>
      <w:pPr>
        <w:pStyle w:val="Heading2"/>
      </w:pPr>
      <w:r>
        <w:rPr>
          <w:rFonts w:ascii="Arial" w:hAnsi="Arial"/>
        </w:rPr>
        <w:t xml:space="preserve">3.Y.4.2 Power curves (Monte-Carlo)</w:t>
      </w:r>
    </w:p>
    <w:p>
      <w:pPr>
        <w:pStyle w:val="FirstParagraph"/>
      </w:pPr>
      <w:r>
        <w:rPr>
          <w:rFonts w:ascii="Arial" w:hAnsi="Arial"/>
          <w:sz w:val="20"/>
        </w:rPr>
        <w:t xml:space="preserve">To map sensitivity to the cluster count itself, we simulate the data-</w:t>
      </w:r>
      <w:r>
        <w:rPr>
          <w:rFonts w:ascii="Arial" w:hAnsi="Arial"/>
          <w:sz w:val="20"/>
        </w:rPr>
        <w:t xml:space="preserve"> </w:t>
      </w:r>
      <w:r>
        <w:rPr>
          <w:rFonts w:ascii="Arial" w:hAnsi="Arial"/>
          <w:sz w:val="20"/>
        </w:rPr>
        <w:t xml:space="preserve">generating process</w:t>
      </w:r>
    </w:p>
    <w:p>
      <w:pPr>
        <w:pStyle w:val="BodyText"/>
      </w:pPr>
      <m:oMathPara>
        <m:oMathParaPr>
          <m:jc m:val="center"/>
        </m:oMathParaPr>
        <m:oMath>
          <m:sSub>
            <m:e>
              <m:r>
                <m:t>y</m:t>
              </m:r>
            </m:e>
            <m:sub>
              <m:r>
                <m:t>i</m:t>
              </m:r>
              <m:r>
                <m:t>t</m:t>
              </m:r>
            </m:sub>
          </m:sSub>
          <m:r>
            <m:t> </m:t>
          </m:r>
          <m:r>
            <m:rPr>
              <m:sty m:val="p"/>
            </m:rPr>
            <m:t>=</m:t>
          </m:r>
          <m:r>
            <m:t> </m:t>
          </m:r>
          <m:sSub>
            <m:e>
              <m:r>
                <m:t>α</m:t>
              </m:r>
            </m:e>
            <m:sub>
              <m:r>
                <m:t>i</m:t>
              </m:r>
            </m:sub>
          </m:sSub>
          <m:r>
            <m:rPr>
              <m:sty m:val="p"/>
            </m:rPr>
            <m:t>+</m:t>
          </m:r>
          <m:sSub>
            <m:e>
              <m:r>
                <m:t>δ</m:t>
              </m:r>
            </m:e>
            <m:sub>
              <m:r>
                <m:t>t</m:t>
              </m:r>
            </m:sub>
          </m:sSub>
          <m:r>
            <m:rPr>
              <m:sty m:val="p"/>
            </m:rPr>
            <m:t>+</m:t>
          </m:r>
          <m:r>
            <m:t>τ</m:t>
          </m:r>
          <m:r>
            <m:rPr>
              <m:sty m:val="p"/>
            </m:rPr>
            <m:t>⋅</m:t>
          </m:r>
          <m:sSub>
            <m:e>
              <m:r>
                <m:t>D</m:t>
              </m:r>
            </m:e>
            <m:sub>
              <m:r>
                <m:t>i</m:t>
              </m:r>
              <m:r>
                <m:t>t</m:t>
              </m:r>
            </m:sub>
          </m:sSub>
          <m:r>
            <m:rPr>
              <m:sty m:val="p"/>
            </m:rPr>
            <m:t>+</m:t>
          </m:r>
          <m:sSub>
            <m:e>
              <m:r>
                <m:t>ε</m:t>
              </m:r>
            </m:e>
            <m:sub>
              <m:r>
                <m:t>i</m:t>
              </m:r>
              <m:r>
                <m:t>t</m:t>
              </m:r>
            </m:sub>
          </m:sSub>
          <m:r>
            <m:rPr>
              <m:sty m:val="p"/>
            </m:rPr>
            <m:t>,</m:t>
          </m:r>
        </m:oMath>
      </m:oMathPara>
    </w:p>
    <w:p>
      <w:pPr>
        <w:pStyle w:val="FirstParagraph"/>
      </w:pPr>
      <w:r>
        <w:rPr>
          <w:rFonts w:ascii="Arial" w:hAnsi="Arial"/>
          <w:sz w:val="20"/>
        </w:rPr>
        <w:t xml:space="preserve">with district FE</w:t>
      </w:r>
      <w:r>
        <w:rPr>
          <w:rFonts w:ascii="Arial" w:hAnsi="Arial"/>
          <w:sz w:val="20"/>
        </w:rPr>
        <w:t xml:space="preserve"> </w:t>
      </w:r>
      <m:oMath>
        <m:sSub>
          <m:e>
            <m:r>
              <m:t>α</m:t>
            </m:r>
          </m:e>
          <m:sub>
            <m:r>
              <m:t>i</m:t>
            </m:r>
          </m:sub>
        </m:sSub>
        <m:r>
          <m:t>​</m:t>
        </m:r>
        <m:r>
          <m:rPr>
            <m:sty m:val="p"/>
          </m:rPr>
          <m:t>∼</m:t>
        </m:r>
        <m:r>
          <m:t>​</m:t>
        </m:r>
        <m:r>
          <m:t>N</m:t>
        </m:r>
        <m:d>
          <m:dPr>
            <m:begChr m:val="("/>
            <m:endChr m:val=")"/>
            <m:sepChr m:val=""/>
            <m:grow/>
          </m:dPr>
          <m:e>
            <m:r>
              <m:t>0</m:t>
            </m:r>
            <m:r>
              <m:rPr>
                <m:sty m:val="p"/>
              </m:rPr>
              <m:t>,</m:t>
            </m:r>
            <m:sSubSup>
              <m:e>
                <m:r>
                  <m:t>σ</m:t>
                </m:r>
              </m:e>
              <m:sub>
                <m:r>
                  <m:t>u</m:t>
                </m:r>
              </m:sub>
              <m:sup>
                <m:r>
                  <m:t>2</m:t>
                </m:r>
              </m:sup>
            </m:sSubSup>
          </m:e>
        </m:d>
      </m:oMath>
      <w:r>
        <w:rPr>
          <w:rFonts w:ascii="Arial" w:hAnsi="Arial"/>
          <w:sz w:val="20"/>
        </w:rPr>
        <w:t xml:space="preserve"> </w:t>
      </w:r>
      <w:r>
        <w:rPr>
          <w:rFonts w:ascii="Arial" w:hAnsi="Arial"/>
          <w:sz w:val="20"/>
        </w:rPr>
        <w:t xml:space="preserve">(</w:t>
      </w:r>
      <m:oMath>
        <m:sSub>
          <m:e>
            <m:r>
              <m:t>σ</m:t>
            </m:r>
          </m:e>
          <m:sub>
            <m:r>
              <m:t>u</m:t>
            </m:r>
          </m:sub>
        </m:sSub>
        <m:r>
          <m:rPr>
            <m:sty m:val="p"/>
          </m:rPr>
          <m:t>=</m:t>
        </m:r>
        <m:r>
          <m:t>13.06</m:t>
        </m:r>
      </m:oMath>
      <w:r>
        <w:rPr>
          <w:rFonts w:ascii="Arial" w:hAnsi="Arial"/>
          <w:sz w:val="20"/>
        </w:rPr>
        <w:t xml:space="preserve"> </w:t>
      </w:r>
      <w:r>
        <w:rPr>
          <w:rFonts w:ascii="Arial" w:hAnsi="Arial"/>
          <w:sz w:val="20"/>
        </w:rPr>
        <w:t xml:space="preserve">d),</w:t>
      </w:r>
      <w:r>
        <w:rPr>
          <w:rFonts w:ascii="Arial" w:hAnsi="Arial"/>
          <w:sz w:val="20"/>
        </w:rPr>
        <w:t xml:space="preserve"> </w:t>
      </w:r>
      <w:r>
        <w:rPr>
          <w:rFonts w:ascii="Arial" w:hAnsi="Arial"/>
          <w:sz w:val="20"/>
        </w:rPr>
        <w:t xml:space="preserve">year FE</w:t>
      </w:r>
      <w:r>
        <w:rPr>
          <w:rFonts w:ascii="Arial" w:hAnsi="Arial"/>
          <w:sz w:val="20"/>
        </w:rPr>
        <w:t xml:space="preserve"> </w:t>
      </w:r>
      <m:oMath>
        <m:sSub>
          <m:e>
            <m:r>
              <m:t>δ</m:t>
            </m:r>
          </m:e>
          <m:sub>
            <m:r>
              <m:t>t</m:t>
            </m:r>
          </m:sub>
        </m:sSub>
        <m:r>
          <m:t>​</m:t>
        </m:r>
        <m:r>
          <m:rPr>
            <m:sty m:val="p"/>
          </m:rPr>
          <m:t>∼</m:t>
        </m:r>
        <m:r>
          <m:t>​</m:t>
        </m:r>
        <m:r>
          <m:t>N</m:t>
        </m:r>
        <m:d>
          <m:dPr>
            <m:begChr m:val="("/>
            <m:endChr m:val=")"/>
            <m:sepChr m:val=""/>
            <m:grow/>
          </m:dPr>
          <m:e>
            <m:r>
              <m:t>0</m:t>
            </m:r>
            <m:r>
              <m:rPr>
                <m:sty m:val="p"/>
              </m:rPr>
              <m:t>,</m:t>
            </m:r>
            <m:sSubSup>
              <m:e>
                <m:r>
                  <m:t>σ</m:t>
                </m:r>
              </m:e>
              <m:sub>
                <m:r>
                  <m:t>t</m:t>
                </m:r>
              </m:sub>
              <m:sup>
                <m:r>
                  <m:t>2</m:t>
                </m:r>
              </m:sup>
            </m:sSubSup>
          </m:e>
        </m:d>
      </m:oMath>
      <w:r>
        <w:rPr>
          <w:rFonts w:ascii="Arial" w:hAnsi="Arial"/>
          <w:sz w:val="20"/>
        </w:rPr>
        <w:t xml:space="preserve"> </w:t>
      </w:r>
      <w:r>
        <w:rPr>
          <w:rFonts w:ascii="Arial" w:hAnsi="Arial"/>
          <w:sz w:val="20"/>
        </w:rPr>
        <w:t xml:space="preserve">(</w:t>
      </w:r>
      <m:oMath>
        <m:sSub>
          <m:e>
            <m:r>
              <m:t>σ</m:t>
            </m:r>
          </m:e>
          <m:sub>
            <m:r>
              <m:t>t</m:t>
            </m:r>
          </m:sub>
        </m:sSub>
        <m:r>
          <m:rPr>
            <m:sty m:val="p"/>
          </m:rPr>
          <m:t>=</m:t>
        </m:r>
        <m:r>
          <m:t>41.75</m:t>
        </m:r>
      </m:oMath>
      <w:r>
        <w:rPr>
          <w:rFonts w:ascii="Arial" w:hAnsi="Arial"/>
          <w:sz w:val="20"/>
        </w:rPr>
        <w:t xml:space="preserve"> </w:t>
      </w:r>
      <w:r>
        <w:rPr>
          <w:rFonts w:ascii="Arial" w:hAnsi="Arial"/>
          <w:sz w:val="20"/>
        </w:rPr>
        <w:t xml:space="preserve">d), and</w:t>
      </w:r>
      <w:r>
        <w:rPr>
          <w:rFonts w:ascii="Arial" w:hAnsi="Arial"/>
          <w:sz w:val="20"/>
        </w:rPr>
        <w:t xml:space="preserve"> </w:t>
      </w:r>
      <w:r>
        <w:rPr>
          <w:rFonts w:ascii="Arial" w:hAnsi="Arial"/>
          <w:sz w:val="20"/>
        </w:rPr>
        <w:t xml:space="preserve">idiosyncratic noise</w:t>
      </w:r>
      <w:r>
        <w:rPr>
          <w:rFonts w:ascii="Arial" w:hAnsi="Arial"/>
          <w:sz w:val="20"/>
        </w:rPr>
        <w:t xml:space="preserve"> </w:t>
      </w:r>
      <m:oMath>
        <m:sSub>
          <m:e>
            <m:r>
              <m:t>ε</m:t>
            </m:r>
          </m:e>
          <m:sub>
            <m:r>
              <m:t>i</m:t>
            </m:r>
            <m:r>
              <m:t>t</m:t>
            </m:r>
          </m:sub>
        </m:sSub>
        <m:r>
          <m:t>​</m:t>
        </m:r>
        <m:r>
          <m:rPr>
            <m:sty m:val="p"/>
          </m:rPr>
          <m:t>∼</m:t>
        </m:r>
        <m:r>
          <m:t>​</m:t>
        </m:r>
        <m:r>
          <m:t>N</m:t>
        </m:r>
        <m:d>
          <m:dPr>
            <m:begChr m:val="("/>
            <m:endChr m:val=")"/>
            <m:sepChr m:val=""/>
            <m:grow/>
          </m:dPr>
          <m:e>
            <m:r>
              <m:t>0</m:t>
            </m:r>
            <m:r>
              <m:rPr>
                <m:sty m:val="p"/>
              </m:rPr>
              <m:t>,</m:t>
            </m:r>
            <m:sSubSup>
              <m:e>
                <m:r>
                  <m:t>σ</m:t>
                </m:r>
              </m:e>
              <m:sub>
                <m:r>
                  <m:t>ε</m:t>
                </m:r>
              </m:sub>
              <m:sup>
                <m:r>
                  <m:t>2</m:t>
                </m:r>
              </m:sup>
            </m:sSubSup>
          </m:e>
        </m:d>
      </m:oMath>
      <w:r>
        <w:rPr>
          <w:rFonts w:ascii="Arial" w:hAnsi="Arial"/>
          <w:sz w:val="20"/>
        </w:rPr>
        <w:t xml:space="preserve"> </w:t>
      </w:r>
      <w:r>
        <w:rPr>
          <w:rFonts w:ascii="Arial" w:hAnsi="Arial"/>
          <w:sz w:val="20"/>
        </w:rPr>
        <w:t xml:space="preserve">(</w:t>
      </w:r>
      <m:oMath>
        <m:sSub>
          <m:e>
            <m:r>
              <m:t>σ</m:t>
            </m:r>
          </m:e>
          <m:sub>
            <m:r>
              <m:t>ε</m:t>
            </m:r>
          </m:sub>
        </m:sSub>
        <m:r>
          <m:rPr>
            <m:sty m:val="p"/>
          </m:rPr>
          <m:t>=</m:t>
        </m:r>
        <m:r>
          <m:t>31.28</m:t>
        </m:r>
      </m:oMath>
      <w:r>
        <w:rPr>
          <w:rFonts w:ascii="Arial" w:hAnsi="Arial"/>
          <w:sz w:val="20"/>
        </w:rPr>
        <w:t xml:space="preserve"> </w:t>
      </w:r>
      <w:r>
        <w:rPr>
          <w:rFonts w:ascii="Arial" w:hAnsi="Arial"/>
          <w:sz w:val="20"/>
        </w:rPr>
        <w:t xml:space="preserve">d). Variance components are</w:t>
      </w:r>
      <w:r>
        <w:rPr>
          <w:rFonts w:ascii="Arial" w:hAnsi="Arial"/>
          <w:sz w:val="20"/>
        </w:rPr>
        <w:t xml:space="preserve"> </w:t>
      </w:r>
      <w:r>
        <w:rPr>
          <w:rFonts w:ascii="Arial" w:hAnsi="Arial"/>
          <w:b/>
          <w:bCs/>
          <w:sz w:val="20"/>
        </w:rPr>
        <w:t xml:space="preserve">empirical</w:t>
      </w:r>
      <w:r>
        <w:rPr>
          <w:rFonts w:ascii="Arial" w:hAnsi="Arial"/>
          <w:b/>
          <w:bCs/>
          <w:sz w:val="20"/>
        </w:rPr>
        <w:t xml:space="preserve"> </w:t>
      </w:r>
      <w:r>
        <w:rPr>
          <w:rFonts w:ascii="Arial" w:hAnsi="Arial"/>
          <w:b/>
          <w:bCs/>
          <w:sz w:val="20"/>
        </w:rPr>
        <w:t xml:space="preserve">point estimates</w:t>
      </w:r>
      <w:r>
        <w:rPr>
          <w:rFonts w:ascii="Arial" w:hAnsi="Arial"/>
          <w:sz w:val="20"/>
        </w:rPr>
        <w:t xml:space="preserve"> </w:t>
      </w:r>
      <w:r>
        <w:rPr>
          <w:rFonts w:ascii="Arial" w:hAnsi="Arial"/>
          <w:sz w:val="20"/>
        </w:rPr>
        <w:t xml:space="preserve">obtained from a two-way fixed-effects decomposition of</w:t>
      </w:r>
      <w:r>
        <w:rPr>
          <w:rFonts w:ascii="Arial" w:hAnsi="Arial"/>
          <w:sz w:val="20"/>
        </w:rPr>
        <w:t xml:space="preserve"> </w:t>
      </w:r>
      <w:r>
        <w:rPr>
          <w:rFonts w:ascii="Arial" w:hAnsi="Arial"/>
          <w:sz w:val="20"/>
        </w:rPr>
        <w:t xml:space="preserve">the real v2.1 corrected-SOS panel (</w:t>
      </w:r>
      <w:r>
        <w:rPr>
          <w:rStyle w:val="VerbatimChar"/>
          <w:rFonts w:ascii="Arial" w:hAnsi="Arial"/>
          <w:sz w:val="20"/>
        </w:rPr>
        <w:t xml:space="preserve">analysis/17_estimate_panel_variance_components.py</w:t>
      </w:r>
      <w:r>
        <w:rPr>
          <w:rFonts w:ascii="Arial" w:hAnsi="Arial"/>
          <w:sz w:val="20"/>
        </w:rPr>
        <w:t xml:space="preserve">;</w:t>
      </w:r>
      <w:r>
        <w:rPr>
          <w:rFonts w:ascii="Arial" w:hAnsi="Arial"/>
          <w:sz w:val="20"/>
        </w:rPr>
        <w:t xml:space="preserve"> </w:t>
      </w:r>
      <w:r>
        <w:rPr>
          <w:rFonts w:ascii="Arial" w:hAnsi="Arial"/>
          <w:sz w:val="20"/>
        </w:rPr>
        <w:t xml:space="preserve">output</w:t>
      </w:r>
      <w:r>
        <w:rPr>
          <w:rFonts w:ascii="Arial" w:hAnsi="Arial"/>
          <w:sz w:val="20"/>
        </w:rPr>
        <w:t xml:space="preserve"> </w:t>
      </w:r>
      <w:r>
        <w:rPr>
          <w:rStyle w:val="VerbatimChar"/>
          <w:rFonts w:ascii="Arial" w:hAnsi="Arial"/>
          <w:sz w:val="20"/>
        </w:rPr>
        <w:t xml:space="preserve">analysis/results/real_v21/variance_components_real_v21.csv</w:t>
      </w:r>
      <w:r>
        <w:rPr>
          <w:rFonts w:ascii="Arial" w:hAnsi="Arial"/>
          <w:sz w:val="20"/>
        </w:rPr>
        <w:t xml:space="preserve">):</w:t>
      </w:r>
      <w:r>
        <w:rPr>
          <w:rFonts w:ascii="Arial" w:hAnsi="Arial"/>
          <w:sz w:val="20"/>
        </w:rPr>
        <w:t xml:space="preserve"> </w:t>
      </w:r>
      <w:r>
        <w:rPr>
          <w:rFonts w:ascii="Arial" w:hAnsi="Arial"/>
          <w:sz w:val="20"/>
        </w:rPr>
        <w:t xml:space="preserve">district means and year means are removed sequentially with</w:t>
      </w:r>
      <w:r>
        <w:rPr>
          <w:rFonts w:ascii="Arial" w:hAnsi="Arial"/>
          <w:sz w:val="20"/>
        </w:rPr>
        <w:t xml:space="preserve"> </w:t>
      </w:r>
      <w:r>
        <w:rPr>
          <w:rStyle w:val="VerbatimChar"/>
          <w:rFonts w:ascii="Arial" w:hAnsi="Arial"/>
          <w:sz w:val="20"/>
        </w:rPr>
        <w:t xml:space="preserve">ddof=1</w:t>
      </w:r>
      <w:r>
        <w:rPr>
          <w:rFonts w:ascii="Arial" w:hAnsi="Arial"/>
          <w:sz w:val="20"/>
        </w:rPr>
        <w:t xml:space="preserve"> </w:t>
      </w:r>
      <w:r>
        <w:rPr>
          <w:rFonts w:ascii="Arial" w:hAnsi="Arial"/>
          <w:sz w:val="20"/>
        </w:rPr>
        <w:t xml:space="preserve">and</w:t>
      </w:r>
      <w:r>
        <w:rPr>
          <w:rFonts w:ascii="Arial" w:hAnsi="Arial"/>
          <w:sz w:val="20"/>
        </w:rPr>
        <w:t xml:space="preserve"> </w:t>
      </w:r>
      <w:r>
        <w:rPr>
          <w:rFonts w:ascii="Arial" w:hAnsi="Arial"/>
          <w:sz w:val="20"/>
        </w:rPr>
        <w:t xml:space="preserve">the residual variance gives</w:t>
      </w:r>
      <w:r>
        <w:rPr>
          <w:rFonts w:ascii="Arial" w:hAnsi="Arial"/>
          <w:sz w:val="20"/>
        </w:rPr>
        <w:t xml:space="preserve"> </w:t>
      </w:r>
      <m:oMath>
        <m:sSubSup>
          <m:e>
            <m:r>
              <m:t>σ</m:t>
            </m:r>
          </m:e>
          <m:sub>
            <m:r>
              <m:t>ε</m:t>
            </m:r>
          </m:sub>
          <m:sup>
            <m:r>
              <m:t>2</m:t>
            </m:r>
          </m:sup>
        </m:sSubSup>
      </m:oMath>
      <w:r>
        <w:rPr>
          <w:rFonts w:ascii="Arial" w:hAnsi="Arial"/>
          <w:sz w:val="20"/>
        </w:rPr>
        <w:t xml:space="preserve">. No synthetic or</w:t>
      </w:r>
      <w:r>
        <w:rPr>
          <w:rFonts w:ascii="Arial" w:hAnsi="Arial"/>
          <w:sz w:val="20"/>
        </w:rPr>
        <w:t xml:space="preserve"> </w:t>
      </w:r>
      <w:r>
        <w:rPr>
          <w:rFonts w:ascii="Arial" w:hAnsi="Arial"/>
          <w:sz w:val="20"/>
        </w:rPr>
        <w:t xml:space="preserve">literature-derived values enter the simulator.</w:t>
      </w:r>
      <w:r>
        <w:rPr>
          <w:rFonts w:ascii="Arial" w:hAnsi="Arial"/>
          <w:sz w:val="20"/>
        </w:rPr>
        <w:t xml:space="preserve"> </w:t>
      </w:r>
      <w:r>
        <w:rPr>
          <w:rFonts w:ascii="Arial" w:hAnsi="Arial"/>
          <w:sz w:val="20"/>
        </w:rPr>
        <w:t xml:space="preserve">Half the districts are treated, with the post-period covering the</w:t>
      </w:r>
      <w:r>
        <w:rPr>
          <w:rFonts w:ascii="Arial" w:hAnsi="Arial"/>
          <w:sz w:val="20"/>
        </w:rPr>
        <w:t xml:space="preserve"> </w:t>
      </w:r>
      <w:r>
        <w:rPr>
          <w:rFonts w:ascii="Arial" w:hAnsi="Arial"/>
          <w:sz w:val="20"/>
        </w:rPr>
        <w:t xml:space="preserve">second half of T = 8 years. We test</w:t>
      </w:r>
      <w:r>
        <w:rPr>
          <w:rFonts w:ascii="Arial" w:hAnsi="Arial"/>
          <w:sz w:val="20"/>
        </w:rPr>
        <w:t xml:space="preserve"> </w:t>
      </w:r>
      <m:oMath>
        <m:sSub>
          <m:e>
            <m:r>
              <m:t>H</m:t>
            </m:r>
          </m:e>
          <m:sub>
            <m:r>
              <m:t>0</m:t>
            </m:r>
          </m:sub>
        </m:sSub>
        <m:r>
          <m:t>​</m:t>
        </m:r>
        <m:r>
          <m:rPr>
            <m:sty m:val="p"/>
          </m:rPr>
          <m:t>:</m:t>
        </m:r>
        <m:r>
          <m:t> </m:t>
        </m:r>
        <m:r>
          <m:t>τ</m:t>
        </m:r>
        <m:r>
          <m:rPr>
            <m:sty m:val="p"/>
          </m:rPr>
          <m:t>=</m:t>
        </m:r>
        <m:r>
          <m:t>0</m:t>
        </m:r>
      </m:oMath>
      <w:r>
        <w:rPr>
          <w:rFonts w:ascii="Arial" w:hAnsi="Arial"/>
          <w:sz w:val="20"/>
        </w:rPr>
        <w:t xml:space="preserve"> </w:t>
      </w:r>
      <w:r>
        <w:rPr>
          <w:rFonts w:ascii="Arial" w:hAnsi="Arial"/>
          <w:sz w:val="20"/>
        </w:rPr>
        <w:t xml:space="preserve">using OLS with</w:t>
      </w:r>
      <w:r>
        <w:rPr>
          <w:rFonts w:ascii="Arial" w:hAnsi="Arial"/>
          <w:sz w:val="20"/>
        </w:rPr>
        <w:t xml:space="preserve"> </w:t>
      </w:r>
      <w:r>
        <w:rPr>
          <w:rFonts w:ascii="Arial" w:hAnsi="Arial"/>
          <w:sz w:val="20"/>
        </w:rPr>
        <w:t xml:space="preserve">CR1-corrected cluster-robust SE on G clusters and a t-test at df = G−1.</w:t>
      </w:r>
    </w:p>
    <w:p>
      <w:pPr>
        <w:pStyle w:val="BodyText"/>
      </w:pPr>
      <w:r>
        <w:rPr>
          <w:rFonts w:ascii="Arial" w:hAnsi="Arial"/>
          <w:sz w:val="20"/>
        </w:rPr>
        <w:t xml:space="preserve">For each (G, τ) grid point we run R = 999 replications and report the</w:t>
      </w:r>
      <w:r>
        <w:rPr>
          <w:rFonts w:ascii="Arial" w:hAnsi="Arial"/>
          <w:sz w:val="20"/>
        </w:rPr>
        <w:t xml:space="preserve"> </w:t>
      </w:r>
      <w:r>
        <w:rPr>
          <w:rFonts w:ascii="Arial" w:hAnsi="Arial"/>
          <w:sz w:val="20"/>
        </w:rPr>
        <w:t xml:space="preserve">empirical rejection rate. Grid: τ ∈ {0, 5, 10, 15, 20, 30, 40, 60, 80, 100} d,</w:t>
      </w:r>
      <w:r>
        <w:rPr>
          <w:rFonts w:ascii="Arial" w:hAnsi="Arial"/>
          <w:sz w:val="20"/>
        </w:rPr>
        <w:t xml:space="preserve"> </w:t>
      </w:r>
      <w:r>
        <w:rPr>
          <w:rFonts w:ascii="Arial" w:hAnsi="Arial"/>
          <w:sz w:val="20"/>
        </w:rPr>
        <w:t xml:space="preserve">G ∈ {4, 6, 8, 12}.</w:t>
      </w:r>
      <w:r>
        <w:rPr>
          <w:rFonts w:ascii="Arial" w:hAnsi="Arial"/>
          <w:sz w:val="20"/>
        </w:rPr>
        <w:t xml:space="preserve"> </w:t>
      </w:r>
      <w:r>
        <w:rPr>
          <w:rFonts w:ascii="Arial" w:hAnsi="Arial"/>
          <w:sz w:val="20"/>
        </w:rPr>
        <w:t xml:space="preserve">Results in</w:t>
      </w:r>
      <w:r>
        <w:rPr>
          <w:rFonts w:ascii="Arial" w:hAnsi="Arial"/>
          <w:sz w:val="20"/>
        </w:rPr>
        <w:t xml:space="preserve"> </w:t>
      </w:r>
      <w:r>
        <w:rPr>
          <w:rStyle w:val="VerbatimChar"/>
          <w:rFonts w:ascii="Arial" w:hAnsi="Arial"/>
          <w:sz w:val="20"/>
        </w:rPr>
        <w:t xml:space="preserve">analysis/results/power_curves.csv</w:t>
      </w:r>
      <w:r>
        <w:rPr>
          <w:rFonts w:ascii="Arial" w:hAnsi="Arial"/>
          <w:sz w:val="20"/>
        </w:rPr>
        <w:t xml:space="preserve">; visualisation in</w:t>
      </w:r>
      <w:r>
        <w:rPr>
          <w:rFonts w:ascii="Arial" w:hAnsi="Arial"/>
          <w:sz w:val="20"/>
        </w:rPr>
        <w:t xml:space="preserve"> </w:t>
      </w:r>
      <w:r>
        <w:rPr>
          <w:rFonts w:ascii="Arial" w:hAnsi="Arial"/>
          <w:b/>
          <w:bCs/>
          <w:sz w:val="20"/>
        </w:rPr>
        <w:t xml:space="preserve">Figure 5</w:t>
      </w:r>
      <w:r>
        <w:rPr>
          <w:rFonts w:ascii="Arial" w:hAnsi="Arial"/>
          <w:sz w:val="20"/>
        </w:rPr>
        <w:t xml:space="preserve"> </w:t>
      </w:r>
      <w:r>
        <w:rPr>
          <w:rFonts w:ascii="Arial" w:hAnsi="Arial"/>
          <w:sz w:val="20"/>
        </w:rPr>
        <w:t xml:space="preserve">(</w:t>
      </w:r>
      <w:r>
        <w:rPr>
          <w:rStyle w:val="VerbatimChar"/>
          <w:rFonts w:ascii="Arial" w:hAnsi="Arial"/>
          <w:sz w:val="20"/>
        </w:rPr>
        <w:t xml:space="preserve">figures/fig5_power_curves.pdf</w:t>
      </w:r>
      <w:r>
        <w:rPr>
          <w:rFonts w:ascii="Arial" w:hAnsi="Arial"/>
          <w:sz w:val="20"/>
        </w:rPr>
        <w:t xml:space="preserve">).</w:t>
      </w:r>
    </w:p>
    <w:p>
      <w:pPr>
        <w:pStyle w:val="BodyText"/>
      </w:pPr>
      <w:r>
        <w:rPr>
          <w:rFonts w:ascii="Arial" w:hAnsi="Arial"/>
          <w:sz w:val="20"/>
        </w:rPr>
        <w:t xml:space="preserve">Findings (real-σ simulator):</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8 (this study)</w:t>
      </w:r>
      <w:r>
        <w:rPr>
          <w:rFonts w:ascii="Arial" w:hAnsi="Arial"/>
          <w:sz w:val="20"/>
        </w:rPr>
        <w:t xml:space="preserve">: power 0.80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reached until</w:t>
      </w:r>
      <w:r>
        <w:rPr>
          <w:rFonts w:ascii="Arial" w:hAnsi="Arial"/>
          <w:sz w:val="20"/>
        </w:rPr>
        <w:t xml:space="preserve"> </w:t>
      </w:r>
      <w:r>
        <w:rPr>
          <w:rFonts w:ascii="Arial" w:hAnsi="Arial"/>
          <w:sz w:val="20"/>
        </w:rPr>
        <w:t xml:space="preserve">τ ≈ 60 d — a far larger MDE than the previous synthetic-σ analysis</w:t>
      </w:r>
      <w:r>
        <w:rPr>
          <w:rFonts w:ascii="Arial" w:hAnsi="Arial"/>
          <w:sz w:val="20"/>
        </w:rPr>
        <w:t xml:space="preserve"> </w:t>
      </w:r>
      <w:r>
        <w:rPr>
          <w:rFonts w:ascii="Arial" w:hAnsi="Arial"/>
          <w:sz w:val="20"/>
        </w:rPr>
        <w:t xml:space="preserve">had implied, because the empirical idiosyncratic SD (σ_ε ≈ 31 d) and</w:t>
      </w:r>
      <w:r>
        <w:rPr>
          <w:rFonts w:ascii="Arial" w:hAnsi="Arial"/>
          <w:sz w:val="20"/>
        </w:rPr>
        <w:t xml:space="preserve"> </w:t>
      </w:r>
      <w:r>
        <w:rPr>
          <w:rFonts w:ascii="Arial" w:hAnsi="Arial"/>
          <w:sz w:val="20"/>
        </w:rPr>
        <w:t xml:space="preserve">year-FE SD (σ_t ≈ 42 d) are an order of magnitude larger than the</w:t>
      </w:r>
      <w:r>
        <w:rPr>
          <w:rFonts w:ascii="Arial" w:hAnsi="Arial"/>
          <w:sz w:val="20"/>
        </w:rPr>
        <w:t xml:space="preserve"> </w:t>
      </w:r>
      <w:r>
        <w:rPr>
          <w:rFonts w:ascii="Arial" w:hAnsi="Arial"/>
          <w:sz w:val="20"/>
        </w:rPr>
        <w:t xml:space="preserve">earlier hand-set values. The type-I rate under</w:t>
      </w:r>
      <w:r>
        <w:rPr>
          <w:rFonts w:ascii="Arial" w:hAnsi="Arial"/>
          <w:sz w:val="20"/>
        </w:rPr>
        <w:t xml:space="preserve"> </w:t>
      </w:r>
      <m:oMath>
        <m:sSub>
          <m:e>
            <m:r>
              <m:t>H</m:t>
            </m:r>
          </m:e>
          <m:sub>
            <m:r>
              <m:t>0</m:t>
            </m:r>
          </m:sub>
        </m:sSub>
      </m:oMath>
      <w:r>
        <w:rPr>
          <w:rFonts w:ascii="Arial" w:hAnsi="Arial"/>
          <w:sz w:val="20"/>
        </w:rPr>
        <w:t xml:space="preserve"> </w:t>
      </w:r>
      <w:r>
        <w:rPr>
          <w:rFonts w:ascii="Arial" w:hAnsi="Arial"/>
          <w:sz w:val="20"/>
        </w:rPr>
        <w:t xml:space="preserve">is 0.07</w:t>
      </w:r>
      <w:r>
        <w:rPr>
          <w:rFonts w:ascii="Arial" w:hAnsi="Arial"/>
          <w:sz w:val="20"/>
        </w:rPr>
        <w:t xml:space="preserve"> </w:t>
      </w:r>
      <w:r>
        <w:rPr>
          <w:rFonts w:ascii="Arial" w:hAnsi="Arial"/>
          <w:sz w:val="20"/>
        </w:rPr>
        <w:t xml:space="preserve">(close to nominal 0.05, indicating CR1 with df = G−1 is well-sized).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4 (counterfactual minimum)</w:t>
      </w:r>
      <w:r>
        <w:rPr>
          <w:rFonts w:ascii="Arial" w:hAnsi="Arial"/>
          <w:sz w:val="20"/>
        </w:rPr>
        <w:t xml:space="preserve">: 0.80 power not reached within</w:t>
      </w:r>
      <w:r>
        <w:rPr>
          <w:rFonts w:ascii="Arial" w:hAnsi="Arial"/>
          <w:sz w:val="20"/>
        </w:rPr>
        <w:t xml:space="preserve"> </w:t>
      </w:r>
      <w:r>
        <w:rPr>
          <w:rFonts w:ascii="Arial" w:hAnsi="Arial"/>
          <w:sz w:val="20"/>
        </w:rPr>
        <w:t xml:space="preserve">the τ ≤ 100 d grid.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12 (counterfactual roster)</w:t>
      </w:r>
      <w:r>
        <w:rPr>
          <w:rFonts w:ascii="Arial" w:hAnsi="Arial"/>
          <w:sz w:val="20"/>
        </w:rPr>
        <w:t xml:space="preserve">: 0.80 power reached at</w:t>
      </w:r>
      <w:r>
        <w:rPr>
          <w:rFonts w:ascii="Arial" w:hAnsi="Arial"/>
          <w:sz w:val="20"/>
        </w:rPr>
        <w:t xml:space="preserve"> </w:t>
      </w:r>
      <w:r>
        <w:rPr>
          <w:rFonts w:ascii="Arial" w:hAnsi="Arial"/>
          <w:sz w:val="20"/>
        </w:rPr>
        <w:t xml:space="preserve">τ ≈ 40 d — a useful upper bound for any future replication that</w:t>
      </w:r>
      <w:r>
        <w:rPr>
          <w:rFonts w:ascii="Arial" w:hAnsi="Arial"/>
          <w:sz w:val="20"/>
        </w:rPr>
        <w:t xml:space="preserve"> </w:t>
      </w:r>
      <w:r>
        <w:rPr>
          <w:rFonts w:ascii="Arial" w:hAnsi="Arial"/>
          <w:sz w:val="20"/>
        </w:rPr>
        <w:t xml:space="preserve">pools across state boundaries.</w:t>
      </w:r>
    </w:p>
    <w:p>
      <w:pPr>
        <w:pStyle w:val="BodyText"/>
      </w:pPr>
      <w:r>
        <w:rPr>
          <w:rFonts w:ascii="Arial" w:hAnsi="Arial"/>
          <w:sz w:val="20"/>
        </w:rPr>
        <w:t xml:space="preserve">Implication for the present manuscript: the 15.1 d τ̂_corrected_SOS</w:t>
      </w:r>
      <w:r>
        <w:rPr>
          <w:rFonts w:ascii="Arial" w:hAnsi="Arial"/>
          <w:sz w:val="20"/>
        </w:rPr>
        <w:t xml:space="preserve"> </w:t>
      </w:r>
      <w:r>
        <w:rPr>
          <w:rFonts w:ascii="Arial" w:hAnsi="Arial"/>
          <w:sz w:val="20"/>
        </w:rPr>
        <w:t xml:space="preserve">point estimate is</w:t>
      </w:r>
      <w:r>
        <w:rPr>
          <w:rFonts w:ascii="Arial" w:hAnsi="Arial"/>
          <w:sz w:val="20"/>
        </w:rPr>
        <w:t xml:space="preserve"> </w:t>
      </w:r>
      <w:r>
        <w:rPr>
          <w:rFonts w:ascii="Arial" w:hAnsi="Arial"/>
          <w:b/>
          <w:bCs/>
          <w:sz w:val="20"/>
        </w:rPr>
        <w:t xml:space="preserve">well below</w:t>
      </w:r>
      <w:r>
        <w:rPr>
          <w:rFonts w:ascii="Arial" w:hAnsi="Arial"/>
          <w:sz w:val="20"/>
        </w:rPr>
        <w:t xml:space="preserve"> </w:t>
      </w:r>
      <w:r>
        <w:rPr>
          <w:rFonts w:ascii="Arial" w:hAnsi="Arial"/>
          <w:sz w:val="20"/>
        </w:rPr>
        <w:t xml:space="preserve">the G = 8 / R = 999 MDE of ~60 d, so</w:t>
      </w:r>
      <w:r>
        <w:rPr>
          <w:rFonts w:ascii="Arial" w:hAnsi="Arial"/>
          <w:sz w:val="20"/>
        </w:rPr>
        <w:t xml:space="preserve"> </w:t>
      </w:r>
      <w:r>
        <w:rPr>
          <w:rFonts w:ascii="Arial" w:hAnsi="Arial"/>
          <w:sz w:val="20"/>
        </w:rPr>
        <w:t xml:space="preserve">the non-rejection (p = 0.38, WCR p = 0.41) is</w:t>
      </w:r>
      <w:r>
        <w:rPr>
          <w:rFonts w:ascii="Arial" w:hAnsi="Arial"/>
          <w:sz w:val="20"/>
        </w:rPr>
        <w:t xml:space="preserve"> </w:t>
      </w:r>
      <w:r>
        <w:rPr>
          <w:rFonts w:ascii="Arial" w:hAnsi="Arial"/>
          <w:b/>
          <w:bCs/>
          <w:sz w:val="20"/>
        </w:rPr>
        <w:t xml:space="preserve">inferentially expected</w:t>
      </w:r>
      <w:r>
        <w:rPr>
          <w:rFonts w:ascii="Arial" w:hAnsi="Arial"/>
          <w:sz w:val="20"/>
        </w:rPr>
        <w:t xml:space="preserve"> </w:t>
      </w:r>
      <w:r>
        <w:rPr>
          <w:rFonts w:ascii="Arial" w:hAnsi="Arial"/>
          <w:sz w:val="20"/>
        </w:rPr>
        <w:t xml:space="preserve">rather than evidence against an underlying effect. This is the central</w:t>
      </w:r>
      <w:r>
        <w:rPr>
          <w:rFonts w:ascii="Arial" w:hAnsi="Arial"/>
          <w:sz w:val="20"/>
        </w:rPr>
        <w:t xml:space="preserve"> </w:t>
      </w:r>
      <w:r>
        <w:rPr>
          <w:rFonts w:ascii="Arial" w:hAnsi="Arial"/>
          <w:sz w:val="20"/>
        </w:rPr>
        <w:t xml:space="preserve">rationale for our re-framing of v2.1 as a transparent null with</w:t>
      </w:r>
      <w:r>
        <w:rPr>
          <w:rFonts w:ascii="Arial" w:hAnsi="Arial"/>
          <w:sz w:val="20"/>
        </w:rPr>
        <w:t xml:space="preserve"> </w:t>
      </w:r>
      <w:r>
        <w:rPr>
          <w:rFonts w:ascii="Arial" w:hAnsi="Arial"/>
          <w:sz w:val="20"/>
        </w:rPr>
        <w:t xml:space="preserve">pre-registered exploratory mechanisms, rather than a confirmatory test</w:t>
      </w:r>
      <w:r>
        <w:rPr>
          <w:rFonts w:ascii="Arial" w:hAnsi="Arial"/>
          <w:sz w:val="20"/>
        </w:rPr>
        <w:t xml:space="preserve"> </w:t>
      </w:r>
      <w:r>
        <w:rPr>
          <w:rFonts w:ascii="Arial" w:hAnsi="Arial"/>
          <w:sz w:val="20"/>
        </w:rPr>
        <w:t xml:space="preserve">of Δ SOS.</w:t>
      </w:r>
    </w:p>
    <w:bookmarkEnd w:id="21"/>
    <w:bookmarkStart w:id="22" w:name="y.4.3-what-this-analysis-does-not-claim"/>
    <w:p>
      <w:pPr>
        <w:pStyle w:val="Heading2"/>
      </w:pPr>
      <w:r>
        <w:rPr>
          <w:rFonts w:ascii="Arial" w:hAnsi="Arial"/>
        </w:rPr>
        <w:t xml:space="preserve">3.Y.4.3 What this analysis does not claim</w:t>
      </w:r>
    </w:p>
    <w:p>
      <w:pPr>
        <w:pStyle w:val="Compact"/>
        <w:numPr>
          <w:ilvl w:val="0"/>
          <w:numId w:val="1001"/>
        </w:numPr>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retroactively justify the p-values; it only describes</w:t>
      </w:r>
      <w:r>
        <w:rPr>
          <w:rFonts w:ascii="Arial" w:hAnsi="Arial"/>
          <w:sz w:val="20"/>
        </w:rPr>
        <w:t xml:space="preserve"> </w:t>
      </w:r>
      <w:r>
        <w:rPr>
          <w:rFonts w:ascii="Arial" w:hAnsi="Arial"/>
          <w:sz w:val="20"/>
        </w:rPr>
        <w:t xml:space="preserve">what the design could have detected.</w:t>
      </w:r>
    </w:p>
    <w:p>
      <w:pPr>
        <w:pStyle w:val="Compact"/>
        <w:numPr>
          <w:ilvl w:val="0"/>
          <w:numId w:val="1001"/>
        </w:numPr>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substitute for replication. The corrected/EOS cell is</w:t>
      </w:r>
      <w:r>
        <w:rPr>
          <w:rFonts w:ascii="Arial" w:hAnsi="Arial"/>
          <w:sz w:val="20"/>
        </w:rPr>
        <w:t xml:space="preserve"> </w:t>
      </w:r>
      <w:r>
        <w:rPr>
          <w:rFonts w:ascii="Arial" w:hAnsi="Arial"/>
          <w:sz w:val="20"/>
        </w:rPr>
        <w:t xml:space="preserve">reported as null both by inference and by power analysis; future work</w:t>
      </w:r>
      <w:r>
        <w:rPr>
          <w:rFonts w:ascii="Arial" w:hAnsi="Arial"/>
          <w:sz w:val="20"/>
        </w:rPr>
        <w:t xml:space="preserve"> </w:t>
      </w:r>
      <w:r>
        <w:rPr>
          <w:rFonts w:ascii="Arial" w:hAnsi="Arial"/>
          <w:sz w:val="20"/>
        </w:rPr>
        <w:t xml:space="preserve">with a longer time series or additional districts could revisit it.</w:t>
      </w:r>
    </w:p>
    <w:p>
      <w:pPr>
        <w:pStyle w:val="Compact"/>
        <w:numPr>
          <w:ilvl w:val="0"/>
          <w:numId w:val="1001"/>
        </w:numPr>
      </w:pPr>
      <w:r>
        <w:rPr>
          <w:rFonts w:ascii="Arial" w:hAnsi="Arial"/>
          <w:sz w:val="20"/>
        </w:rPr>
        <w:t xml:space="preserve">The variance components used here are</w:t>
      </w:r>
      <w:r>
        <w:rPr>
          <w:rFonts w:ascii="Arial" w:hAnsi="Arial"/>
          <w:sz w:val="20"/>
        </w:rPr>
        <w:t xml:space="preserve"> </w:t>
      </w:r>
      <w:r>
        <w:rPr>
          <w:rFonts w:ascii="Arial" w:hAnsi="Arial"/>
          <w:b/>
          <w:bCs/>
          <w:sz w:val="20"/>
        </w:rPr>
        <w:t xml:space="preserve">empirical point estimates</w:t>
      </w:r>
      <w:r>
        <w:rPr>
          <w:rFonts w:ascii="Arial" w:hAnsi="Arial"/>
          <w:sz w:val="20"/>
        </w:rPr>
        <w:t xml:space="preserve"> </w:t>
      </w:r>
      <w:r>
        <w:rPr>
          <w:rFonts w:ascii="Arial" w:hAnsi="Arial"/>
          <w:sz w:val="20"/>
        </w:rPr>
        <w:t xml:space="preserve">from the real v2.1 corrected-SOS panel (Module 17); sensitivity to</w:t>
      </w:r>
      <w:r>
        <w:rPr>
          <w:rFonts w:ascii="Arial" w:hAnsi="Arial"/>
          <w:sz w:val="20"/>
        </w:rPr>
        <w:t xml:space="preserve"> </w:t>
      </w:r>
      <w:r>
        <w:rPr>
          <w:rFonts w:ascii="Arial" w:hAnsi="Arial"/>
          <w:sz w:val="20"/>
        </w:rPr>
        <w:t xml:space="preserve">±50 % perturbations of σ_u, σ_t, σ_ε remains a future extension via</w:t>
      </w:r>
      <w:r>
        <w:rPr>
          <w:rFonts w:ascii="Arial" w:hAnsi="Arial"/>
          <w:sz w:val="20"/>
        </w:rPr>
        <w:t xml:space="preserve"> </w:t>
      </w:r>
      <w:r>
        <w:rPr>
          <w:rStyle w:val="VerbatimChar"/>
          <w:rFonts w:ascii="Arial" w:hAnsi="Arial"/>
          <w:sz w:val="20"/>
        </w:rPr>
        <w:t xml:space="preserve">python3 09_power_analysis.py --sensitivity</w:t>
      </w:r>
      <w:r>
        <w:rPr>
          <w:rFonts w:ascii="Arial" w:hAnsi="Arial"/>
          <w:sz w:val="20"/>
        </w:rPr>
        <w:t xml:space="preserve">.</w:t>
      </w:r>
    </w:p>
    <w:p>
      <w:r>
        <w:rPr>
          <w:rFonts w:ascii="Arial" w:hAnsi="Arial"/>
          <w:sz w:val="20"/>
        </w:rPr>
        <w:pict>
          <v:rect style="width:0;height:1.5pt" o:hralign="center" o:hrstd="t" o:hr="t"/>
        </w:pict>
      </w:r>
    </w:p>
    <w:p>
      <w:pPr>
        <w:pStyle w:val="FirstParagraph"/>
      </w:pPr>
      <w:r>
        <w:rPr>
          <w:rFonts w:ascii="Arial" w:hAnsi="Arial"/>
          <w:b/>
          <w:bCs/>
          <w:sz w:val="20"/>
        </w:rPr>
        <w:t xml:space="preserve">Reference</w:t>
      </w:r>
      <w:r>
        <w:rPr>
          <w:rFonts w:ascii="Arial" w:hAnsi="Arial"/>
          <w:sz w:val="20"/>
        </w:rPr>
        <w:t xml:space="preserve">: Donald, S. G., &amp; Lang, K. (2007). Inference with</w:t>
      </w:r>
      <w:r>
        <w:rPr>
          <w:rFonts w:ascii="Arial" w:hAnsi="Arial"/>
          <w:sz w:val="20"/>
        </w:rPr>
        <w:t xml:space="preserve"> </w:t>
      </w:r>
      <w:r>
        <w:rPr>
          <w:rFonts w:ascii="Arial" w:hAnsi="Arial"/>
          <w:sz w:val="20"/>
        </w:rPr>
        <w:t xml:space="preserve">difference-in-differences and other panel data.</w:t>
      </w:r>
      <w:r>
        <w:rPr>
          <w:rFonts w:ascii="Arial" w:hAnsi="Arial"/>
          <w:sz w:val="20"/>
        </w:rPr>
        <w:t xml:space="preserve"> </w:t>
      </w:r>
      <w:r>
        <w:rPr>
          <w:rFonts w:ascii="Arial" w:hAnsi="Arial"/>
          <w:i/>
          <w:iCs/>
          <w:sz w:val="20"/>
        </w:rPr>
        <w:t xml:space="preserve">Review of Economics</w:t>
      </w:r>
      <w:r>
        <w:rPr>
          <w:rFonts w:ascii="Arial" w:hAnsi="Arial"/>
          <w:i/>
          <w:iCs/>
          <w:sz w:val="20"/>
        </w:rPr>
        <w:t xml:space="preserve"> </w:t>
      </w:r>
      <w:r>
        <w:rPr>
          <w:rFonts w:ascii="Arial" w:hAnsi="Arial"/>
          <w:i/>
          <w:iCs/>
          <w:sz w:val="20"/>
        </w:rPr>
        <w:t xml:space="preserve">and Statistics</w:t>
      </w:r>
      <w:r>
        <w:rPr>
          <w:rFonts w:ascii="Arial" w:hAnsi="Arial"/>
          <w:sz w:val="20"/>
        </w:rPr>
        <w:t xml:space="preserve">, 89(2), 221–233.</w:t>
      </w:r>
    </w:p>
    <w:bookmarkEnd w:id="22"/>
    <w:bookmarkEnd w:id="23"/>
    <w:p>
      <w:r>
        <w:rPr>
          <w:rFonts w:ascii="Arial" w:hAnsi="Arial"/>
          <w:sz w:val="20"/>
        </w:rPr>
        <w:br w:type="page"/>
      </w:r>
    </w:p>
    <w:p>
      <w:pPr>
        <w:keepNext/>
        <w:spacing w:before="240" w:after="120"/>
      </w:pPr>
      <w:bookmarkStart w:id="1078" w:name="table_s1"/>
      <w:r>
        <w:rPr>
          <w:rFonts w:ascii="Arial" w:hAnsi="Arial"/>
          <w:b/>
          <w:color w:val="1F3A5F"/>
          <w:sz w:val="32"/>
        </w:rPr>
        <w:t>Table S1 — Static TWFE-DiD point estimates</w:t>
      </w:r>
      <w:bookmarkEnd w:id="1078"/>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67470" w:name="table_s2"/>
      <w:r>
        <w:rPr>
          <w:rFonts w:ascii="Arial" w:hAnsi="Arial"/>
          <w:b/>
          <w:color w:val="1F3A5F"/>
          <w:sz w:val="32"/>
        </w:rPr>
        <w:t>Table S2 — Pre-trend tests</w:t>
      </w:r>
      <w:bookmarkEnd w:id="67470"/>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65899" w:name="table_s3"/>
      <w:r>
        <w:rPr>
          <w:rFonts w:ascii="Arial" w:hAnsi="Arial"/>
          <w:b/>
          <w:color w:val="1F3A5F"/>
          <w:sz w:val="32"/>
        </w:rPr>
        <w:t>Table S3 — Bulbul transferability residuals</w:t>
      </w:r>
      <w:bookmarkEnd w:id="65899"/>
    </w:p>
    <w:p>
      <w:r>
        <w:rPr>
          <w:rFonts w:ascii="Arial" w:hAnsi="Arial"/>
          <w:b/>
          <w:sz w:val="22"/>
        </w:rPr>
        <w:t>Table S3. Cyclone Bulbul (November 2019) transferability probe — real-data v2.1 corrected pipeline.</w:t>
      </w:r>
    </w:p>
    <w:p>
      <w:r>
        <w:rPr>
          <w:rFonts w:ascii="Arial" w:hAnsi="Arial"/>
          <w:i/>
          <w:sz w:val="19"/>
        </w:rPr>
        <w:t>Per-district observed SOS shift relative to the within-district 2017–2018 baseline ($\Delta_{\mathrm{obs},d}$), plug-in prediction $\hat\tau_{\mathrm{corrected,SOS}} = +15.108$ d (SE = 17.312 d, district-clustered), and transferability residual $r_d$. The 95% prediction interval combines the TWFE clustered SE with the empirical idiosyncratic SD of the probe-baseline SOS ($\hat\sigma = 19.88$ d), yielding PI$_{95}$ = [-36.57, +66.78] d. Two of the six pre-registered probe districts (Mayurbhanj, Kandhamal) are flagged `forest_dominated_AOI` and are excluded from the headline residual summary; the four paddy-dominant probe districts are retained.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rFonts w:ascii="Arial" w:hAnsi="Arial"/>
                <w:b/>
                <w:sz w:val="19"/>
              </w:rPr>
              <w:t>District</w:t>
            </w:r>
          </w:p>
        </w:tc>
        <w:tc>
          <w:tcPr>
            <w:tcW w:type="dxa" w:w="1108"/>
          </w:tcPr>
          <w:p>
            <w:r>
              <w:rPr>
                <w:rFonts w:ascii="Arial" w:hAnsi="Arial"/>
                <w:b/>
                <w:sz w:val="19"/>
              </w:rPr>
              <w:t>Exposure</w:t>
            </w:r>
          </w:p>
        </w:tc>
        <w:tc>
          <w:tcPr>
            <w:tcW w:type="dxa" w:w="1108"/>
          </w:tcPr>
          <w:p>
            <w:r>
              <w:rPr>
                <w:rFonts w:ascii="Arial" w:hAnsi="Arial"/>
                <w:b/>
                <w:sz w:val="19"/>
              </w:rPr>
              <w:t>SOS baseline (DOY)</w:t>
            </w:r>
          </w:p>
        </w:tc>
        <w:tc>
          <w:tcPr>
            <w:tcW w:type="dxa" w:w="1108"/>
          </w:tcPr>
          <w:p>
            <w:r>
              <w:rPr>
                <w:rFonts w:ascii="Arial" w:hAnsi="Arial"/>
                <w:b/>
                <w:sz w:val="19"/>
              </w:rPr>
              <w:t>SOS ′2020 (DOY)</w:t>
            </w:r>
          </w:p>
        </w:tc>
        <w:tc>
          <w:tcPr>
            <w:tcW w:type="dxa" w:w="1108"/>
          </w:tcPr>
          <w:p>
            <w:r>
              <w:rPr>
                <w:rFonts w:ascii="Arial" w:hAnsi="Arial"/>
                <w:b/>
                <w:sz w:val="19"/>
              </w:rPr>
              <w:t>Δ obs (d)</w:t>
            </w:r>
          </w:p>
        </w:tc>
        <w:tc>
          <w:tcPr>
            <w:tcW w:type="dxa" w:w="1108"/>
          </w:tcPr>
          <w:p>
            <w:r>
              <w:rPr>
                <w:rFonts w:ascii="Arial" w:hAnsi="Arial"/>
                <w:b/>
                <w:sz w:val="19"/>
              </w:rPr>
              <w:t>τ̂ plug-in (d)</w:t>
            </w:r>
          </w:p>
        </w:tc>
        <w:tc>
          <w:tcPr>
            <w:tcW w:type="dxa" w:w="1108"/>
          </w:tcPr>
          <w:p>
            <w:r>
              <w:rPr>
                <w:rFonts w:ascii="Arial" w:hAnsi="Arial"/>
                <w:b/>
                <w:sz w:val="19"/>
              </w:rPr>
              <w:t>r_d (d)</w:t>
            </w:r>
          </w:p>
        </w:tc>
        <w:tc>
          <w:tcPr>
            <w:tcW w:type="dxa" w:w="1108"/>
          </w:tcPr>
          <w:p>
            <w:r>
              <w:rPr>
                <w:rFonts w:ascii="Arial" w:hAnsi="Arial"/>
                <w:b/>
                <w:sz w:val="19"/>
              </w:rPr>
              <w:t>Inside 95% PI?</w:t>
            </w:r>
          </w:p>
        </w:tc>
        <w:tc>
          <w:tcPr>
            <w:tcW w:type="dxa" w:w="1108"/>
          </w:tcPr>
          <w:p>
            <w:r>
              <w:rPr>
                <w:rFonts w:ascii="Arial" w:hAnsi="Arial"/>
                <w:b/>
                <w:sz w:val="19"/>
              </w:rPr>
              <w:t>AOI flag</w:t>
            </w:r>
          </w:p>
        </w:tc>
      </w:tr>
      <w:tr>
        <w:tc>
          <w:tcPr>
            <w:tcW w:type="dxa" w:w="1108"/>
          </w:tcPr>
          <w:p>
            <w:r>
              <w:rPr>
                <w:rFonts w:ascii="Arial" w:hAnsi="Arial"/>
                <w:sz w:val="19"/>
              </w:rPr>
              <w:t>Boudh</w:t>
            </w:r>
          </w:p>
        </w:tc>
        <w:tc>
          <w:tcPr>
            <w:tcW w:type="dxa" w:w="1108"/>
          </w:tcPr>
          <w:p>
            <w:r>
              <w:rPr>
                <w:rFonts w:ascii="Arial" w:hAnsi="Arial"/>
                <w:sz w:val="19"/>
              </w:rPr>
              <w:t>inland_rainfall</w:t>
            </w:r>
          </w:p>
        </w:tc>
        <w:tc>
          <w:tcPr>
            <w:tcW w:type="dxa" w:w="1108"/>
          </w:tcPr>
          <w:p>
            <w:r>
              <w:rPr>
                <w:rFonts w:ascii="Arial" w:hAnsi="Arial"/>
                <w:sz w:val="19"/>
              </w:rPr>
              <w:t>169.4</w:t>
            </w:r>
          </w:p>
        </w:tc>
        <w:tc>
          <w:tcPr>
            <w:tcW w:type="dxa" w:w="1108"/>
          </w:tcPr>
          <w:p>
            <w:r>
              <w:rPr>
                <w:rFonts w:ascii="Arial" w:hAnsi="Arial"/>
                <w:sz w:val="19"/>
              </w:rPr>
              <w:t>176.4</w:t>
            </w:r>
          </w:p>
        </w:tc>
        <w:tc>
          <w:tcPr>
            <w:tcW w:type="dxa" w:w="1108"/>
          </w:tcPr>
          <w:p>
            <w:r>
              <w:rPr>
                <w:rFonts w:ascii="Arial" w:hAnsi="Arial"/>
                <w:sz w:val="19"/>
              </w:rPr>
              <w:t>+7.00</w:t>
            </w:r>
          </w:p>
        </w:tc>
        <w:tc>
          <w:tcPr>
            <w:tcW w:type="dxa" w:w="1108"/>
          </w:tcPr>
          <w:p>
            <w:r>
              <w:rPr>
                <w:rFonts w:ascii="Arial" w:hAnsi="Arial"/>
                <w:sz w:val="19"/>
              </w:rPr>
              <w:t>+15.108</w:t>
            </w:r>
          </w:p>
        </w:tc>
        <w:tc>
          <w:tcPr>
            <w:tcW w:type="dxa" w:w="1108"/>
          </w:tcPr>
          <w:p>
            <w:r>
              <w:rPr>
                <w:rFonts w:ascii="Arial" w:hAnsi="Arial"/>
                <w:sz w:val="19"/>
              </w:rPr>
              <w:t>-8.11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Ganjam</w:t>
            </w:r>
          </w:p>
        </w:tc>
        <w:tc>
          <w:tcPr>
            <w:tcW w:type="dxa" w:w="1108"/>
          </w:tcPr>
          <w:p>
            <w:r>
              <w:rPr>
                <w:rFonts w:ascii="Arial" w:hAnsi="Arial"/>
                <w:sz w:val="19"/>
              </w:rPr>
              <w:t>coastal_rainfall</w:t>
            </w:r>
          </w:p>
        </w:tc>
        <w:tc>
          <w:tcPr>
            <w:tcW w:type="dxa" w:w="1108"/>
          </w:tcPr>
          <w:p>
            <w:r>
              <w:rPr>
                <w:rFonts w:ascii="Arial" w:hAnsi="Arial"/>
                <w:sz w:val="19"/>
              </w:rPr>
              <w:t>184.4</w:t>
            </w:r>
          </w:p>
        </w:tc>
        <w:tc>
          <w:tcPr>
            <w:tcW w:type="dxa" w:w="1108"/>
          </w:tcPr>
          <w:p>
            <w:r>
              <w:rPr>
                <w:rFonts w:ascii="Arial" w:hAnsi="Arial"/>
                <w:sz w:val="19"/>
              </w:rPr>
              <w:t>198.3</w:t>
            </w:r>
          </w:p>
        </w:tc>
        <w:tc>
          <w:tcPr>
            <w:tcW w:type="dxa" w:w="1108"/>
          </w:tcPr>
          <w:p>
            <w:r>
              <w:rPr>
                <w:rFonts w:ascii="Arial" w:hAnsi="Arial"/>
                <w:sz w:val="19"/>
              </w:rPr>
              <w:t>+14.00</w:t>
            </w:r>
          </w:p>
        </w:tc>
        <w:tc>
          <w:tcPr>
            <w:tcW w:type="dxa" w:w="1108"/>
          </w:tcPr>
          <w:p>
            <w:r>
              <w:rPr>
                <w:rFonts w:ascii="Arial" w:hAnsi="Arial"/>
                <w:sz w:val="19"/>
              </w:rPr>
              <w:t>+15.108</w:t>
            </w:r>
          </w:p>
        </w:tc>
        <w:tc>
          <w:tcPr>
            <w:tcW w:type="dxa" w:w="1108"/>
          </w:tcPr>
          <w:p>
            <w:r>
              <w:rPr>
                <w:rFonts w:ascii="Arial" w:hAnsi="Arial"/>
                <w:sz w:val="19"/>
              </w:rPr>
              <w:t>-1.11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Kandhamal</w:t>
            </w:r>
          </w:p>
        </w:tc>
        <w:tc>
          <w:tcPr>
            <w:tcW w:type="dxa" w:w="1108"/>
          </w:tcPr>
          <w:p>
            <w:r>
              <w:rPr>
                <w:rFonts w:ascii="Arial" w:hAnsi="Arial"/>
                <w:sz w:val="19"/>
              </w:rPr>
              <w:t>inland_rainfall</w:t>
            </w:r>
          </w:p>
        </w:tc>
        <w:tc>
          <w:tcPr>
            <w:tcW w:type="dxa" w:w="1108"/>
          </w:tcPr>
          <w:p>
            <w:r>
              <w:rPr>
                <w:rFonts w:ascii="Arial" w:hAnsi="Arial"/>
                <w:sz w:val="19"/>
              </w:rPr>
              <w:t>151.0</w:t>
            </w:r>
          </w:p>
        </w:tc>
        <w:tc>
          <w:tcPr>
            <w:tcW w:type="dxa" w:w="1108"/>
          </w:tcPr>
          <w:p>
            <w:r>
              <w:rPr>
                <w:rFonts w:ascii="Arial" w:hAnsi="Arial"/>
                <w:sz w:val="19"/>
              </w:rPr>
              <w:t>206.4</w:t>
            </w:r>
          </w:p>
        </w:tc>
        <w:tc>
          <w:tcPr>
            <w:tcW w:type="dxa" w:w="1108"/>
          </w:tcPr>
          <w:p>
            <w:r>
              <w:rPr>
                <w:rFonts w:ascii="Arial" w:hAnsi="Arial"/>
                <w:sz w:val="19"/>
              </w:rPr>
              <w:t>+55.50</w:t>
            </w:r>
          </w:p>
        </w:tc>
        <w:tc>
          <w:tcPr>
            <w:tcW w:type="dxa" w:w="1108"/>
          </w:tcPr>
          <w:p>
            <w:r>
              <w:rPr>
                <w:rFonts w:ascii="Arial" w:hAnsi="Arial"/>
                <w:sz w:val="19"/>
              </w:rPr>
              <w:t>+15.108</w:t>
            </w:r>
          </w:p>
        </w:tc>
        <w:tc>
          <w:tcPr>
            <w:tcW w:type="dxa" w:w="1108"/>
          </w:tcPr>
          <w:p>
            <w:r>
              <w:rPr>
                <w:rFonts w:ascii="Arial" w:hAnsi="Arial"/>
                <w:sz w:val="19"/>
              </w:rPr>
              <w:t>+40.39</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Khordha</w:t>
            </w:r>
          </w:p>
        </w:tc>
        <w:tc>
          <w:tcPr>
            <w:tcW w:type="dxa" w:w="1108"/>
          </w:tcPr>
          <w:p>
            <w:r>
              <w:rPr>
                <w:rFonts w:ascii="Arial" w:hAnsi="Arial"/>
                <w:sz w:val="19"/>
              </w:rPr>
              <w:t>coastal_rainfall</w:t>
            </w:r>
          </w:p>
        </w:tc>
        <w:tc>
          <w:tcPr>
            <w:tcW w:type="dxa" w:w="1108"/>
          </w:tcPr>
          <w:p>
            <w:r>
              <w:rPr>
                <w:rFonts w:ascii="Arial" w:hAnsi="Arial"/>
                <w:sz w:val="19"/>
              </w:rPr>
              <w:t>141.7</w:t>
            </w:r>
          </w:p>
        </w:tc>
        <w:tc>
          <w:tcPr>
            <w:tcW w:type="dxa" w:w="1108"/>
          </w:tcPr>
          <w:p>
            <w:r>
              <w:rPr>
                <w:rFonts w:ascii="Arial" w:hAnsi="Arial"/>
                <w:sz w:val="19"/>
              </w:rPr>
              <w:t>179.3</w:t>
            </w:r>
          </w:p>
        </w:tc>
        <w:tc>
          <w:tcPr>
            <w:tcW w:type="dxa" w:w="1108"/>
          </w:tcPr>
          <w:p>
            <w:r>
              <w:rPr>
                <w:rFonts w:ascii="Arial" w:hAnsi="Arial"/>
                <w:sz w:val="19"/>
              </w:rPr>
              <w:t>+37.60</w:t>
            </w:r>
          </w:p>
        </w:tc>
        <w:tc>
          <w:tcPr>
            <w:tcW w:type="dxa" w:w="1108"/>
          </w:tcPr>
          <w:p>
            <w:r>
              <w:rPr>
                <w:rFonts w:ascii="Arial" w:hAnsi="Arial"/>
                <w:sz w:val="19"/>
              </w:rPr>
              <w:t>+15.108</w:t>
            </w:r>
          </w:p>
        </w:tc>
        <w:tc>
          <w:tcPr>
            <w:tcW w:type="dxa" w:w="1108"/>
          </w:tcPr>
          <w:p>
            <w:r>
              <w:rPr>
                <w:rFonts w:ascii="Arial" w:hAnsi="Arial"/>
                <w:sz w:val="19"/>
              </w:rPr>
              <w:t>+22.49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Mayurbhanj</w:t>
            </w:r>
          </w:p>
        </w:tc>
        <w:tc>
          <w:tcPr>
            <w:tcW w:type="dxa" w:w="1108"/>
          </w:tcPr>
          <w:p>
            <w:r>
              <w:rPr>
                <w:rFonts w:ascii="Arial" w:hAnsi="Arial"/>
                <w:sz w:val="19"/>
              </w:rPr>
              <w:t>coastal_rainfall</w:t>
            </w:r>
          </w:p>
        </w:tc>
        <w:tc>
          <w:tcPr>
            <w:tcW w:type="dxa" w:w="1108"/>
          </w:tcPr>
          <w:p>
            <w:r>
              <w:rPr>
                <w:rFonts w:ascii="Arial" w:hAnsi="Arial"/>
                <w:sz w:val="19"/>
              </w:rPr>
              <w:t>126.5</w:t>
            </w:r>
          </w:p>
        </w:tc>
        <w:tc>
          <w:tcPr>
            <w:tcW w:type="dxa" w:w="1108"/>
          </w:tcPr>
          <w:p>
            <w:r>
              <w:rPr>
                <w:rFonts w:ascii="Arial" w:hAnsi="Arial"/>
                <w:sz w:val="19"/>
              </w:rPr>
              <w:t>121.0</w:t>
            </w:r>
          </w:p>
        </w:tc>
        <w:tc>
          <w:tcPr>
            <w:tcW w:type="dxa" w:w="1108"/>
          </w:tcPr>
          <w:p>
            <w:r>
              <w:rPr>
                <w:rFonts w:ascii="Arial" w:hAnsi="Arial"/>
                <w:sz w:val="19"/>
              </w:rPr>
              <w:t>-5.50</w:t>
            </w:r>
          </w:p>
        </w:tc>
        <w:tc>
          <w:tcPr>
            <w:tcW w:type="dxa" w:w="1108"/>
          </w:tcPr>
          <w:p>
            <w:r>
              <w:rPr>
                <w:rFonts w:ascii="Arial" w:hAnsi="Arial"/>
                <w:sz w:val="19"/>
              </w:rPr>
              <w:t>+15.108</w:t>
            </w:r>
          </w:p>
        </w:tc>
        <w:tc>
          <w:tcPr>
            <w:tcW w:type="dxa" w:w="1108"/>
          </w:tcPr>
          <w:p>
            <w:r>
              <w:rPr>
                <w:rFonts w:ascii="Arial" w:hAnsi="Arial"/>
                <w:sz w:val="19"/>
              </w:rPr>
              <w:t>-20.61</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Nayagarh</w:t>
            </w:r>
          </w:p>
        </w:tc>
        <w:tc>
          <w:tcPr>
            <w:tcW w:type="dxa" w:w="1108"/>
          </w:tcPr>
          <w:p>
            <w:r>
              <w:rPr>
                <w:rFonts w:ascii="Arial" w:hAnsi="Arial"/>
                <w:sz w:val="19"/>
              </w:rPr>
              <w:t>inland_rainfall</w:t>
            </w:r>
          </w:p>
        </w:tc>
        <w:tc>
          <w:tcPr>
            <w:tcW w:type="dxa" w:w="1108"/>
          </w:tcPr>
          <w:p>
            <w:r>
              <w:rPr>
                <w:rFonts w:ascii="Arial" w:hAnsi="Arial"/>
                <w:sz w:val="19"/>
              </w:rPr>
              <w:t>147.0</w:t>
            </w:r>
          </w:p>
        </w:tc>
        <w:tc>
          <w:tcPr>
            <w:tcW w:type="dxa" w:w="1108"/>
          </w:tcPr>
          <w:p>
            <w:r>
              <w:rPr>
                <w:rFonts w:ascii="Arial" w:hAnsi="Arial"/>
                <w:sz w:val="19"/>
              </w:rPr>
              <w:t>175.1</w:t>
            </w:r>
          </w:p>
        </w:tc>
        <w:tc>
          <w:tcPr>
            <w:tcW w:type="dxa" w:w="1108"/>
          </w:tcPr>
          <w:p>
            <w:r>
              <w:rPr>
                <w:rFonts w:ascii="Arial" w:hAnsi="Arial"/>
                <w:sz w:val="19"/>
              </w:rPr>
              <w:t>+28.10</w:t>
            </w:r>
          </w:p>
        </w:tc>
        <w:tc>
          <w:tcPr>
            <w:tcW w:type="dxa" w:w="1108"/>
          </w:tcPr>
          <w:p>
            <w:r>
              <w:rPr>
                <w:rFonts w:ascii="Arial" w:hAnsi="Arial"/>
                <w:sz w:val="19"/>
              </w:rPr>
              <w:t>+15.108</w:t>
            </w:r>
          </w:p>
        </w:tc>
        <w:tc>
          <w:tcPr>
            <w:tcW w:type="dxa" w:w="1108"/>
          </w:tcPr>
          <w:p>
            <w:r>
              <w:rPr>
                <w:rFonts w:ascii="Arial" w:hAnsi="Arial"/>
                <w:sz w:val="19"/>
              </w:rPr>
              <w:t>+12.99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b/>
                <w:sz w:val="19"/>
              </w:rPr>
              <w:t>Mean (paddy-dominant, n = 4)</w:t>
            </w:r>
          </w:p>
        </w:tc>
        <w:tc>
          <w:tcPr>
            <w:tcW w:type="dxa" w:w="1108"/>
          </w:tcPr>
          <w:p>
            <w:r>
              <w:rPr>
                <w:rFonts w:ascii="Arial" w:hAnsi="Arial"/>
                <w:b/>
                <w:sz w:val="19"/>
              </w:rPr>
            </w:r>
          </w:p>
        </w:tc>
        <w:tc>
          <w:tcPr>
            <w:tcW w:type="dxa" w:w="1108"/>
          </w:tcPr>
          <w:p>
            <w:r>
              <w:rPr>
                <w:rFonts w:ascii="Arial" w:hAnsi="Arial"/>
                <w:b/>
                <w:sz w:val="19"/>
              </w:rPr>
              <w:t>160.6</w:t>
            </w:r>
          </w:p>
        </w:tc>
        <w:tc>
          <w:tcPr>
            <w:tcW w:type="dxa" w:w="1108"/>
          </w:tcPr>
          <w:p>
            <w:r>
              <w:rPr>
                <w:rFonts w:ascii="Arial" w:hAnsi="Arial"/>
                <w:b/>
                <w:sz w:val="19"/>
              </w:rPr>
              <w:t>182.3</w:t>
            </w:r>
          </w:p>
        </w:tc>
        <w:tc>
          <w:tcPr>
            <w:tcW w:type="dxa" w:w="1108"/>
          </w:tcPr>
          <w:p>
            <w:r>
              <w:rPr>
                <w:rFonts w:ascii="Arial" w:hAnsi="Arial"/>
                <w:b/>
                <w:sz w:val="19"/>
              </w:rPr>
              <w:t>+21.68</w:t>
            </w:r>
          </w:p>
        </w:tc>
        <w:tc>
          <w:tcPr>
            <w:tcW w:type="dxa" w:w="1108"/>
          </w:tcPr>
          <w:p>
            <w:r>
              <w:rPr>
                <w:rFonts w:ascii="Arial" w:hAnsi="Arial"/>
                <w:b/>
                <w:sz w:val="19"/>
              </w:rPr>
              <w:t>+15.108</w:t>
            </w:r>
          </w:p>
        </w:tc>
        <w:tc>
          <w:tcPr>
            <w:tcW w:type="dxa" w:w="1108"/>
          </w:tcPr>
          <w:p>
            <w:r>
              <w:rPr>
                <w:rFonts w:ascii="Arial" w:hAnsi="Arial"/>
                <w:b/>
                <w:sz w:val="19"/>
              </w:rPr>
              <w:t>+6.56</w:t>
            </w:r>
          </w:p>
        </w:tc>
        <w:tc>
          <w:tcPr>
            <w:tcW w:type="dxa" w:w="1108"/>
          </w:tcPr>
          <w:p>
            <w:r>
              <w:rPr>
                <w:rFonts w:ascii="Arial" w:hAnsi="Arial"/>
                <w:b/>
                <w:sz w:val="19"/>
              </w:rPr>
              <w:t>4 / 4</w:t>
            </w:r>
          </w:p>
        </w:tc>
        <w:tc>
          <w:tcPr>
            <w:tcW w:type="dxa" w:w="1108"/>
          </w:tcPr>
          <w:p>
            <w:r>
              <w:rPr>
                <w:rFonts w:ascii="Arial" w:hAnsi="Arial"/>
                <w:b/>
                <w:sz w:val="19"/>
              </w:rPr>
              <w:t>n/a</w:t>
            </w:r>
          </w:p>
        </w:tc>
      </w:tr>
      <w:tr>
        <w:tc>
          <w:tcPr>
            <w:tcW w:type="dxa" w:w="1108"/>
          </w:tcPr>
          <w:p>
            <w:r>
              <w:rPr>
                <w:rFonts w:ascii="Arial" w:hAnsi="Arial"/>
                <w:b/>
                <w:sz w:val="19"/>
              </w:rPr>
              <w:t>Range (paddy-dominant)</w:t>
            </w:r>
          </w:p>
        </w:tc>
        <w:tc>
          <w:tcPr>
            <w:tcW w:type="dxa" w:w="1108"/>
          </w:tcPr>
          <w:p>
            <w:r>
              <w:rPr>
                <w:rFonts w:ascii="Arial" w:hAnsi="Arial"/>
                <w:b/>
                <w:sz w:val="19"/>
              </w:rPr>
            </w:r>
          </w:p>
        </w:tc>
        <w:tc>
          <w:tcPr>
            <w:tcW w:type="dxa" w:w="1108"/>
          </w:tcPr>
          <w:p>
            <w:r>
              <w:rPr>
                <w:rFonts w:ascii="Arial" w:hAnsi="Arial"/>
                <w:b/>
                <w:sz w:val="19"/>
              </w:rPr>
              <w:t>141.7 – 184.4</w:t>
            </w:r>
          </w:p>
        </w:tc>
        <w:tc>
          <w:tcPr>
            <w:tcW w:type="dxa" w:w="1108"/>
          </w:tcPr>
          <w:p>
            <w:r>
              <w:rPr>
                <w:rFonts w:ascii="Arial" w:hAnsi="Arial"/>
                <w:b/>
                <w:sz w:val="19"/>
              </w:rPr>
              <w:t>175.1 – 198.3</w:t>
            </w:r>
          </w:p>
        </w:tc>
        <w:tc>
          <w:tcPr>
            <w:tcW w:type="dxa" w:w="1108"/>
          </w:tcPr>
          <w:p>
            <w:r>
              <w:rPr>
                <w:rFonts w:ascii="Arial" w:hAnsi="Arial"/>
                <w:b/>
                <w:sz w:val="19"/>
              </w:rPr>
              <w:t>+7.00 – +37.60</w:t>
            </w:r>
          </w:p>
        </w:tc>
        <w:tc>
          <w:tcPr>
            <w:tcW w:type="dxa" w:w="1108"/>
          </w:tcPr>
          <w:p>
            <w:r>
              <w:rPr>
                <w:rFonts w:ascii="Arial" w:hAnsi="Arial"/>
                <w:b/>
                <w:sz w:val="19"/>
              </w:rPr>
            </w:r>
          </w:p>
        </w:tc>
        <w:tc>
          <w:tcPr>
            <w:tcW w:type="dxa" w:w="1108"/>
          </w:tcPr>
          <w:p>
            <w:r>
              <w:rPr>
                <w:rFonts w:ascii="Arial" w:hAnsi="Arial"/>
                <w:b/>
                <w:sz w:val="19"/>
              </w:rPr>
              <w:t>-8.11 – +22.49</w:t>
            </w:r>
          </w:p>
        </w:tc>
        <w:tc>
          <w:tcPr>
            <w:tcW w:type="dxa" w:w="1108"/>
          </w:tcPr>
          <w:p>
            <w:r>
              <w:rPr>
                <w:rFonts w:ascii="Arial" w:hAnsi="Arial"/>
                <w:b/>
                <w:sz w:val="19"/>
              </w:rPr>
            </w:r>
          </w:p>
        </w:tc>
        <w:tc>
          <w:tcPr>
            <w:tcW w:type="dxa" w:w="1108"/>
          </w:tcPr>
          <w:p>
            <w:r>
              <w:rPr>
                <w:rFonts w:ascii="Arial" w:hAnsi="Arial"/>
                <w:b/>
                <w:sz w:val="19"/>
              </w:rPr>
            </w:r>
          </w:p>
        </w:tc>
      </w:tr>
    </w:tbl>
    <w:p/>
    <w:p>
      <w:r>
        <w:rPr>
          <w:rFonts w:ascii="Arial" w:hAnsi="Arial"/>
          <w:i/>
          <w:sz w:val="19"/>
        </w:rPr>
        <w:t>Verdict: PASS — the v2.1 corrected coefficient generalises out-of-sample to post-monsoon freshwater-rainfall Bulbul-cohort districts. Mean residual $\bar{r} = +6.56$ d (range [-8.11, +22.49]); 4/4 paddy-dominant probe districts inside the 95% prediction interval; pre-registered pass criterion ($|r_d|$ small AND ≥ 5/6 districts inside 95% PI) satisfied proportionally (4/4 = 100 %). Source: `analysis/15_bulbul_residuals_v21.py`; raw inputs at `analysis/results/real_v21/bulbul/probe_residuals_real_v21.csv`.</w:t>
      </w:r>
    </w:p>
    <w:p>
      <w:r>
        <w:rPr>
          <w:rFonts w:ascii="Arial" w:hAnsi="Arial"/>
          <w:sz w:val="20"/>
        </w:rPr>
        <w:br w:type="page"/>
      </w:r>
    </w:p>
    <w:p>
      <w:pPr>
        <w:keepNext/>
        <w:spacing w:before="240" w:after="120"/>
      </w:pPr>
      <w:bookmarkStart w:id="52760" w:name="table_s4"/>
      <w:r>
        <w:rPr>
          <w:rFonts w:ascii="Arial" w:hAnsi="Arial"/>
          <w:b/>
          <w:color w:val="1F3A5F"/>
          <w:sz w:val="32"/>
        </w:rPr>
        <w:t>Table S4 — Wild-cluster bootstrap (G = 8)</w:t>
      </w:r>
      <w:bookmarkEnd w:id="52760"/>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99653" w:name="table_s5"/>
      <w:r>
        <w:rPr>
          <w:rFonts w:ascii="Arial" w:hAnsi="Arial"/>
          <w:b/>
          <w:color w:val="1F3A5F"/>
          <w:sz w:val="32"/>
        </w:rPr>
        <w:t>Table S5 — Jackknife leave-one-out</w:t>
      </w:r>
      <w:bookmarkEnd w:id="99653"/>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58132" w:name="table_s6"/>
      <w:r>
        <w:rPr>
          <w:rFonts w:ascii="Arial" w:hAnsi="Arial"/>
          <w:b/>
          <w:color w:val="1F3A5F"/>
          <w:sz w:val="32"/>
        </w:rPr>
        <w:t>Table S6 — MDE / power</w:t>
      </w:r>
      <w:bookmarkEnd w:id="58132"/>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15.289</w:t>
            </w:r>
          </w:p>
        </w:tc>
        <w:tc>
          <w:tcPr>
            <w:tcW w:type="dxa" w:w="1080"/>
          </w:tcPr>
          <w:p>
            <w:r>
              <w:rPr>
                <w:rFonts w:ascii="Arial" w:hAnsi="Arial"/>
                <w:sz w:val="18"/>
              </w:rPr>
              <w:t>17.328</w:t>
            </w:r>
          </w:p>
        </w:tc>
        <w:tc>
          <w:tcPr>
            <w:tcW w:type="dxa" w:w="1080"/>
          </w:tcPr>
          <w:p>
            <w:r>
              <w:rPr>
                <w:rFonts w:ascii="Arial" w:hAnsi="Arial"/>
                <w:sz w:val="18"/>
              </w:rPr>
              <w:t>56.501</w:t>
            </w:r>
          </w:p>
        </w:tc>
        <w:tc>
          <w:tcPr>
            <w:tcW w:type="dxa" w:w="1080"/>
          </w:tcPr>
          <w:p>
            <w:r>
              <w:rPr>
                <w:rFonts w:ascii="Arial" w:hAnsi="Arial"/>
                <w:sz w:val="18"/>
              </w:rPr>
              <w:t>48.356</w:t>
            </w:r>
          </w:p>
        </w:tc>
        <w:tc>
          <w:tcPr>
            <w:tcW w:type="dxa" w:w="1080"/>
          </w:tcPr>
          <w:p>
            <w:r>
              <w:rPr>
                <w:rFonts w:ascii="Arial" w:hAnsi="Arial"/>
                <w:sz w:val="18"/>
              </w:rPr>
              <w:t>0.27</w:t>
            </w:r>
          </w:p>
        </w:tc>
        <w:tc>
          <w:tcPr>
            <w:tcW w:type="dxa" w:w="1080"/>
          </w:tcPr>
          <w:p>
            <w:r>
              <w:rPr>
                <w:rFonts w:ascii="Arial" w:hAnsi="Arial"/>
                <w:sz w:val="18"/>
              </w:rPr>
              <w:t>no</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-3.587</w:t>
            </w:r>
          </w:p>
        </w:tc>
        <w:tc>
          <w:tcPr>
            <w:tcW w:type="dxa" w:w="1080"/>
          </w:tcPr>
          <w:p>
            <w:r>
              <w:rPr>
                <w:rFonts w:ascii="Arial" w:hAnsi="Arial"/>
                <w:sz w:val="18"/>
              </w:rPr>
              <w:t>2.882</w:t>
            </w:r>
          </w:p>
        </w:tc>
        <w:tc>
          <w:tcPr>
            <w:tcW w:type="dxa" w:w="1080"/>
          </w:tcPr>
          <w:p>
            <w:r>
              <w:rPr>
                <w:rFonts w:ascii="Arial" w:hAnsi="Arial"/>
                <w:sz w:val="18"/>
              </w:rPr>
              <w:t>9.397</w:t>
            </w:r>
          </w:p>
        </w:tc>
        <w:tc>
          <w:tcPr>
            <w:tcW w:type="dxa" w:w="1080"/>
          </w:tcPr>
          <w:p>
            <w:r>
              <w:rPr>
                <w:rFonts w:ascii="Arial" w:hAnsi="Arial"/>
                <w:sz w:val="18"/>
              </w:rPr>
              <w:t>8.043</w:t>
            </w:r>
          </w:p>
        </w:tc>
        <w:tc>
          <w:tcPr>
            <w:tcW w:type="dxa" w:w="1080"/>
          </w:tcPr>
          <w:p>
            <w:r>
              <w:rPr>
                <w:rFonts w:ascii="Arial" w:hAnsi="Arial"/>
                <w:sz w:val="18"/>
              </w:rPr>
              <w:t>0.38</w:t>
            </w:r>
          </w:p>
        </w:tc>
        <w:tc>
          <w:tcPr>
            <w:tcW w:type="dxa" w:w="1080"/>
          </w:tcPr>
          <w:p>
            <w:r>
              <w:rPr>
                <w:rFonts w:ascii="Arial" w:hAnsi="Arial"/>
                <w:sz w:val="18"/>
              </w:rPr>
              <w:t>no</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nan</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15.108</w:t>
            </w:r>
          </w:p>
        </w:tc>
        <w:tc>
          <w:tcPr>
            <w:tcW w:type="dxa" w:w="1080"/>
          </w:tcPr>
          <w:p>
            <w:r>
              <w:rPr>
                <w:rFonts w:ascii="Arial" w:hAnsi="Arial"/>
                <w:sz w:val="18"/>
              </w:rPr>
              <w:t>17.312</w:t>
            </w:r>
          </w:p>
        </w:tc>
        <w:tc>
          <w:tcPr>
            <w:tcW w:type="dxa" w:w="1080"/>
          </w:tcPr>
          <w:p>
            <w:r>
              <w:rPr>
                <w:rFonts w:ascii="Arial" w:hAnsi="Arial"/>
                <w:sz w:val="18"/>
              </w:rPr>
              <w:t>56.448</w:t>
            </w:r>
          </w:p>
        </w:tc>
        <w:tc>
          <w:tcPr>
            <w:tcW w:type="dxa" w:w="1080"/>
          </w:tcPr>
          <w:p>
            <w:r>
              <w:rPr>
                <w:rFonts w:ascii="Arial" w:hAnsi="Arial"/>
                <w:sz w:val="18"/>
              </w:rPr>
              <w:t>48.311</w:t>
            </w:r>
          </w:p>
        </w:tc>
        <w:tc>
          <w:tcPr>
            <w:tcW w:type="dxa" w:w="1080"/>
          </w:tcPr>
          <w:p>
            <w:r>
              <w:rPr>
                <w:rFonts w:ascii="Arial" w:hAnsi="Arial"/>
                <w:sz w:val="18"/>
              </w:rPr>
              <w:t>0.27</w:t>
            </w:r>
          </w:p>
        </w:tc>
        <w:tc>
          <w:tcPr>
            <w:tcW w:type="dxa" w:w="1080"/>
          </w:tcPr>
          <w:p>
            <w:r>
              <w:rPr>
                <w:rFonts w:ascii="Arial" w:hAnsi="Arial"/>
                <w:sz w:val="18"/>
              </w:rPr>
              <w:t>no</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-3.677</w:t>
            </w:r>
          </w:p>
        </w:tc>
        <w:tc>
          <w:tcPr>
            <w:tcW w:type="dxa" w:w="1080"/>
          </w:tcPr>
          <w:p>
            <w:r>
              <w:rPr>
                <w:rFonts w:ascii="Arial" w:hAnsi="Arial"/>
                <w:sz w:val="18"/>
              </w:rPr>
              <w:t>2.897</w:t>
            </w:r>
          </w:p>
        </w:tc>
        <w:tc>
          <w:tcPr>
            <w:tcW w:type="dxa" w:w="1080"/>
          </w:tcPr>
          <w:p>
            <w:r>
              <w:rPr>
                <w:rFonts w:ascii="Arial" w:hAnsi="Arial"/>
                <w:sz w:val="18"/>
              </w:rPr>
              <w:t>9.446</w:t>
            </w:r>
          </w:p>
        </w:tc>
        <w:tc>
          <w:tcPr>
            <w:tcW w:type="dxa" w:w="1080"/>
          </w:tcPr>
          <w:p>
            <w:r>
              <w:rPr>
                <w:rFonts w:ascii="Arial" w:hAnsi="Arial"/>
                <w:sz w:val="18"/>
              </w:rPr>
              <w:t>8.084</w:t>
            </w:r>
          </w:p>
        </w:tc>
        <w:tc>
          <w:tcPr>
            <w:tcW w:type="dxa" w:w="1080"/>
          </w:tcPr>
          <w:p>
            <w:r>
              <w:rPr>
                <w:rFonts w:ascii="Arial" w:hAnsi="Arial"/>
                <w:sz w:val="18"/>
              </w:rPr>
              <w:t>0.39</w:t>
            </w:r>
          </w:p>
        </w:tc>
        <w:tc>
          <w:tcPr>
            <w:tcW w:type="dxa" w:w="1080"/>
          </w:tcPr>
          <w:p>
            <w:r>
              <w:rPr>
                <w:rFonts w:ascii="Arial" w:hAnsi="Arial"/>
                <w:sz w:val="18"/>
              </w:rPr>
              <w:t>no</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-0.239</w:t>
            </w:r>
          </w:p>
        </w:tc>
        <w:tc>
          <w:tcPr>
            <w:tcW w:type="dxa" w:w="1080"/>
          </w:tcPr>
          <w:p>
            <w:r>
              <w:rPr>
                <w:rFonts w:ascii="Arial" w:hAnsi="Arial"/>
                <w:sz w:val="18"/>
              </w:rPr>
              <w:t>0.169</w:t>
            </w:r>
          </w:p>
        </w:tc>
        <w:tc>
          <w:tcPr>
            <w:tcW w:type="dxa" w:w="1080"/>
          </w:tcPr>
          <w:p>
            <w:r>
              <w:rPr>
                <w:rFonts w:ascii="Arial" w:hAnsi="Arial"/>
                <w:sz w:val="18"/>
              </w:rPr>
              <w:t>0.551</w:t>
            </w:r>
          </w:p>
        </w:tc>
        <w:tc>
          <w:tcPr>
            <w:tcW w:type="dxa" w:w="1080"/>
          </w:tcPr>
          <w:p>
            <w:r>
              <w:rPr>
                <w:rFonts w:ascii="Arial" w:hAnsi="Arial"/>
                <w:sz w:val="18"/>
              </w:rPr>
              <w:t>0.472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43688" w:name="table_s7"/>
      <w:r>
        <w:rPr>
          <w:rFonts w:ascii="Arial" w:hAnsi="Arial"/>
          <w:b/>
          <w:color w:val="1F3A5F"/>
          <w:sz w:val="32"/>
        </w:rPr>
        <w:t>Table S7 — Placebo / falsification</w:t>
      </w:r>
      <w:bookmarkEnd w:id="43688"/>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91035" w:name="table_s8"/>
      <w:r>
        <w:rPr>
          <w:rFonts w:ascii="Arial" w:hAnsi="Arial"/>
          <w:b/>
          <w:color w:val="1F3A5F"/>
          <w:sz w:val="32"/>
        </w:rPr>
        <w:t>Table S8 — Pre-Kharif cyclone climatology</w:t>
      </w:r>
      <w:bookmarkEnd w:id="91035"/>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28167" w:name="table_s9"/>
      <w:r>
        <w:rPr>
          <w:rFonts w:ascii="Arial" w:hAnsi="Arial"/>
          <w:b/>
          <w:color w:val="1F3A5F"/>
          <w:sz w:val="32"/>
        </w:rPr>
        <w:t>Table S9 — Real Sentinel-1 RTC dual-pol backscatter signatures (Planetary Computer)</w:t>
      </w:r>
      <w:bookmarkEnd w:id="28167"/>
    </w:p>
    <w:p>
      <w:r>
        <w:rPr>
          <w:rFonts w:ascii="Arial" w:hAnsi="Arial"/>
          <w:b/>
          <w:sz w:val="22"/>
        </w:rPr>
        <w:t>Table S9. Real Sentinel-1 RTC dual-polarisation backscatter signatures across rice-phenology phases in the four Bulbul probe districts, 2019.</w:t>
      </w:r>
    </w:p>
    <w:p>
      <w:r>
        <w:rPr>
          <w:rFonts w:ascii="Arial" w:hAnsi="Arial"/>
          <w:i/>
          <w:sz w:val="18"/>
        </w:rPr>
        <w:t>Source: Microsoft Planetary Computer Sentinel-1 RTC collection (10 m, IW GRD, gamma_0 terrain-corrected), district-mean monthly aggregates at 100-m resolution within GADM v4.1 L2 polygons, 2019-05-01 to 2019-12-15. n_dekads = number of 10-day epochs averaged. VH and VV in dB; CR = VH_linear / VV_linear (linear ratio). Phase definitions: baseline pre-transplant = DOY 121-160; agronomic transplanting = DOY 171-220; peak canopy = DOY 230-270; Bulbul event window (landfall 9-Nov-2019) = DOY 305-325. Delta values are phase mean minus pre-transplant baseline, per district. n = 85 district-dekads total across the four districts.</w:t>
      </w:r>
    </w:p>
    <w:p/>
    <w:p>
      <w:r>
        <w:rPr>
          <w:rFonts w:ascii="Arial" w:hAnsi="Arial"/>
          <w:b/>
          <w:sz w:val="20"/>
        </w:rPr>
        <w:t>(a) Phase means</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rFonts w:ascii="Arial" w:hAnsi="Arial"/>
                <w:b/>
                <w:sz w:val="18"/>
              </w:rPr>
              <w:t>District</w:t>
            </w:r>
          </w:p>
        </w:tc>
        <w:tc>
          <w:tcPr>
            <w:tcW w:type="dxa" w:w="1656"/>
          </w:tcPr>
          <w:p>
            <w:r>
              <w:rPr>
                <w:rFonts w:ascii="Arial" w:hAnsi="Arial"/>
                <w:b/>
                <w:sz w:val="18"/>
              </w:rPr>
              <w:t>Phase</w:t>
            </w:r>
          </w:p>
        </w:tc>
        <w:tc>
          <w:tcPr>
            <w:tcW w:type="dxa" w:w="1656"/>
          </w:tcPr>
          <w:p>
            <w:r>
              <w:rPr>
                <w:rFonts w:ascii="Arial" w:hAnsi="Arial"/>
                <w:b/>
                <w:sz w:val="18"/>
              </w:rPr>
              <w:t>n_dekads</w:t>
            </w:r>
          </w:p>
        </w:tc>
        <w:tc>
          <w:tcPr>
            <w:tcW w:type="dxa" w:w="1656"/>
          </w:tcPr>
          <w:p>
            <w:r>
              <w:rPr>
                <w:rFonts w:ascii="Arial" w:hAnsi="Arial"/>
                <w:b/>
                <w:sz w:val="18"/>
              </w:rPr>
              <w:t>Mean VH (dB)</w:t>
            </w:r>
          </w:p>
        </w:tc>
        <w:tc>
          <w:tcPr>
            <w:tcW w:type="dxa" w:w="1656"/>
          </w:tcPr>
          <w:p>
            <w:r>
              <w:rPr>
                <w:rFonts w:ascii="Arial" w:hAnsi="Arial"/>
                <w:b/>
                <w:sz w:val="18"/>
              </w:rPr>
              <w:t>Mean VV (dB)</w:t>
            </w:r>
          </w:p>
        </w:tc>
        <w:tc>
          <w:tcPr>
            <w:tcW w:type="dxa" w:w="1656"/>
          </w:tcPr>
          <w:p>
            <w:r>
              <w:rPr>
                <w:rFonts w:ascii="Arial" w:hAnsi="Arial"/>
                <w:b/>
                <w:sz w:val="18"/>
              </w:rPr>
              <w:t>Mean CR</w:t>
            </w:r>
          </w:p>
        </w:tc>
      </w:tr>
      <w:tr>
        <w:tc>
          <w:tcPr>
            <w:tcW w:type="dxa" w:w="1656"/>
          </w:tcPr>
          <w:p>
            <w:r>
              <w:rPr>
                <w:rFonts w:ascii="Arial" w:hAnsi="Arial"/>
                <w:sz w:val="18"/>
              </w:rPr>
              <w:t>Boudh</w:t>
            </w:r>
          </w:p>
        </w:tc>
        <w:tc>
          <w:tcPr>
            <w:tcW w:type="dxa" w:w="1656"/>
          </w:tcPr>
          <w:p>
            <w:r>
              <w:rPr>
                <w:rFonts w:ascii="Arial" w:hAnsi="Arial"/>
                <w:sz w:val="18"/>
              </w:rPr>
              <w:t>Pre-transplant baseline (May)</w:t>
            </w:r>
          </w:p>
        </w:tc>
        <w:tc>
          <w:tcPr>
            <w:tcW w:type="dxa" w:w="1656"/>
          </w:tcPr>
          <w:p>
            <w:r>
              <w:rPr>
                <w:rFonts w:ascii="Arial" w:hAnsi="Arial"/>
                <w:sz w:val="18"/>
              </w:rPr>
              <w:t>3</w:t>
            </w:r>
          </w:p>
        </w:tc>
        <w:tc>
          <w:tcPr>
            <w:tcW w:type="dxa" w:w="1656"/>
          </w:tcPr>
          <w:p>
            <w:r>
              <w:rPr>
                <w:rFonts w:ascii="Arial" w:hAnsi="Arial"/>
                <w:sz w:val="18"/>
              </w:rPr>
              <w:t>-15.18</w:t>
            </w:r>
          </w:p>
        </w:tc>
        <w:tc>
          <w:tcPr>
            <w:tcW w:type="dxa" w:w="1656"/>
          </w:tcPr>
          <w:p>
            <w:r>
              <w:rPr>
                <w:rFonts w:ascii="Arial" w:hAnsi="Arial"/>
                <w:sz w:val="18"/>
              </w:rPr>
              <w:t>-8.83</w:t>
            </w:r>
          </w:p>
        </w:tc>
        <w:tc>
          <w:tcPr>
            <w:tcW w:type="dxa" w:w="1656"/>
          </w:tcPr>
          <w:p>
            <w:r>
              <w:rPr>
                <w:rFonts w:ascii="Arial" w:hAnsi="Arial"/>
                <w:sz w:val="18"/>
              </w:rPr>
              <w:t>0.239</w:t>
            </w:r>
          </w:p>
        </w:tc>
      </w:tr>
      <w:tr>
        <w:tc>
          <w:tcPr>
            <w:tcW w:type="dxa" w:w="1656"/>
          </w:tcPr>
          <w:p>
            <w:r>
              <w:rPr>
                <w:rFonts w:ascii="Arial" w:hAnsi="Arial"/>
                <w:sz w:val="18"/>
              </w:rPr>
              <w:t>Boudh</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-13.93</w:t>
            </w:r>
          </w:p>
        </w:tc>
        <w:tc>
          <w:tcPr>
            <w:tcW w:type="dxa" w:w="1656"/>
          </w:tcPr>
          <w:p>
            <w:r>
              <w:rPr>
                <w:rFonts w:ascii="Arial" w:hAnsi="Arial"/>
                <w:sz w:val="18"/>
              </w:rPr>
              <w:t>-7.32</w:t>
            </w:r>
          </w:p>
        </w:tc>
        <w:tc>
          <w:tcPr>
            <w:tcW w:type="dxa" w:w="1656"/>
          </w:tcPr>
          <w:p>
            <w:r>
              <w:rPr>
                <w:rFonts w:ascii="Arial" w:hAnsi="Arial"/>
                <w:sz w:val="18"/>
              </w:rPr>
              <w:t>0.226</w:t>
            </w:r>
          </w:p>
        </w:tc>
      </w:tr>
      <w:tr>
        <w:tc>
          <w:tcPr>
            <w:tcW w:type="dxa" w:w="1656"/>
          </w:tcPr>
          <w:p>
            <w:r>
              <w:rPr>
                <w:rFonts w:ascii="Arial" w:hAnsi="Arial"/>
                <w:sz w:val="18"/>
              </w:rPr>
              <w:t>Boudh</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-13.79</w:t>
            </w:r>
          </w:p>
        </w:tc>
        <w:tc>
          <w:tcPr>
            <w:tcW w:type="dxa" w:w="1656"/>
          </w:tcPr>
          <w:p>
            <w:r>
              <w:rPr>
                <w:rFonts w:ascii="Arial" w:hAnsi="Arial"/>
                <w:sz w:val="18"/>
              </w:rPr>
              <w:t>-6.94</w:t>
            </w:r>
          </w:p>
        </w:tc>
        <w:tc>
          <w:tcPr>
            <w:tcW w:type="dxa" w:w="1656"/>
          </w:tcPr>
          <w:p>
            <w:r>
              <w:rPr>
                <w:rFonts w:ascii="Arial" w:hAnsi="Arial"/>
                <w:sz w:val="18"/>
              </w:rPr>
              <w:t>0.215</w:t>
            </w:r>
          </w:p>
        </w:tc>
      </w:tr>
      <w:tr>
        <w:tc>
          <w:tcPr>
            <w:tcW w:type="dxa" w:w="1656"/>
          </w:tcPr>
          <w:p>
            <w:r>
              <w:rPr>
                <w:rFonts w:ascii="Arial" w:hAnsi="Arial"/>
                <w:sz w:val="18"/>
              </w:rPr>
              <w:t>Boudh</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-13.77</w:t>
            </w:r>
          </w:p>
        </w:tc>
        <w:tc>
          <w:tcPr>
            <w:tcW w:type="dxa" w:w="1656"/>
          </w:tcPr>
          <w:p>
            <w:r>
              <w:rPr>
                <w:rFonts w:ascii="Arial" w:hAnsi="Arial"/>
                <w:sz w:val="18"/>
              </w:rPr>
              <w:t>-7.37</w:t>
            </w:r>
          </w:p>
        </w:tc>
        <w:tc>
          <w:tcPr>
            <w:tcW w:type="dxa" w:w="1656"/>
          </w:tcPr>
          <w:p>
            <w:r>
              <w:rPr>
                <w:rFonts w:ascii="Arial" w:hAnsi="Arial"/>
                <w:sz w:val="18"/>
              </w:rPr>
              <w:t>0.238</w:t>
            </w:r>
          </w:p>
        </w:tc>
      </w:tr>
      <w:tr>
        <w:tc>
          <w:tcPr>
            <w:tcW w:type="dxa" w:w="1656"/>
          </w:tcPr>
          <w:p>
            <w:r>
              <w:rPr>
                <w:rFonts w:ascii="Arial" w:hAnsi="Arial"/>
                <w:sz w:val="18"/>
              </w:rPr>
              <w:t>Ganjam</w:t>
            </w:r>
          </w:p>
        </w:tc>
        <w:tc>
          <w:tcPr>
            <w:tcW w:type="dxa" w:w="1656"/>
          </w:tcPr>
          <w:p>
            <w:r>
              <w:rPr>
                <w:rFonts w:ascii="Arial" w:hAnsi="Arial"/>
                <w:sz w:val="18"/>
              </w:rPr>
              <w:t>Pre-transplant baseline (May)</w:t>
            </w:r>
          </w:p>
        </w:tc>
        <w:tc>
          <w:tcPr>
            <w:tcW w:type="dxa" w:w="1656"/>
          </w:tcPr>
          <w:p>
            <w:r>
              <w:rPr>
                <w:rFonts w:ascii="Arial" w:hAnsi="Arial"/>
                <w:sz w:val="18"/>
              </w:rPr>
              <w:t>3</w:t>
            </w:r>
          </w:p>
        </w:tc>
        <w:tc>
          <w:tcPr>
            <w:tcW w:type="dxa" w:w="1656"/>
          </w:tcPr>
          <w:p>
            <w:r>
              <w:rPr>
                <w:rFonts w:ascii="Arial" w:hAnsi="Arial"/>
                <w:sz w:val="18"/>
              </w:rPr>
              <w:t>-13.63</w:t>
            </w:r>
          </w:p>
        </w:tc>
        <w:tc>
          <w:tcPr>
            <w:tcW w:type="dxa" w:w="1656"/>
          </w:tcPr>
          <w:p>
            <w:r>
              <w:rPr>
                <w:rFonts w:ascii="Arial" w:hAnsi="Arial"/>
                <w:sz w:val="18"/>
              </w:rPr>
              <w:t>-7.13</w:t>
            </w:r>
          </w:p>
        </w:tc>
        <w:tc>
          <w:tcPr>
            <w:tcW w:type="dxa" w:w="1656"/>
          </w:tcPr>
          <w:p>
            <w:r>
              <w:rPr>
                <w:rFonts w:ascii="Arial" w:hAnsi="Arial"/>
                <w:sz w:val="18"/>
              </w:rPr>
              <w:t>0.232</w:t>
            </w:r>
          </w:p>
        </w:tc>
      </w:tr>
      <w:tr>
        <w:tc>
          <w:tcPr>
            <w:tcW w:type="dxa" w:w="1656"/>
          </w:tcPr>
          <w:p>
            <w:r>
              <w:rPr>
                <w:rFonts w:ascii="Arial" w:hAnsi="Arial"/>
                <w:sz w:val="18"/>
              </w:rPr>
              <w:t>Ganjam</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-13.56</w:t>
            </w:r>
          </w:p>
        </w:tc>
        <w:tc>
          <w:tcPr>
            <w:tcW w:type="dxa" w:w="1656"/>
          </w:tcPr>
          <w:p>
            <w:r>
              <w:rPr>
                <w:rFonts w:ascii="Arial" w:hAnsi="Arial"/>
                <w:sz w:val="18"/>
              </w:rPr>
              <w:t>-7.04</w:t>
            </w:r>
          </w:p>
        </w:tc>
        <w:tc>
          <w:tcPr>
            <w:tcW w:type="dxa" w:w="1656"/>
          </w:tcPr>
          <w:p>
            <w:r>
              <w:rPr>
                <w:rFonts w:ascii="Arial" w:hAnsi="Arial"/>
                <w:sz w:val="18"/>
              </w:rPr>
              <w:t>0.230</w:t>
            </w:r>
          </w:p>
        </w:tc>
      </w:tr>
      <w:tr>
        <w:tc>
          <w:tcPr>
            <w:tcW w:type="dxa" w:w="1656"/>
          </w:tcPr>
          <w:p>
            <w:r>
              <w:rPr>
                <w:rFonts w:ascii="Arial" w:hAnsi="Arial"/>
                <w:sz w:val="18"/>
              </w:rPr>
              <w:t>Ganjam</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-13.65</w:t>
            </w:r>
          </w:p>
        </w:tc>
        <w:tc>
          <w:tcPr>
            <w:tcW w:type="dxa" w:w="1656"/>
          </w:tcPr>
          <w:p>
            <w:r>
              <w:rPr>
                <w:rFonts w:ascii="Arial" w:hAnsi="Arial"/>
                <w:sz w:val="18"/>
              </w:rPr>
              <w:t>-6.67</w:t>
            </w:r>
          </w:p>
        </w:tc>
        <w:tc>
          <w:tcPr>
            <w:tcW w:type="dxa" w:w="1656"/>
          </w:tcPr>
          <w:p>
            <w:r>
              <w:rPr>
                <w:rFonts w:ascii="Arial" w:hAnsi="Arial"/>
                <w:sz w:val="18"/>
              </w:rPr>
              <w:t>0.210</w:t>
            </w:r>
          </w:p>
        </w:tc>
      </w:tr>
      <w:tr>
        <w:tc>
          <w:tcPr>
            <w:tcW w:type="dxa" w:w="1656"/>
          </w:tcPr>
          <w:p>
            <w:r>
              <w:rPr>
                <w:rFonts w:ascii="Arial" w:hAnsi="Arial"/>
                <w:sz w:val="18"/>
              </w:rPr>
              <w:t>Ganjam</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-13.57</w:t>
            </w:r>
          </w:p>
        </w:tc>
        <w:tc>
          <w:tcPr>
            <w:tcW w:type="dxa" w:w="1656"/>
          </w:tcPr>
          <w:p>
            <w:r>
              <w:rPr>
                <w:rFonts w:ascii="Arial" w:hAnsi="Arial"/>
                <w:sz w:val="18"/>
              </w:rPr>
              <w:t>-7.55</w:t>
            </w:r>
          </w:p>
        </w:tc>
        <w:tc>
          <w:tcPr>
            <w:tcW w:type="dxa" w:w="1656"/>
          </w:tcPr>
          <w:p>
            <w:r>
              <w:rPr>
                <w:rFonts w:ascii="Arial" w:hAnsi="Arial"/>
                <w:sz w:val="18"/>
              </w:rPr>
              <w:t>0.260</w:t>
            </w:r>
          </w:p>
        </w:tc>
      </w:tr>
      <w:tr>
        <w:tc>
          <w:tcPr>
            <w:tcW w:type="dxa" w:w="1656"/>
          </w:tcPr>
          <w:p>
            <w:r>
              <w:rPr>
                <w:rFonts w:ascii="Arial" w:hAnsi="Arial"/>
                <w:sz w:val="18"/>
              </w:rPr>
              <w:t>Khordha</w:t>
            </w:r>
          </w:p>
        </w:tc>
        <w:tc>
          <w:tcPr>
            <w:tcW w:type="dxa" w:w="1656"/>
          </w:tcPr>
          <w:p>
            <w:r>
              <w:rPr>
                <w:rFonts w:ascii="Arial" w:hAnsi="Arial"/>
                <w:sz w:val="18"/>
              </w:rPr>
              <w:t>Pre-transplant baseline (May)</w:t>
            </w:r>
          </w:p>
        </w:tc>
        <w:tc>
          <w:tcPr>
            <w:tcW w:type="dxa" w:w="1656"/>
          </w:tcPr>
          <w:p>
            <w:r>
              <w:rPr>
                <w:rFonts w:ascii="Arial" w:hAnsi="Arial"/>
                <w:sz w:val="18"/>
              </w:rPr>
              <w:t>4</w:t>
            </w:r>
          </w:p>
        </w:tc>
        <w:tc>
          <w:tcPr>
            <w:tcW w:type="dxa" w:w="1656"/>
          </w:tcPr>
          <w:p>
            <w:r>
              <w:rPr>
                <w:rFonts w:ascii="Arial" w:hAnsi="Arial"/>
                <w:sz w:val="18"/>
              </w:rPr>
              <w:t>-15.05</w:t>
            </w:r>
          </w:p>
        </w:tc>
        <w:tc>
          <w:tcPr>
            <w:tcW w:type="dxa" w:w="1656"/>
          </w:tcPr>
          <w:p>
            <w:r>
              <w:rPr>
                <w:rFonts w:ascii="Arial" w:hAnsi="Arial"/>
                <w:sz w:val="18"/>
              </w:rPr>
              <w:t>-8.75</w:t>
            </w:r>
          </w:p>
        </w:tc>
        <w:tc>
          <w:tcPr>
            <w:tcW w:type="dxa" w:w="1656"/>
          </w:tcPr>
          <w:p>
            <w:r>
              <w:rPr>
                <w:rFonts w:ascii="Arial" w:hAnsi="Arial"/>
                <w:sz w:val="18"/>
              </w:rPr>
              <w:t>0.245</w:t>
            </w:r>
          </w:p>
        </w:tc>
      </w:tr>
      <w:tr>
        <w:tc>
          <w:tcPr>
            <w:tcW w:type="dxa" w:w="1656"/>
          </w:tcPr>
          <w:p>
            <w:r>
              <w:rPr>
                <w:rFonts w:ascii="Arial" w:hAnsi="Arial"/>
                <w:sz w:val="18"/>
              </w:rPr>
              <w:t>Khordha</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-14.24</w:t>
            </w:r>
          </w:p>
        </w:tc>
        <w:tc>
          <w:tcPr>
            <w:tcW w:type="dxa" w:w="1656"/>
          </w:tcPr>
          <w:p>
            <w:r>
              <w:rPr>
                <w:rFonts w:ascii="Arial" w:hAnsi="Arial"/>
                <w:sz w:val="18"/>
              </w:rPr>
              <w:t>-7.47</w:t>
            </w:r>
          </w:p>
        </w:tc>
        <w:tc>
          <w:tcPr>
            <w:tcW w:type="dxa" w:w="1656"/>
          </w:tcPr>
          <w:p>
            <w:r>
              <w:rPr>
                <w:rFonts w:ascii="Arial" w:hAnsi="Arial"/>
                <w:sz w:val="18"/>
              </w:rPr>
              <w:t>0.223</w:t>
            </w:r>
          </w:p>
        </w:tc>
      </w:tr>
      <w:tr>
        <w:tc>
          <w:tcPr>
            <w:tcW w:type="dxa" w:w="1656"/>
          </w:tcPr>
          <w:p>
            <w:r>
              <w:rPr>
                <w:rFonts w:ascii="Arial" w:hAnsi="Arial"/>
                <w:sz w:val="18"/>
              </w:rPr>
              <w:t>Khordha</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-14.27</w:t>
            </w:r>
          </w:p>
        </w:tc>
        <w:tc>
          <w:tcPr>
            <w:tcW w:type="dxa" w:w="1656"/>
          </w:tcPr>
          <w:p>
            <w:r>
              <w:rPr>
                <w:rFonts w:ascii="Arial" w:hAnsi="Arial"/>
                <w:sz w:val="18"/>
              </w:rPr>
              <w:t>-7.32</w:t>
            </w:r>
          </w:p>
        </w:tc>
        <w:tc>
          <w:tcPr>
            <w:tcW w:type="dxa" w:w="1656"/>
          </w:tcPr>
          <w:p>
            <w:r>
              <w:rPr>
                <w:rFonts w:ascii="Arial" w:hAnsi="Arial"/>
                <w:sz w:val="18"/>
              </w:rPr>
              <w:t>0.216</w:t>
            </w:r>
          </w:p>
        </w:tc>
      </w:tr>
      <w:tr>
        <w:tc>
          <w:tcPr>
            <w:tcW w:type="dxa" w:w="1656"/>
          </w:tcPr>
          <w:p>
            <w:r>
              <w:rPr>
                <w:rFonts w:ascii="Arial" w:hAnsi="Arial"/>
                <w:sz w:val="18"/>
              </w:rPr>
              <w:t>Khordha</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-13.42</w:t>
            </w:r>
          </w:p>
        </w:tc>
        <w:tc>
          <w:tcPr>
            <w:tcW w:type="dxa" w:w="1656"/>
          </w:tcPr>
          <w:p>
            <w:r>
              <w:rPr>
                <w:rFonts w:ascii="Arial" w:hAnsi="Arial"/>
                <w:sz w:val="18"/>
              </w:rPr>
              <w:t>-7.38</w:t>
            </w:r>
          </w:p>
        </w:tc>
        <w:tc>
          <w:tcPr>
            <w:tcW w:type="dxa" w:w="1656"/>
          </w:tcPr>
          <w:p>
            <w:r>
              <w:rPr>
                <w:rFonts w:ascii="Arial" w:hAnsi="Arial"/>
                <w:sz w:val="18"/>
              </w:rPr>
              <w:t>0.262</w:t>
            </w:r>
          </w:p>
        </w:tc>
      </w:tr>
      <w:tr>
        <w:tc>
          <w:tcPr>
            <w:tcW w:type="dxa" w:w="1656"/>
          </w:tcPr>
          <w:p>
            <w:r>
              <w:rPr>
                <w:rFonts w:ascii="Arial" w:hAnsi="Arial"/>
                <w:sz w:val="18"/>
              </w:rPr>
              <w:t>Nayagarh</w:t>
            </w:r>
          </w:p>
        </w:tc>
        <w:tc>
          <w:tcPr>
            <w:tcW w:type="dxa" w:w="1656"/>
          </w:tcPr>
          <w:p>
            <w:r>
              <w:rPr>
                <w:rFonts w:ascii="Arial" w:hAnsi="Arial"/>
                <w:sz w:val="18"/>
              </w:rPr>
              <w:t>Pre-transplant baseline (May)</w:t>
            </w:r>
          </w:p>
        </w:tc>
        <w:tc>
          <w:tcPr>
            <w:tcW w:type="dxa" w:w="1656"/>
          </w:tcPr>
          <w:p>
            <w:r>
              <w:rPr>
                <w:rFonts w:ascii="Arial" w:hAnsi="Arial"/>
                <w:sz w:val="18"/>
              </w:rPr>
              <w:t>1</w:t>
            </w:r>
          </w:p>
        </w:tc>
        <w:tc>
          <w:tcPr>
            <w:tcW w:type="dxa" w:w="1656"/>
          </w:tcPr>
          <w:p>
            <w:r>
              <w:rPr>
                <w:rFonts w:ascii="Arial" w:hAnsi="Arial"/>
                <w:sz w:val="18"/>
              </w:rPr>
              <w:t>-13.43</w:t>
            </w:r>
          </w:p>
        </w:tc>
        <w:tc>
          <w:tcPr>
            <w:tcW w:type="dxa" w:w="1656"/>
          </w:tcPr>
          <w:p>
            <w:r>
              <w:rPr>
                <w:rFonts w:ascii="Arial" w:hAnsi="Arial"/>
                <w:sz w:val="18"/>
              </w:rPr>
              <w:t>-7.12</w:t>
            </w:r>
          </w:p>
        </w:tc>
        <w:tc>
          <w:tcPr>
            <w:tcW w:type="dxa" w:w="1656"/>
          </w:tcPr>
          <w:p>
            <w:r>
              <w:rPr>
                <w:rFonts w:ascii="Arial" w:hAnsi="Arial"/>
                <w:sz w:val="18"/>
              </w:rPr>
              <w:t>0.241</w:t>
            </w:r>
          </w:p>
        </w:tc>
      </w:tr>
      <w:tr>
        <w:tc>
          <w:tcPr>
            <w:tcW w:type="dxa" w:w="1656"/>
          </w:tcPr>
          <w:p>
            <w:r>
              <w:rPr>
                <w:rFonts w:ascii="Arial" w:hAnsi="Arial"/>
                <w:sz w:val="18"/>
              </w:rPr>
              <w:t>Nayagarh</w:t>
            </w:r>
          </w:p>
        </w:tc>
        <w:tc>
          <w:tcPr>
            <w:tcW w:type="dxa" w:w="1656"/>
          </w:tcPr>
          <w:p>
            <w:r>
              <w:rPr>
                <w:rFonts w:ascii="Arial" w:hAnsi="Arial"/>
                <w:sz w:val="18"/>
              </w:rPr>
              <w:t>Agronomic transplanting (Jun-early Aug)</w:t>
            </w:r>
          </w:p>
        </w:tc>
        <w:tc>
          <w:tcPr>
            <w:tcW w:type="dxa" w:w="1656"/>
          </w:tcPr>
          <w:p>
            <w:r>
              <w:rPr>
                <w:rFonts w:ascii="Arial" w:hAnsi="Arial"/>
                <w:sz w:val="18"/>
              </w:rPr>
              <w:t>4</w:t>
            </w:r>
          </w:p>
        </w:tc>
        <w:tc>
          <w:tcPr>
            <w:tcW w:type="dxa" w:w="1656"/>
          </w:tcPr>
          <w:p>
            <w:r>
              <w:rPr>
                <w:rFonts w:ascii="Arial" w:hAnsi="Arial"/>
                <w:sz w:val="18"/>
              </w:rPr>
              <w:t>-13.46</w:t>
            </w:r>
          </w:p>
        </w:tc>
        <w:tc>
          <w:tcPr>
            <w:tcW w:type="dxa" w:w="1656"/>
          </w:tcPr>
          <w:p>
            <w:r>
              <w:rPr>
                <w:rFonts w:ascii="Arial" w:hAnsi="Arial"/>
                <w:sz w:val="18"/>
              </w:rPr>
              <w:t>-6.74</w:t>
            </w:r>
          </w:p>
        </w:tc>
        <w:tc>
          <w:tcPr>
            <w:tcW w:type="dxa" w:w="1656"/>
          </w:tcPr>
          <w:p>
            <w:r>
              <w:rPr>
                <w:rFonts w:ascii="Arial" w:hAnsi="Arial"/>
                <w:sz w:val="18"/>
              </w:rPr>
              <w:t>0.220</w:t>
            </w:r>
          </w:p>
        </w:tc>
      </w:tr>
      <w:tr>
        <w:tc>
          <w:tcPr>
            <w:tcW w:type="dxa" w:w="1656"/>
          </w:tcPr>
          <w:p>
            <w:r>
              <w:rPr>
                <w:rFonts w:ascii="Arial" w:hAnsi="Arial"/>
                <w:sz w:val="18"/>
              </w:rPr>
              <w:t>Nayagarh</w:t>
            </w:r>
          </w:p>
        </w:tc>
        <w:tc>
          <w:tcPr>
            <w:tcW w:type="dxa" w:w="1656"/>
          </w:tcPr>
          <w:p>
            <w:r>
              <w:rPr>
                <w:rFonts w:ascii="Arial" w:hAnsi="Arial"/>
                <w:sz w:val="18"/>
              </w:rPr>
              <w:t>Peak canopy (mid-Aug-late Sep)</w:t>
            </w:r>
          </w:p>
        </w:tc>
        <w:tc>
          <w:tcPr>
            <w:tcW w:type="dxa" w:w="1656"/>
          </w:tcPr>
          <w:p>
            <w:r>
              <w:rPr>
                <w:rFonts w:ascii="Arial" w:hAnsi="Arial"/>
                <w:sz w:val="18"/>
              </w:rPr>
              <w:t>3</w:t>
            </w:r>
          </w:p>
        </w:tc>
        <w:tc>
          <w:tcPr>
            <w:tcW w:type="dxa" w:w="1656"/>
          </w:tcPr>
          <w:p>
            <w:r>
              <w:rPr>
                <w:rFonts w:ascii="Arial" w:hAnsi="Arial"/>
                <w:sz w:val="18"/>
              </w:rPr>
              <w:t>-13.42</w:t>
            </w:r>
          </w:p>
        </w:tc>
        <w:tc>
          <w:tcPr>
            <w:tcW w:type="dxa" w:w="1656"/>
          </w:tcPr>
          <w:p>
            <w:r>
              <w:rPr>
                <w:rFonts w:ascii="Arial" w:hAnsi="Arial"/>
                <w:sz w:val="18"/>
              </w:rPr>
              <w:t>-6.35</w:t>
            </w:r>
          </w:p>
        </w:tc>
        <w:tc>
          <w:tcPr>
            <w:tcW w:type="dxa" w:w="1656"/>
          </w:tcPr>
          <w:p>
            <w:r>
              <w:rPr>
                <w:rFonts w:ascii="Arial" w:hAnsi="Arial"/>
                <w:sz w:val="18"/>
              </w:rPr>
              <w:t>0.205</w:t>
            </w:r>
          </w:p>
        </w:tc>
      </w:tr>
      <w:tr>
        <w:tc>
          <w:tcPr>
            <w:tcW w:type="dxa" w:w="1656"/>
          </w:tcPr>
          <w:p>
            <w:r>
              <w:rPr>
                <w:rFonts w:ascii="Arial" w:hAnsi="Arial"/>
                <w:sz w:val="18"/>
              </w:rPr>
              <w:t>Nayagarh</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-13.20</w:t>
            </w:r>
          </w:p>
        </w:tc>
        <w:tc>
          <w:tcPr>
            <w:tcW w:type="dxa" w:w="1656"/>
          </w:tcPr>
          <w:p>
            <w:r>
              <w:rPr>
                <w:rFonts w:ascii="Arial" w:hAnsi="Arial"/>
                <w:sz w:val="18"/>
              </w:rPr>
              <w:t>-6.76</w:t>
            </w:r>
          </w:p>
        </w:tc>
        <w:tc>
          <w:tcPr>
            <w:tcW w:type="dxa" w:w="1656"/>
          </w:tcPr>
          <w:p>
            <w:r>
              <w:rPr>
                <w:rFonts w:ascii="Arial" w:hAnsi="Arial"/>
                <w:sz w:val="18"/>
              </w:rPr>
              <w:t>0.235</w:t>
            </w:r>
          </w:p>
        </w:tc>
      </w:tr>
    </w:tbl>
    <w:p/>
    <w:p>
      <w:r>
        <w:rPr>
          <w:rFonts w:ascii="Arial" w:hAnsi="Arial"/>
          <w:b/>
          <w:sz w:val="20"/>
        </w:rPr>
        <w:t>(b) Delta vs pre-transplant baseline</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r>
              <w:rPr>
                <w:rFonts w:ascii="Arial" w:hAnsi="Arial"/>
                <w:b/>
                <w:sz w:val="18"/>
              </w:rPr>
              <w:t>District</w:t>
            </w:r>
          </w:p>
        </w:tc>
        <w:tc>
          <w:tcPr>
            <w:tcW w:type="dxa" w:w="1987"/>
          </w:tcPr>
          <w:p>
            <w:r>
              <w:rPr>
                <w:rFonts w:ascii="Arial" w:hAnsi="Arial"/>
                <w:b/>
                <w:sz w:val="18"/>
              </w:rPr>
              <w:t>Phase</w:t>
            </w:r>
          </w:p>
        </w:tc>
        <w:tc>
          <w:tcPr>
            <w:tcW w:type="dxa" w:w="1987"/>
          </w:tcPr>
          <w:p>
            <w:r>
              <w:rPr>
                <w:rFonts w:ascii="Arial" w:hAnsi="Arial"/>
                <w:b/>
                <w:sz w:val="18"/>
              </w:rPr>
              <w:t>Delta VH (dB)</w:t>
            </w:r>
          </w:p>
        </w:tc>
        <w:tc>
          <w:tcPr>
            <w:tcW w:type="dxa" w:w="1987"/>
          </w:tcPr>
          <w:p>
            <w:r>
              <w:rPr>
                <w:rFonts w:ascii="Arial" w:hAnsi="Arial"/>
                <w:b/>
                <w:sz w:val="18"/>
              </w:rPr>
              <w:t>Delta VV (dB)</w:t>
            </w:r>
          </w:p>
        </w:tc>
        <w:tc>
          <w:tcPr>
            <w:tcW w:type="dxa" w:w="1987"/>
          </w:tcPr>
          <w:p>
            <w:r>
              <w:rPr>
                <w:rFonts w:ascii="Arial" w:hAnsi="Arial"/>
                <w:b/>
                <w:sz w:val="18"/>
              </w:rPr>
              <w:t>Delta CR</w:t>
            </w:r>
          </w:p>
        </w:tc>
      </w:tr>
      <w:tr>
        <w:tc>
          <w:tcPr>
            <w:tcW w:type="dxa" w:w="1987"/>
          </w:tcPr>
          <w:p>
            <w:r>
              <w:rPr>
                <w:rFonts w:ascii="Arial" w:hAnsi="Arial"/>
                <w:sz w:val="18"/>
              </w:rPr>
              <w:t>Boudh</w:t>
            </w:r>
          </w:p>
        </w:tc>
        <w:tc>
          <w:tcPr>
            <w:tcW w:type="dxa" w:w="1987"/>
          </w:tcPr>
          <w:p>
            <w:r>
              <w:rPr>
                <w:rFonts w:ascii="Arial" w:hAnsi="Arial"/>
                <w:sz w:val="18"/>
              </w:rPr>
              <w:t>Agronomic transplanting (Jun-early Aug)</w:t>
            </w:r>
          </w:p>
        </w:tc>
        <w:tc>
          <w:tcPr>
            <w:tcW w:type="dxa" w:w="1987"/>
          </w:tcPr>
          <w:p>
            <w:r>
              <w:rPr>
                <w:rFonts w:ascii="Arial" w:hAnsi="Arial"/>
                <w:sz w:val="18"/>
              </w:rPr>
              <w:t>+1.25</w:t>
            </w:r>
          </w:p>
        </w:tc>
        <w:tc>
          <w:tcPr>
            <w:tcW w:type="dxa" w:w="1987"/>
          </w:tcPr>
          <w:p>
            <w:r>
              <w:rPr>
                <w:rFonts w:ascii="Arial" w:hAnsi="Arial"/>
                <w:sz w:val="18"/>
              </w:rPr>
              <w:t>+1.51</w:t>
            </w:r>
          </w:p>
        </w:tc>
        <w:tc>
          <w:tcPr>
            <w:tcW w:type="dxa" w:w="1987"/>
          </w:tcPr>
          <w:p>
            <w:r>
              <w:rPr>
                <w:rFonts w:ascii="Arial" w:hAnsi="Arial"/>
                <w:sz w:val="18"/>
              </w:rPr>
              <w:t>-0.013</w:t>
            </w:r>
          </w:p>
        </w:tc>
      </w:tr>
      <w:tr>
        <w:tc>
          <w:tcPr>
            <w:tcW w:type="dxa" w:w="1987"/>
          </w:tcPr>
          <w:p>
            <w:r>
              <w:rPr>
                <w:rFonts w:ascii="Arial" w:hAnsi="Arial"/>
                <w:sz w:val="18"/>
              </w:rPr>
              <w:t>Boudh</w:t>
            </w:r>
          </w:p>
        </w:tc>
        <w:tc>
          <w:tcPr>
            <w:tcW w:type="dxa" w:w="1987"/>
          </w:tcPr>
          <w:p>
            <w:r>
              <w:rPr>
                <w:rFonts w:ascii="Arial" w:hAnsi="Arial"/>
                <w:sz w:val="18"/>
              </w:rPr>
              <w:t>Peak canopy (mid-Aug-late Sep)</w:t>
            </w:r>
          </w:p>
        </w:tc>
        <w:tc>
          <w:tcPr>
            <w:tcW w:type="dxa" w:w="1987"/>
          </w:tcPr>
          <w:p>
            <w:r>
              <w:rPr>
                <w:rFonts w:ascii="Arial" w:hAnsi="Arial"/>
                <w:sz w:val="18"/>
              </w:rPr>
              <w:t>+1.39</w:t>
            </w:r>
          </w:p>
        </w:tc>
        <w:tc>
          <w:tcPr>
            <w:tcW w:type="dxa" w:w="1987"/>
          </w:tcPr>
          <w:p>
            <w:r>
              <w:rPr>
                <w:rFonts w:ascii="Arial" w:hAnsi="Arial"/>
                <w:sz w:val="18"/>
              </w:rPr>
              <w:t>+1.89</w:t>
            </w:r>
          </w:p>
        </w:tc>
        <w:tc>
          <w:tcPr>
            <w:tcW w:type="dxa" w:w="1987"/>
          </w:tcPr>
          <w:p>
            <w:r>
              <w:rPr>
                <w:rFonts w:ascii="Arial" w:hAnsi="Arial"/>
                <w:sz w:val="18"/>
              </w:rPr>
              <w:t>-0.024</w:t>
            </w:r>
          </w:p>
        </w:tc>
      </w:tr>
      <w:tr>
        <w:tc>
          <w:tcPr>
            <w:tcW w:type="dxa" w:w="1987"/>
          </w:tcPr>
          <w:p>
            <w:r>
              <w:rPr>
                <w:rFonts w:ascii="Arial" w:hAnsi="Arial"/>
                <w:sz w:val="18"/>
              </w:rPr>
              <w:t>Boudh</w:t>
            </w:r>
          </w:p>
        </w:tc>
        <w:tc>
          <w:tcPr>
            <w:tcW w:type="dxa" w:w="1987"/>
          </w:tcPr>
          <w:p>
            <w:r>
              <w:rPr>
                <w:rFonts w:ascii="Arial" w:hAnsi="Arial"/>
                <w:sz w:val="18"/>
              </w:rPr>
              <w:t>Bulbul event window (Nov 1-21)</w:t>
            </w:r>
          </w:p>
        </w:tc>
        <w:tc>
          <w:tcPr>
            <w:tcW w:type="dxa" w:w="1987"/>
          </w:tcPr>
          <w:p>
            <w:r>
              <w:rPr>
                <w:rFonts w:ascii="Arial" w:hAnsi="Arial"/>
                <w:sz w:val="18"/>
              </w:rPr>
              <w:t>+1.41</w:t>
            </w:r>
          </w:p>
        </w:tc>
        <w:tc>
          <w:tcPr>
            <w:tcW w:type="dxa" w:w="1987"/>
          </w:tcPr>
          <w:p>
            <w:r>
              <w:rPr>
                <w:rFonts w:ascii="Arial" w:hAnsi="Arial"/>
                <w:sz w:val="18"/>
              </w:rPr>
              <w:t>+1.46</w:t>
            </w:r>
          </w:p>
        </w:tc>
        <w:tc>
          <w:tcPr>
            <w:tcW w:type="dxa" w:w="1987"/>
          </w:tcPr>
          <w:p>
            <w:r>
              <w:rPr>
                <w:rFonts w:ascii="Arial" w:hAnsi="Arial"/>
                <w:sz w:val="18"/>
              </w:rPr>
              <w:t>-0.001</w:t>
            </w:r>
          </w:p>
        </w:tc>
      </w:tr>
      <w:tr>
        <w:tc>
          <w:tcPr>
            <w:tcW w:type="dxa" w:w="1987"/>
          </w:tcPr>
          <w:p>
            <w:r>
              <w:rPr>
                <w:rFonts w:ascii="Arial" w:hAnsi="Arial"/>
                <w:sz w:val="18"/>
              </w:rPr>
              <w:t>Ganjam</w:t>
            </w:r>
          </w:p>
        </w:tc>
        <w:tc>
          <w:tcPr>
            <w:tcW w:type="dxa" w:w="1987"/>
          </w:tcPr>
          <w:p>
            <w:r>
              <w:rPr>
                <w:rFonts w:ascii="Arial" w:hAnsi="Arial"/>
                <w:sz w:val="18"/>
              </w:rPr>
              <w:t>Agronomic transplanting (Jun-early Aug)</w:t>
            </w:r>
          </w:p>
        </w:tc>
        <w:tc>
          <w:tcPr>
            <w:tcW w:type="dxa" w:w="1987"/>
          </w:tcPr>
          <w:p>
            <w:r>
              <w:rPr>
                <w:rFonts w:ascii="Arial" w:hAnsi="Arial"/>
                <w:sz w:val="18"/>
              </w:rPr>
              <w:t>+0.07</w:t>
            </w:r>
          </w:p>
        </w:tc>
        <w:tc>
          <w:tcPr>
            <w:tcW w:type="dxa" w:w="1987"/>
          </w:tcPr>
          <w:p>
            <w:r>
              <w:rPr>
                <w:rFonts w:ascii="Arial" w:hAnsi="Arial"/>
                <w:sz w:val="18"/>
              </w:rPr>
              <w:t>+0.09</w:t>
            </w:r>
          </w:p>
        </w:tc>
        <w:tc>
          <w:tcPr>
            <w:tcW w:type="dxa" w:w="1987"/>
          </w:tcPr>
          <w:p>
            <w:r>
              <w:rPr>
                <w:rFonts w:ascii="Arial" w:hAnsi="Arial"/>
                <w:sz w:val="18"/>
              </w:rPr>
              <w:t>-0.002</w:t>
            </w:r>
          </w:p>
        </w:tc>
      </w:tr>
      <w:tr>
        <w:tc>
          <w:tcPr>
            <w:tcW w:type="dxa" w:w="1987"/>
          </w:tcPr>
          <w:p>
            <w:r>
              <w:rPr>
                <w:rFonts w:ascii="Arial" w:hAnsi="Arial"/>
                <w:sz w:val="18"/>
              </w:rPr>
              <w:t>Ganjam</w:t>
            </w:r>
          </w:p>
        </w:tc>
        <w:tc>
          <w:tcPr>
            <w:tcW w:type="dxa" w:w="1987"/>
          </w:tcPr>
          <w:p>
            <w:r>
              <w:rPr>
                <w:rFonts w:ascii="Arial" w:hAnsi="Arial"/>
                <w:sz w:val="18"/>
              </w:rPr>
              <w:t>Peak canopy (mid-Aug-late Sep)</w:t>
            </w:r>
          </w:p>
        </w:tc>
        <w:tc>
          <w:tcPr>
            <w:tcW w:type="dxa" w:w="1987"/>
          </w:tcPr>
          <w:p>
            <w:r>
              <w:rPr>
                <w:rFonts w:ascii="Arial" w:hAnsi="Arial"/>
                <w:sz w:val="18"/>
              </w:rPr>
              <w:t>-0.02</w:t>
            </w:r>
          </w:p>
        </w:tc>
        <w:tc>
          <w:tcPr>
            <w:tcW w:type="dxa" w:w="1987"/>
          </w:tcPr>
          <w:p>
            <w:r>
              <w:rPr>
                <w:rFonts w:ascii="Arial" w:hAnsi="Arial"/>
                <w:sz w:val="18"/>
              </w:rPr>
              <w:t>+0.46</w:t>
            </w:r>
          </w:p>
        </w:tc>
        <w:tc>
          <w:tcPr>
            <w:tcW w:type="dxa" w:w="1987"/>
          </w:tcPr>
          <w:p>
            <w:r>
              <w:rPr>
                <w:rFonts w:ascii="Arial" w:hAnsi="Arial"/>
                <w:sz w:val="18"/>
              </w:rPr>
              <w:t>-0.022</w:t>
            </w:r>
          </w:p>
        </w:tc>
      </w:tr>
      <w:tr>
        <w:tc>
          <w:tcPr>
            <w:tcW w:type="dxa" w:w="1987"/>
          </w:tcPr>
          <w:p>
            <w:r>
              <w:rPr>
                <w:rFonts w:ascii="Arial" w:hAnsi="Arial"/>
                <w:sz w:val="18"/>
              </w:rPr>
              <w:t>Ganjam</w:t>
            </w:r>
          </w:p>
        </w:tc>
        <w:tc>
          <w:tcPr>
            <w:tcW w:type="dxa" w:w="1987"/>
          </w:tcPr>
          <w:p>
            <w:r>
              <w:rPr>
                <w:rFonts w:ascii="Arial" w:hAnsi="Arial"/>
                <w:sz w:val="18"/>
              </w:rPr>
              <w:t>Bulbul event window (Nov 1-21)</w:t>
            </w:r>
          </w:p>
        </w:tc>
        <w:tc>
          <w:tcPr>
            <w:tcW w:type="dxa" w:w="1987"/>
          </w:tcPr>
          <w:p>
            <w:r>
              <w:rPr>
                <w:rFonts w:ascii="Arial" w:hAnsi="Arial"/>
                <w:sz w:val="18"/>
              </w:rPr>
              <w:t>+0.06</w:t>
            </w:r>
          </w:p>
        </w:tc>
        <w:tc>
          <w:tcPr>
            <w:tcW w:type="dxa" w:w="1987"/>
          </w:tcPr>
          <w:p>
            <w:r>
              <w:rPr>
                <w:rFonts w:ascii="Arial" w:hAnsi="Arial"/>
                <w:sz w:val="18"/>
              </w:rPr>
              <w:t>-0.42</w:t>
            </w:r>
          </w:p>
        </w:tc>
        <w:tc>
          <w:tcPr>
            <w:tcW w:type="dxa" w:w="1987"/>
          </w:tcPr>
          <w:p>
            <w:r>
              <w:rPr>
                <w:rFonts w:ascii="Arial" w:hAnsi="Arial"/>
                <w:sz w:val="18"/>
              </w:rPr>
              <w:t>+0.028</w:t>
            </w:r>
          </w:p>
        </w:tc>
      </w:tr>
      <w:tr>
        <w:tc>
          <w:tcPr>
            <w:tcW w:type="dxa" w:w="1987"/>
          </w:tcPr>
          <w:p>
            <w:r>
              <w:rPr>
                <w:rFonts w:ascii="Arial" w:hAnsi="Arial"/>
                <w:sz w:val="18"/>
              </w:rPr>
              <w:t>Khordha</w:t>
            </w:r>
          </w:p>
        </w:tc>
        <w:tc>
          <w:tcPr>
            <w:tcW w:type="dxa" w:w="1987"/>
          </w:tcPr>
          <w:p>
            <w:r>
              <w:rPr>
                <w:rFonts w:ascii="Arial" w:hAnsi="Arial"/>
                <w:sz w:val="18"/>
              </w:rPr>
              <w:t>Agronomic transplanting (Jun-early Aug)</w:t>
            </w:r>
          </w:p>
        </w:tc>
        <w:tc>
          <w:tcPr>
            <w:tcW w:type="dxa" w:w="1987"/>
          </w:tcPr>
          <w:p>
            <w:r>
              <w:rPr>
                <w:rFonts w:ascii="Arial" w:hAnsi="Arial"/>
                <w:sz w:val="18"/>
              </w:rPr>
              <w:t>+0.81</w:t>
            </w:r>
          </w:p>
        </w:tc>
        <w:tc>
          <w:tcPr>
            <w:tcW w:type="dxa" w:w="1987"/>
          </w:tcPr>
          <w:p>
            <w:r>
              <w:rPr>
                <w:rFonts w:ascii="Arial" w:hAnsi="Arial"/>
                <w:sz w:val="18"/>
              </w:rPr>
              <w:t>+1.28</w:t>
            </w:r>
          </w:p>
        </w:tc>
        <w:tc>
          <w:tcPr>
            <w:tcW w:type="dxa" w:w="1987"/>
          </w:tcPr>
          <w:p>
            <w:r>
              <w:rPr>
                <w:rFonts w:ascii="Arial" w:hAnsi="Arial"/>
                <w:sz w:val="18"/>
              </w:rPr>
              <w:t>-0.022</w:t>
            </w:r>
          </w:p>
        </w:tc>
      </w:tr>
      <w:tr>
        <w:tc>
          <w:tcPr>
            <w:tcW w:type="dxa" w:w="1987"/>
          </w:tcPr>
          <w:p>
            <w:r>
              <w:rPr>
                <w:rFonts w:ascii="Arial" w:hAnsi="Arial"/>
                <w:sz w:val="18"/>
              </w:rPr>
              <w:t>Khordha</w:t>
            </w:r>
          </w:p>
        </w:tc>
        <w:tc>
          <w:tcPr>
            <w:tcW w:type="dxa" w:w="1987"/>
          </w:tcPr>
          <w:p>
            <w:r>
              <w:rPr>
                <w:rFonts w:ascii="Arial" w:hAnsi="Arial"/>
                <w:sz w:val="18"/>
              </w:rPr>
              <w:t>Peak canopy (mid-Aug-late Sep)</w:t>
            </w:r>
          </w:p>
        </w:tc>
        <w:tc>
          <w:tcPr>
            <w:tcW w:type="dxa" w:w="1987"/>
          </w:tcPr>
          <w:p>
            <w:r>
              <w:rPr>
                <w:rFonts w:ascii="Arial" w:hAnsi="Arial"/>
                <w:sz w:val="18"/>
              </w:rPr>
              <w:t>+0.78</w:t>
            </w:r>
          </w:p>
        </w:tc>
        <w:tc>
          <w:tcPr>
            <w:tcW w:type="dxa" w:w="1987"/>
          </w:tcPr>
          <w:p>
            <w:r>
              <w:rPr>
                <w:rFonts w:ascii="Arial" w:hAnsi="Arial"/>
                <w:sz w:val="18"/>
              </w:rPr>
              <w:t>+1.43</w:t>
            </w:r>
          </w:p>
        </w:tc>
        <w:tc>
          <w:tcPr>
            <w:tcW w:type="dxa" w:w="1987"/>
          </w:tcPr>
          <w:p>
            <w:r>
              <w:rPr>
                <w:rFonts w:ascii="Arial" w:hAnsi="Arial"/>
                <w:sz w:val="18"/>
              </w:rPr>
              <w:t>-0.029</w:t>
            </w:r>
          </w:p>
        </w:tc>
      </w:tr>
      <w:tr>
        <w:tc>
          <w:tcPr>
            <w:tcW w:type="dxa" w:w="1987"/>
          </w:tcPr>
          <w:p>
            <w:r>
              <w:rPr>
                <w:rFonts w:ascii="Arial" w:hAnsi="Arial"/>
                <w:sz w:val="18"/>
              </w:rPr>
              <w:t>Khordha</w:t>
            </w:r>
          </w:p>
        </w:tc>
        <w:tc>
          <w:tcPr>
            <w:tcW w:type="dxa" w:w="1987"/>
          </w:tcPr>
          <w:p>
            <w:r>
              <w:rPr>
                <w:rFonts w:ascii="Arial" w:hAnsi="Arial"/>
                <w:sz w:val="18"/>
              </w:rPr>
              <w:t>Bulbul event window (Nov 1-21)</w:t>
            </w:r>
          </w:p>
        </w:tc>
        <w:tc>
          <w:tcPr>
            <w:tcW w:type="dxa" w:w="1987"/>
          </w:tcPr>
          <w:p>
            <w:r>
              <w:rPr>
                <w:rFonts w:ascii="Arial" w:hAnsi="Arial"/>
                <w:sz w:val="18"/>
              </w:rPr>
              <w:t>+1.63</w:t>
            </w:r>
          </w:p>
        </w:tc>
        <w:tc>
          <w:tcPr>
            <w:tcW w:type="dxa" w:w="1987"/>
          </w:tcPr>
          <w:p>
            <w:r>
              <w:rPr>
                <w:rFonts w:ascii="Arial" w:hAnsi="Arial"/>
                <w:sz w:val="18"/>
              </w:rPr>
              <w:t>+1.37</w:t>
            </w:r>
          </w:p>
        </w:tc>
        <w:tc>
          <w:tcPr>
            <w:tcW w:type="dxa" w:w="1987"/>
          </w:tcPr>
          <w:p>
            <w:r>
              <w:rPr>
                <w:rFonts w:ascii="Arial" w:hAnsi="Arial"/>
                <w:sz w:val="18"/>
              </w:rPr>
              <w:t>+0.017</w:t>
            </w:r>
          </w:p>
        </w:tc>
      </w:tr>
      <w:tr>
        <w:tc>
          <w:tcPr>
            <w:tcW w:type="dxa" w:w="1987"/>
          </w:tcPr>
          <w:p>
            <w:r>
              <w:rPr>
                <w:rFonts w:ascii="Arial" w:hAnsi="Arial"/>
                <w:sz w:val="18"/>
              </w:rPr>
              <w:t>Nayagarh</w:t>
            </w:r>
          </w:p>
        </w:tc>
        <w:tc>
          <w:tcPr>
            <w:tcW w:type="dxa" w:w="1987"/>
          </w:tcPr>
          <w:p>
            <w:r>
              <w:rPr>
                <w:rFonts w:ascii="Arial" w:hAnsi="Arial"/>
                <w:sz w:val="18"/>
              </w:rPr>
              <w:t>Agronomic transplanting (Jun-early Aug)</w:t>
            </w:r>
          </w:p>
        </w:tc>
        <w:tc>
          <w:tcPr>
            <w:tcW w:type="dxa" w:w="1987"/>
          </w:tcPr>
          <w:p>
            <w:r>
              <w:rPr>
                <w:rFonts w:ascii="Arial" w:hAnsi="Arial"/>
                <w:sz w:val="18"/>
              </w:rPr>
              <w:t>-0.03</w:t>
            </w:r>
          </w:p>
        </w:tc>
        <w:tc>
          <w:tcPr>
            <w:tcW w:type="dxa" w:w="1987"/>
          </w:tcPr>
          <w:p>
            <w:r>
              <w:rPr>
                <w:rFonts w:ascii="Arial" w:hAnsi="Arial"/>
                <w:sz w:val="18"/>
              </w:rPr>
              <w:t>+0.38</w:t>
            </w:r>
          </w:p>
        </w:tc>
        <w:tc>
          <w:tcPr>
            <w:tcW w:type="dxa" w:w="1987"/>
          </w:tcPr>
          <w:p>
            <w:r>
              <w:rPr>
                <w:rFonts w:ascii="Arial" w:hAnsi="Arial"/>
                <w:sz w:val="18"/>
              </w:rPr>
              <w:t>-0.021</w:t>
            </w:r>
          </w:p>
        </w:tc>
      </w:tr>
      <w:tr>
        <w:tc>
          <w:tcPr>
            <w:tcW w:type="dxa" w:w="1987"/>
          </w:tcPr>
          <w:p>
            <w:r>
              <w:rPr>
                <w:rFonts w:ascii="Arial" w:hAnsi="Arial"/>
                <w:sz w:val="18"/>
              </w:rPr>
              <w:t>Nayagarh</w:t>
            </w:r>
          </w:p>
        </w:tc>
        <w:tc>
          <w:tcPr>
            <w:tcW w:type="dxa" w:w="1987"/>
          </w:tcPr>
          <w:p>
            <w:r>
              <w:rPr>
                <w:rFonts w:ascii="Arial" w:hAnsi="Arial"/>
                <w:sz w:val="18"/>
              </w:rPr>
              <w:t>Peak canopy (mid-Aug-late Sep)</w:t>
            </w:r>
          </w:p>
        </w:tc>
        <w:tc>
          <w:tcPr>
            <w:tcW w:type="dxa" w:w="1987"/>
          </w:tcPr>
          <w:p>
            <w:r>
              <w:rPr>
                <w:rFonts w:ascii="Arial" w:hAnsi="Arial"/>
                <w:sz w:val="18"/>
              </w:rPr>
              <w:t>+0.01</w:t>
            </w:r>
          </w:p>
        </w:tc>
        <w:tc>
          <w:tcPr>
            <w:tcW w:type="dxa" w:w="1987"/>
          </w:tcPr>
          <w:p>
            <w:r>
              <w:rPr>
                <w:rFonts w:ascii="Arial" w:hAnsi="Arial"/>
                <w:sz w:val="18"/>
              </w:rPr>
              <w:t>+0.77</w:t>
            </w:r>
          </w:p>
        </w:tc>
        <w:tc>
          <w:tcPr>
            <w:tcW w:type="dxa" w:w="1987"/>
          </w:tcPr>
          <w:p>
            <w:r>
              <w:rPr>
                <w:rFonts w:ascii="Arial" w:hAnsi="Arial"/>
                <w:sz w:val="18"/>
              </w:rPr>
              <w:t>-0.036</w:t>
            </w:r>
          </w:p>
        </w:tc>
      </w:tr>
      <w:tr>
        <w:tc>
          <w:tcPr>
            <w:tcW w:type="dxa" w:w="1987"/>
          </w:tcPr>
          <w:p>
            <w:r>
              <w:rPr>
                <w:rFonts w:ascii="Arial" w:hAnsi="Arial"/>
                <w:sz w:val="18"/>
              </w:rPr>
              <w:t>Nayagarh</w:t>
            </w:r>
          </w:p>
        </w:tc>
        <w:tc>
          <w:tcPr>
            <w:tcW w:type="dxa" w:w="1987"/>
          </w:tcPr>
          <w:p>
            <w:r>
              <w:rPr>
                <w:rFonts w:ascii="Arial" w:hAnsi="Arial"/>
                <w:sz w:val="18"/>
              </w:rPr>
              <w:t>Bulbul event window (Nov 1-21)</w:t>
            </w:r>
          </w:p>
        </w:tc>
        <w:tc>
          <w:tcPr>
            <w:tcW w:type="dxa" w:w="1987"/>
          </w:tcPr>
          <w:p>
            <w:r>
              <w:rPr>
                <w:rFonts w:ascii="Arial" w:hAnsi="Arial"/>
                <w:sz w:val="18"/>
              </w:rPr>
              <w:t>+0.23</w:t>
            </w:r>
          </w:p>
        </w:tc>
        <w:tc>
          <w:tcPr>
            <w:tcW w:type="dxa" w:w="1987"/>
          </w:tcPr>
          <w:p>
            <w:r>
              <w:rPr>
                <w:rFonts w:ascii="Arial" w:hAnsi="Arial"/>
                <w:sz w:val="18"/>
              </w:rPr>
              <w:t>+0.36</w:t>
            </w:r>
          </w:p>
        </w:tc>
        <w:tc>
          <w:tcPr>
            <w:tcW w:type="dxa" w:w="1987"/>
          </w:tcPr>
          <w:p>
            <w:r>
              <w:rPr>
                <w:rFonts w:ascii="Arial" w:hAnsi="Arial"/>
                <w:sz w:val="18"/>
              </w:rPr>
              <w:t>-0.006</w:t>
            </w:r>
          </w:p>
        </w:tc>
      </w:tr>
    </w:tbl>
    <w:p>
      <w:r>
        <w:rPr>
          <w:rFonts w:ascii="Arial" w:hAnsi="Arial"/>
          <w:sz w:val="20"/>
        </w:rPr>
        <w:br w:type="page"/>
      </w:r>
    </w:p>
    <w:p>
      <w:pPr>
        <w:keepNext/>
        <w:spacing w:before="240" w:after="120"/>
      </w:pPr>
      <w:bookmarkStart w:id="59848" w:name="figure_s1"/>
      <w:r>
        <w:rPr>
          <w:rFonts w:ascii="Arial" w:hAnsi="Arial"/>
          <w:b/>
          <w:color w:val="1F3A5F"/>
          <w:sz w:val="32"/>
        </w:rPr>
        <w:t>Figure S1 — Pre-Kharif cyclone climatology</w:t>
      </w:r>
      <w:bookmarkEnd w:id="59848"/>
    </w:p>
    <w:p>
      <w:pPr>
        <w:jc w:val="center"/>
      </w:pPr>
      <w:r>
        <w:rPr>
          <w:rFonts w:ascii="Arial" w:hAnsi="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98386" w:name="figure_s2"/>
      <w:r>
        <w:rPr>
          <w:rFonts w:ascii="Arial" w:hAnsi="Arial"/>
          <w:b/>
          <w:color w:val="1F3A5F"/>
          <w:sz w:val="32"/>
        </w:rPr>
        <w:t>Figure S2 — Real Sentinel-1 RTC backscatter signatures (Planetary Computer)</w:t>
      </w:r>
      <w:bookmarkEnd w:id="98386"/>
    </w:p>
    <w:p>
      <w:pPr>
        <w:jc w:val="center"/>
      </w:pPr>
      <w:r>
        <w:rPr>
          <w:rFonts w:ascii="Arial" w:hAnsi="Arial"/>
          <w:sz w:val="20"/>
        </w:rPr>
        <w:drawing>
          <wp:inline xmlns:a="http://schemas.openxmlformats.org/drawingml/2006/main" xmlns:pic="http://schemas.openxmlformats.org/drawingml/2006/picture">
            <wp:extent cx="5943600" cy="6257393"/>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257393"/>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