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86400" cy="4813778"/>
                    </a:xfrm>
                    <a:prstGeom prst="rect"/>
                  </pic:spPr>
                </pic:pic>
              </a:graphicData>
            </a:graphic>
          </wp:inline>
        </w:drawing>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46"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2847666"/>
            <wp:docPr id="3" name="Picture 3"/>
            <wp:cNvGraphicFramePr>
              <a:graphicFrameLocks noChangeAspect="1"/>
            </wp:cNvGraphicFramePr>
            <a:graphic>
              <a:graphicData uri="http://schemas.openxmlformats.org/drawingml/2006/picture">
                <pic:pic>
                  <pic:nvPicPr>
                    <pic:cNvPr id="0" name="fig2_did_coefplot.png"/>
                    <pic:cNvPicPr/>
                  </pic:nvPicPr>
                  <pic:blipFill>
                    <a:blip r:embed="rId11"/>
                    <a:stretch>
                      <a:fillRect/>
                    </a:stretch>
                  </pic:blipFill>
                  <pic:spPr>
                    <a:xfrm>
                      <a:off x="0" y="0"/>
                      <a:ext cx="5486400" cy="2847666"/>
                    </a:xfrm>
                    <a:prstGeom prst="rect"/>
                  </pic:spPr>
                </pic:pic>
              </a:graphicData>
            </a:graphic>
          </wp:inline>
        </w:drawing>
      </w:r>
    </w:p>
    <w:p>
      <w:pPr>
        <w:jc w:val="center"/>
      </w:pPr>
      <w:r>
        <w:drawing>
          <wp:inline>
            <wp:extent cx="5486400" cy="4762790"/>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486400" cy="4762790"/>
                    </a:xfrm>
                    <a:prstGeom prst="rect"/>
                  </pic:spPr>
                </pic:pic>
              </a:graphicData>
            </a:graphic>
          </wp:inline>
        </w:drawing>
      </w:r>
    </w:p>
    <w:bookmarkEnd w:id="31"/>
    <w:bookmarkStart w:id="32" w:name="pre-processing"/>
    <w:p>
      <w:pPr>
        <w:pStyle w:val="Heading3"/>
      </w:pPr>
      <w:r>
        <w:t xml:space="preserve">3.2 Pre-processing</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jc w:val="center"/>
      </w:pPr>
      <w:r>
        <w:drawing>
          <wp:inline>
            <wp:extent cx="5486400" cy="5777910"/>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486400" cy="5777910"/>
                    </a:xfrm>
                    <a:prstGeom prst="rect"/>
                  </pic:spPr>
                </pic:pic>
              </a:graphicData>
            </a:graphic>
          </wp:inline>
        </w:drawing>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6"/>
    <w:bookmarkStart w:id="42"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7"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7"/>
    <w:bookmarkStart w:id="38"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8"/>
    <w:bookmarkStart w:id="39"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39"/>
    <w:bookmarkStart w:id="40" w:name="Xa6e558f80873110a09fd9195f91682c3595408b"/>
    <w:p>
      <w:pPr>
        <w:pStyle w:val="Heading4"/>
      </w:pPr>
      <w:r>
        <w:t xml:space="preserve">3.7.4 Placebo / falsification tests (Module 05e, Table S7, Figure 6)</w:t>
      </w:r>
    </w:p>
    <w:p>
      <w:pPr>
        <w:jc w:val="center"/>
      </w:pPr>
      <w:r>
        <w:drawing>
          <wp:inline>
            <wp:extent cx="5486400" cy="3398622"/>
            <wp:docPr id="7" name="Picture 7"/>
            <wp:cNvGraphicFramePr>
              <a:graphicFrameLocks noChangeAspect="1"/>
            </wp:cNvGraphicFramePr>
            <a:graphic>
              <a:graphicData uri="http://schemas.openxmlformats.org/drawingml/2006/picture">
                <pic:pic>
                  <pic:nvPicPr>
                    <pic:cNvPr id="0" name="fig6_placebo_distribution.png"/>
                    <pic:cNvPicPr/>
                  </pic:nvPicPr>
                  <pic:blipFill>
                    <a:blip r:embed="rId15"/>
                    <a:stretch>
                      <a:fillRect/>
                    </a:stretch>
                  </pic:blipFill>
                  <pic:spPr>
                    <a:xfrm>
                      <a:off x="0" y="0"/>
                      <a:ext cx="5486400" cy="3398622"/>
                    </a:xfrm>
                    <a:prstGeom prst="rect"/>
                  </pic:spPr>
                </pic:pic>
              </a:graphicData>
            </a:graphic>
          </wp:inline>
        </w:drawing>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estimated empirically from the real v2.1 corrected-SOS panel via a two-way fixed-effects decomposition (Note S4; (</w:t>
      </w:r>
      <w:r>
        <w:rPr>
          <w:i/>
          <w:iCs/>
        </w:rPr>
        <w:t xml:space="preserve">u = 13.06) d, (</w:t>
      </w:r>
      <w:r>
        <w:rPr>
          <w:i/>
          <w:i/>
          <w:iCs/>
          <w:iCs/>
        </w:rPr>
        <w:t xml:space="preserve">t = 41.75) d, (</w:t>
      </w:r>
      <w:r>
        <w:rPr>
          <w:i/>
          <w:iCs/>
        </w:rPr>
        <w:t xml:space="preserve">= 31.28) d), and report the empirical rejection rate for (</w:t>
      </w:r>
      <w:r>
        <w:rPr>
          <w:i/>
          <w:iCs/>
        </w:rPr>
        <w:t xml:space="preserve">{0, 5, 10, 15, 20, 30, 40, 60, 80, 100}) days at (G</w:t>
      </w:r>
      <w:r>
        <w:rPr>
          <w:i/>
          <w:iCs/>
        </w:rPr>
        <w:t xml:space="preserve"> </w:t>
      </w:r>
      <w:r>
        <w:rPr>
          <w:i/>
          <w:iCs/>
        </w:rPr>
        <w:t xml:space="preserve">{4, 6, 8, 12}) over 999 replications per grid point. At G = 8 (this study) power ≥ 0.80 is reached only for (</w:t>
      </w:r>
      <w:r>
        <w:rPr>
          <w:i/>
          <w:iCs/>
        </w:rPr>
        <w:t xml:space="preserve">) d; the type-I rate under (H_0) is 0.07 — close to nominal 0.05, indicating CR1 with df = G − 1 is well-sized for this design. This empirical MDE of ≈60 d is an order of magnitude above the observed (|</w:t>
      </w:r>
      <w:r>
        <w:t xml:space="preserve">{</w:t>
      </w:r>
      <w:r>
        <w:t xml:space="preserve">}|) = 15.1 d, so the WCR non-rejection (p = 0.4065) is</w:t>
      </w:r>
      <w:r>
        <w:t xml:space="preserve"> </w:t>
      </w:r>
      <w:r>
        <w:rPr>
          <w:i/>
          <w:iCs/>
        </w:rPr>
        <w:t xml:space="preserve">inferentially expected</w:t>
      </w:r>
      <w:r>
        <w:t xml:space="preserve"> </w:t>
      </w:r>
      <w:r>
        <w:t xml:space="preserve">rather than evidence against an underlying effect — the central rationale for our re-framing of v2.1 as a transparent null. Power curves are reported in Figure 5 and Table S6.</w:t>
      </w:r>
    </w:p>
    <w:p>
      <w:pPr>
        <w:jc w:val="center"/>
      </w:pPr>
      <w:r>
        <w:drawing>
          <wp:inline>
            <wp:extent cx="5486400" cy="3736742"/>
            <wp:docPr id="6" name="Picture 6"/>
            <wp:cNvGraphicFramePr>
              <a:graphicFrameLocks noChangeAspect="1"/>
            </wp:cNvGraphicFramePr>
            <a:graphic>
              <a:graphicData uri="http://schemas.openxmlformats.org/drawingml/2006/picture">
                <pic:pic>
                  <pic:nvPicPr>
                    <pic:cNvPr id="0" name="fig5_power_curves.png"/>
                    <pic:cNvPicPr/>
                  </pic:nvPicPr>
                  <pic:blipFill>
                    <a:blip r:embed="rId14"/>
                    <a:stretch>
                      <a:fillRect/>
                    </a:stretch>
                  </pic:blipFill>
                  <pic:spPr>
                    <a:xfrm>
                      <a:off x="0" y="0"/>
                      <a:ext cx="5486400" cy="3736742"/>
                    </a:xfrm>
                    <a:prstGeom prst="rect"/>
                  </pic:spPr>
                </pic:pic>
              </a:graphicData>
            </a:graphic>
          </wp:inline>
        </w:drawing>
      </w:r>
    </w:p>
    <w:bookmarkEnd w:id="41"/>
    <w:bookmarkEnd w:id="42"/>
    <w:bookmarkStart w:id="43"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4">
        <w:r>
          <w:rPr>
            <w:rStyle w:val="Hyperlink"/>
          </w:rPr>
          <w:t xml:space="preserve">10.17632/z3zxk4xy3c.1</w:t>
        </w:r>
      </w:hyperlink>
      <w:r>
        <w:t xml:space="preserve">).</w:t>
      </w:r>
    </w:p>
    <w:p>
      <w:r>
        <w:pict>
          <v:rect style="width:0;height:1.5pt" o:hralign="center" o:hrstd="t" o:hr="t"/>
        </w:pict>
      </w:r>
    </w:p>
    <w:bookmarkEnd w:id="45"/>
    <w:bookmarkEnd w:id="46"/>
    <w:bookmarkStart w:id="54" w:name="results"/>
    <w:p>
      <w:pPr>
        <w:pStyle w:val="Heading2"/>
      </w:pPr>
      <w:r>
        <w:t xml:space="preserve">4. Results</w:t>
      </w:r>
    </w:p>
    <w:bookmarkStart w:id="47"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7"/>
    <w:bookmarkStart w:id="48"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8"/>
    <w:bookmarkStart w:id="49"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t xml:space="preserve">4.4 Difference-in-Differences Estimates and Robustness</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5,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v2.1 panel’s idiosyncratic residual SD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0"/>
    <w:bookmarkStart w:id="51"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1"/>
    <w:bookmarkStart w:id="52"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3"/>
    <w:bookmarkEnd w:id="54"/>
    <w:bookmarkStart w:id="60" w:name="discussion"/>
    <w:p>
      <w:pPr>
        <w:pStyle w:val="Heading2"/>
      </w:pPr>
      <w:r>
        <w:t xml:space="preserve">5. Discussion</w:t>
      </w:r>
    </w:p>
    <w:bookmarkStart w:id="55"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9"/>
    <w:bookmarkEnd w:id="60"/>
    <w:bookmarkStart w:id="61"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1"/>
    <w:bookmarkStart w:id="62"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2"/>
    <w:bookmarkStart w:id="63"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3"/>
    <w:bookmarkStart w:id="6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4"/>
    <w:bookmarkStart w:id="65"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5"/>
    <w:bookmarkStart w:id="72"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4">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6">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7">
        <w:r>
          <w:rPr>
            <w:rStyle w:val="Hyperlink"/>
          </w:rPr>
          <w:t xml:space="preserve">10.5281/zenodo.20024578</w:t>
        </w:r>
      </w:hyperlink>
      <w:r>
        <w:t xml:space="preserve">; v0.1.1-prereg DOI:</w:t>
      </w:r>
      <w:r>
        <w:t xml:space="preserve"> </w:t>
      </w:r>
      <w:hyperlink r:id="rId68">
        <w:r>
          <w:rPr>
            <w:rStyle w:val="Hyperlink"/>
          </w:rPr>
          <w:t xml:space="preserve">10.5281/zenodo.20024579</w:t>
        </w:r>
      </w:hyperlink>
      <w:r>
        <w:t xml:space="preserve">; v1.0.0-submission DOI:</w:t>
      </w:r>
      <w:r>
        <w:t xml:space="preserve"> </w:t>
      </w:r>
      <w:hyperlink r:id="rId69">
        <w:r>
          <w:rPr>
            <w:rStyle w:val="Hyperlink"/>
          </w:rPr>
          <w:t xml:space="preserve">10.5281/zenodo.20585636</w:t>
        </w:r>
      </w:hyperlink>
      <w:r>
        <w:t xml:space="preserve">; v1.0.1-submission DOI:</w:t>
      </w:r>
      <w:r>
        <w:t xml:space="preserve"> </w:t>
      </w:r>
      <w:hyperlink r:id="rId70">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1">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2"/>
    <w:bookmarkStart w:id="74"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3">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2026-06-09T03:28:06Z</dcterms:created>
  <dcterms:modified xsi:type="dcterms:W3CDTF">2026-06-09T03:28:06Z</dcterms:modified>
</cp:coreProperties>
</file>

<file path=docProps/custom.xml><?xml version="1.0" encoding="utf-8"?>
<Properties xmlns="http://schemas.openxmlformats.org/officeDocument/2006/custom-properties" xmlns:vt="http://schemas.openxmlformats.org/officeDocument/2006/docPropsVTypes"/>
</file>