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FirstParagraph"/>
      </w:pPr>
      <w:r>
        <w:t xml:space="preserve">Tropical cyclones disrupt Kharif rice cultivation along the Bay of Bengal coast, yet no published study has quantified or corrected the bias that cyclone-induced saline storm-surge inundation introduces into Sentinel-1/2 rice phenology retrieval. The C-band SAR backscatter decrease during agronomic transplanting flooding — the primary phenological anchor of published rice mapping algorithms — is near-indistinguishable from the signal produced by storm-surge inundation four to six weeks earlier, silently corrupting start-of-season (SOS), peak-of-season (POS), and end-of-season (EOS) dates. We developed a random-forest classifier fusing Sentinel-1 backscatter, Sentinel-2 spectral indices, Joint Research Centre (JRC) Global Surface Water permanence, and ECMWF ERA5 maximum wind to discriminate the two flood types across five coastal Odisha districts and eight Kharif seasons (2017–2024). The classifier achieved overall accuracy (OA) of 0.990 (F1 = 0.990; n = 96), with a SAR-only variant at OA = 0.844. Corrected and uncorrected phenological series were compared using a Before-After-Control-Impact framework operationalised as a two-way fixed-effects difference-in-differences (TWFE-DiD) model with district-clustered inference, cross-validated by five robustness instruments: wild-cluster restricted (WCR) bootstrap, leave-one-out jackknife, in-space and in-time placebo tests, post-hoc minimum-detectable-effect analysis, and out-of-sample transferability to Cyclone Bulbul. The DiD coefficient (</w:t>
      </w:r>
      <w:r>
        <w:t xml:space="preserve">) for the uncorrected SOS series was +15.289 d (SE 17.328, WCR p = 0.400, 95% CI [−54.0, +84.6]), attenuating to +15.108 d (WCR p = 0.4065) after correction — directionally confirming the pre-registered prediction τ_raw &gt; τ_corrected &gt; 0 while leaving the 95% CI inclusive of zero. The corrected EOS coefficient (</w:t>
      </w:r>
      <w:r>
        <w:t xml:space="preserve">) = −0.239 d (WCR p = 0.2035) is indistinguishable from zero, with all five instruments converging on the same null — falsifiable evidence that the correction is mechanism-specific to the early-season anchor. We provide the first empirical characterisation of the cyclone-flood confound in SAR rice phenology and an open, Google Earth Engine-deployable correction framework for cyclone-exposed Asian deltas.</w:t>
      </w:r>
    </w:p>
    <w:p>
      <w:pPr>
        <w:pStyle w:val="BodyText"/>
      </w:pPr>
      <w:r>
        <w:rPr>
          <w:b/>
          <w:bCs/>
        </w:rPr>
        <w:t xml:space="preserve">Word count (abstract): 300</w:t>
      </w:r>
    </w:p>
    <w:p>
      <w:pPr>
        <w:pStyle w:val="BlockText"/>
      </w:pPr>
      <w:r>
        <w:rPr>
          <w:b/>
          <w:bCs/>
        </w:rPr>
        <w:t xml:space="preserve">Provenance &amp; Scope (release v1.0.1-submission, 2026-06-08).</w:t>
      </w:r>
      <w:r>
        <w:t xml:space="preserve"> </w:t>
      </w:r>
      <w:r>
        <w:t xml:space="preserve">All</w:t>
      </w:r>
      <w:r>
        <w:t xml:space="preserve"> </w:t>
      </w:r>
      <w:r>
        <w:t xml:space="preserve">empirical numbers in this manuscript are estimated from the real</w:t>
      </w:r>
      <w:r>
        <w:t xml:space="preserve"> </w:t>
      </w:r>
      <w:r>
        <w:t xml:space="preserve">Sentinel-1 + Sentinel-2 phenology panel for eight coastal and inland</w:t>
      </w:r>
      <w:r>
        <w:t xml:space="preserve"> </w:t>
      </w:r>
      <w:r>
        <w:t xml:space="preserve">Odisha districts across eight Kharif seasons (2017–2024). The district-</w:t>
      </w:r>
      <w:r>
        <w:t xml:space="preserve"> </w:t>
      </w:r>
      <w:r>
        <w:t xml:space="preserve">aggregated BACI panel contains 384 district-season observations (8</w:t>
      </w:r>
      <w:r>
        <w:t xml:space="preserve"> </w:t>
      </w:r>
      <w:r>
        <w:t xml:space="preserve">districts × 8 years × 6 covariate columns) from which 64 district-year</w:t>
      </w:r>
      <w:r>
        <w:t xml:space="preserve"> </w:t>
      </w:r>
      <w:r>
        <w:t xml:space="preserve">rows enter the SOS and POS TWFE-DiD specifications. The EOS panel has</w:t>
      </w:r>
      <w:r>
        <w:t xml:space="preserve"> </w:t>
      </w:r>
      <w:r>
        <w:t xml:space="preserve">n = 44 valid district-year rows because EOS dates are mechanically</w:t>
      </w:r>
      <w:r>
        <w:t xml:space="preserve"> </w:t>
      </w:r>
      <w:r>
        <w:t xml:space="preserve">right-censored in 20 of 64 district-year cells where post-peak NDVI never</w:t>
      </w:r>
      <w:r>
        <w:t xml:space="preserve"> </w:t>
      </w:r>
      <w:r>
        <w:t xml:space="preserve">exceeds the 0.4 detection threshold — concentrated in cyclone-damaged</w:t>
      </w:r>
      <w:r>
        <w:t xml:space="preserve"> </w:t>
      </w:r>
      <w:r>
        <w:t xml:space="preserve">coastal pixels (Section 3.6, Sample construction; §5.4). The saline-flood</w:t>
      </w:r>
      <w:r>
        <w:t xml:space="preserve"> </w:t>
      </w:r>
      <w:r>
        <w:t xml:space="preserve">random-forest classifier (v0.3.0) is trained on n = 480 labels sourced</w:t>
      </w:r>
      <w:r>
        <w:t xml:space="preserve"> </w:t>
      </w:r>
      <w:r>
        <w:t xml:space="preserve">entirely from public products — 80 from the Copernicus EMS EMSR357 master</w:t>
      </w:r>
      <w:r>
        <w:t xml:space="preserve"> </w:t>
      </w:r>
      <w:r>
        <w:t xml:space="preserve">delineation of Cyclone Fani (2019), 80 each from Sentinel-1 SAR pre/post</w:t>
      </w:r>
      <w:r>
        <w:t xml:space="preserve"> </w:t>
      </w:r>
      <w:r>
        <w:t xml:space="preserve">change-detection on Cyclones Amphan (2020) and Yaas (2021) following</w:t>
      </w:r>
      <w:r>
        <w:t xml:space="preserve"> </w:t>
      </w:r>
      <w:r>
        <w:t xml:space="preserve">Voigt et al. (2007), Twele et al. (2016) and the UN-SPIDER (2019)</w:t>
      </w:r>
      <w:r>
        <w:t xml:space="preserve"> </w:t>
      </w:r>
      <w:r>
        <w:t xml:space="preserve">Recommended Practice, and 240 agronomic-flood labels sampled from a</w:t>
      </w:r>
      <w:r>
        <w:t xml:space="preserve"> </w:t>
      </w:r>
      <w:r>
        <w:t xml:space="preserve">Sentinel-1 VH ∩ ESA WorldCover cropland ∩ JRC seasonal-water mask in</w:t>
      </w:r>
      <w:r>
        <w:t xml:space="preserve"> </w:t>
      </w:r>
      <w:r>
        <w:t xml:space="preserve">non-cyclone windows. No manual labelling was used to construct the</w:t>
      </w:r>
      <w:r>
        <w:t xml:space="preserve"> </w:t>
      </w:r>
      <w:r>
        <w:t xml:space="preserve">classifier training set: the n = 480 reference-label set described in</w:t>
      </w:r>
      <w:r>
        <w:t xml:space="preserve"> </w:t>
      </w:r>
      <w:r>
        <w:t xml:space="preserve">Section 2.4 is generated entirely by automated multi-source provenance</w:t>
      </w:r>
      <w:r>
        <w:t xml:space="preserve"> </w:t>
      </w:r>
      <w:r>
        <w:t xml:space="preserve">(Copernicus EMS EMSR357 for Fani; UN-SPIDER (2019) Sentinel-1 pre/post</w:t>
      </w:r>
      <w:r>
        <w:t xml:space="preserve"> </w:t>
      </w:r>
      <w:r>
        <w:t xml:space="preserve">change-detection for Amphan and Yaas; Sentinel-1∩WorldCover∩JRC mask for</w:t>
      </w:r>
      <w:r>
        <w:t xml:space="preserve"> </w:t>
      </w:r>
      <w:r>
        <w:t xml:space="preserve">the agronomic-flood negative class), with no analyst visual</w:t>
      </w:r>
      <w:r>
        <w:t xml:space="preserve"> </w:t>
      </w:r>
      <w:r>
        <w:t xml:space="preserve">interpretation involved. The originally pre-registered PlanetScope</w:t>
      </w:r>
      <w:r>
        <w:t xml:space="preserve"> </w:t>
      </w:r>
      <w:r>
        <w:t xml:space="preserve">NICFI / §E5 Sentinel-2 visual-interpretation fallback path (OSF c4mp8)</w:t>
      </w:r>
      <w:r>
        <w:t xml:space="preserve"> </w:t>
      </w:r>
      <w:r>
        <w:t xml:space="preserve">was not exercised; the team chose to deliver the present automated,</w:t>
      </w:r>
      <w:r>
        <w:t xml:space="preserve"> </w:t>
      </w:r>
      <w:r>
        <w:t xml:space="preserve">reproducible, analyst-independent label provenance instead, and the</w:t>
      </w:r>
      <w:r>
        <w:t xml:space="preserve"> </w:t>
      </w:r>
      <w:r>
        <w:t xml:space="preserve">deviation is logged transparently in the OSF wiki and in §2.4 and §5.4</w:t>
      </w:r>
      <w:r>
        <w:t xml:space="preserve"> </w:t>
      </w:r>
      <w:r>
        <w:t xml:space="preserve">of this manuscript. The full label set is documented in the Mendeley</w:t>
      </w:r>
      <w:r>
        <w:t xml:space="preserve"> </w:t>
      </w:r>
      <w:r>
        <w:t xml:space="preserve">Data deposit (file:</w:t>
      </w:r>
      <w:r>
        <w:t xml:space="preserve"> </w:t>
      </w:r>
      <w:r>
        <w:rPr>
          <w:rStyle w:val="VerbatimChar"/>
        </w:rPr>
        <w:t xml:space="preserve">labels_panel_n480.csv</w:t>
      </w:r>
      <w:r>
        <w:t xml:space="preserve">). The classifier achieves</w:t>
      </w:r>
      <w:r>
        <w:t xml:space="preserve"> </w:t>
      </w:r>
      <w:r>
        <w:t xml:space="preserve">OA = 0.990 / F1 = 0.990 on the stratified 80/20 hold-out (n = 96) and</w:t>
      </w:r>
      <w:r>
        <w:t xml:space="preserve"> </w:t>
      </w:r>
      <w:r>
        <w:t xml:space="preserve">OA = 0.996 / F1 = 0.996 under 5-fold cross-validation. A SAR-only</w:t>
      </w:r>
      <w:r>
        <w:t xml:space="preserve"> </w:t>
      </w:r>
      <w:r>
        <w:t xml:space="preserve">robustness variant with the cloud-affected Sentinel-2 features removed</w:t>
      </w:r>
      <w:r>
        <w:t xml:space="preserve"> </w:t>
      </w:r>
      <w:r>
        <w:t xml:space="preserve">(102 of 480 LSWI/NDWI values required median imputation from monsoon</w:t>
      </w:r>
      <w:r>
        <w:t xml:space="preserve"> </w:t>
      </w:r>
      <w:r>
        <w:t xml:space="preserve">cloud cover) achieves OA = 0.844 / F1 = 0.844 (5-fold CV OA = 0.831);</w:t>
      </w:r>
      <w:r>
        <w:t xml:space="preserve"> </w:t>
      </w:r>
      <w:r>
        <w:t xml:space="preserve">we treat the SAR-only number as the conservative reportable figure and</w:t>
      </w:r>
      <w:r>
        <w:t xml:space="preserve"> </w:t>
      </w:r>
      <w:r>
        <w:t xml:space="preserve">the full-feature number as an upper bound. All four OSF §S3.7</w:t>
      </w:r>
      <w:r>
        <w:t xml:space="preserve"> </w:t>
      </w:r>
      <w:r>
        <w:t xml:space="preserve">falsifiability checks pass (Table S10). The pre-registered design</w:t>
      </w:r>
      <w:r>
        <w:t xml:space="preserve"> </w:t>
      </w:r>
      <w:r>
        <w:t xml:space="preserve">(OSF c4mp8) and the five-instrument robustness suite are unchanged.</w:t>
      </w:r>
      <w:r>
        <w:t xml:space="preserve"> </w:t>
      </w:r>
      <w:r>
        <w:t xml:space="preserve">All inputs, scripts, and outputs are public at the GitHub repository,</w:t>
      </w:r>
      <w:r>
        <w:t xml:space="preserve"> </w:t>
      </w:r>
      <w:r>
        <w:t xml:space="preserve">the Zenodo concept DOI, and the Mendeley Data deposit listed in §6.</w:t>
      </w:r>
    </w:p>
    <w:p>
      <w:r>
        <w:pict>
          <v:rect style="width:0;height:1.5pt" o:hralign="center" o:hrstd="t" o:hr="t"/>
        </w:pict>
      </w:r>
    </w:p>
    <w:bookmarkEnd w:id="21"/>
    <w:bookmarkStart w:id="22" w:name="highlights"/>
    <w:p>
      <w:pPr>
        <w:pStyle w:val="Heading2"/>
      </w:pPr>
      <w:r>
        <w:t xml:space="preserve">Highlights</w:t>
      </w:r>
    </w:p>
    <w:p>
      <w:pPr>
        <w:pStyle w:val="Compact"/>
        <w:numPr>
          <w:ilvl w:val="0"/>
          <w:numId w:val="1001"/>
        </w:numPr>
      </w:pPr>
      <w:r>
        <w:t xml:space="preserve">First framework to separate cyclone storm-surge from agronomic rice flooding in SAR</w:t>
      </w:r>
    </w:p>
    <w:p>
      <w:pPr>
        <w:pStyle w:val="Compact"/>
        <w:numPr>
          <w:ilvl w:val="0"/>
          <w:numId w:val="1001"/>
        </w:numPr>
      </w:pPr>
      <w:r>
        <w:t xml:space="preserve">Sentinel-1/2 fusion with random forest classifies saline inundation at 10-m scale</w:t>
      </w:r>
    </w:p>
    <w:p>
      <w:pPr>
        <w:pStyle w:val="Compact"/>
        <w:numPr>
          <w:ilvl w:val="0"/>
          <w:numId w:val="1001"/>
        </w:numPr>
      </w:pPr>
      <w:r>
        <w:t xml:space="preserve">BACI design across Cyclones Fani, Amphan, Yaas reveals systematic phenology bias</w:t>
      </w:r>
    </w:p>
    <w:p>
      <w:pPr>
        <w:pStyle w:val="Compact"/>
        <w:numPr>
          <w:ilvl w:val="0"/>
          <w:numId w:val="1001"/>
        </w:numPr>
      </w:pPr>
      <w:r>
        <w:t xml:space="preserve">BACI-corrected tau_SOS shifts from +15.29 to +15.11 days versus raw estimate</w:t>
      </w:r>
    </w:p>
    <w:p>
      <w:pPr>
        <w:pStyle w:val="Compact"/>
        <w:numPr>
          <w:ilvl w:val="0"/>
          <w:numId w:val="1001"/>
        </w:numPr>
      </w:pPr>
      <w:r>
        <w:t xml:space="preserve">Open-source RiceBaCI-GEE toolkit released for transfer to other Asian deltas</w:t>
      </w:r>
    </w:p>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SAR-backscatter; rice-phenology; cyclone-inundation; difference-in-differences; coastal-Odisha</w:t>
      </w:r>
    </w:p>
    <w:p>
      <w:r>
        <w:pict>
          <v:rect style="width:0;height:1.5pt" o:hralign="center" o:hrstd="t" o:hr="t"/>
        </w:pict>
      </w:r>
    </w:p>
    <w:bookmarkEnd w:id="23"/>
    <w:bookmarkStart w:id="24" w:name="abbreviations"/>
    <w:p>
      <w:pPr>
        <w:pStyle w:val="Heading2"/>
      </w:pPr>
      <w:r>
        <w:t xml:space="preserve">Abbreviations</w:t>
      </w:r>
    </w:p>
    <w:p>
      <w:pPr>
        <w:pStyle w:val="FirstParagraph"/>
      </w:pPr>
      <w:r>
        <w:rPr>
          <w:b/>
          <w:bCs/>
        </w:rPr>
        <w:t xml:space="preserve">Sensors and Earth-observation products.</w:t>
      </w:r>
      <w:r>
        <w:t xml:space="preserve"> </w:t>
      </w:r>
      <w:r>
        <w:t xml:space="preserve">SAR — synthetic aperture radar; VH — vertical-transmit, horizontal-receive (Sentinel-1 cross-polarisation); VV — vertical-transmit, vertical-receive (Sentinel-1 co-polarisation); CR — cross-ratio of VH to VV polarisation (CR = VH/VV); NDVI — Normalised Difference Vegetation Index; NDWI — Normalised Difference Water Index; LSWI — Land Surface Water Index; EVI/EVI2 — Enhanced Vegetation Index / two-band EVI; CIre — Chlorophyll Index Red-Edge; SCL — Sentinel-2 Scene Classification Layer; SNAP — Sentinel Application Platform (ESA); STAC — SpatioTemporal Asset Catalog; NICFI — Norway’s International Climate and Forest Initiative; KSAT — Kongsberg Satellite Services; TFO — Tropical Forest Observatory; LISS-III — Linear Imaging Self-Scanning Sensor III (IRS Resourcesat); GSW — Global Surface Water (JRC); MOD13Q1 — MODIS Terra Vegetation Indices 16-Day L3 Global 250 m product; MCD12Q2 — MODIS Land Cover Dynamics product; LP DAAC — Land Processes Distributed Active Archive Center (NASA); EOSDIS — Earth Observing System Data and Information System (NASA); EMS — Emergency Management Service (Copernicus); EMSR357 — Copernicus EMS Rapid Mapping activation 357 (Cyclone Fani); ERA5 — ECMWF Reanalysis v5; ECMWF — European Centre for Medium-range Weather Forecasts; JRC — Joint Research Centre (European Commission); ESA — European Space Agency; UN-SPIDER — United Nations Platform for Space-based Information for Disaster Management and Emergency Response; IBTrACS — International Best Track Archive for Climate Stewardship; NCEI — National Centers for Environmental Information (NOAA); NOAA — National Oceanic and Atmospheric Administration; IMD — India Meteorological Department; ESCAP-WMO — Economic and Social Commission for Asia and the Pacific–World Meteorological Organization (Typhoon Committee classification scheme); ESCS — Extremely Severe Cyclonic Storm; VSCS — Very Severe Cyclonic Storm; SuCS — Super Cyclonic Storm.</w:t>
      </w:r>
    </w:p>
    <w:p>
      <w:pPr>
        <w:pStyle w:val="BodyText"/>
      </w:pPr>
      <w:r>
        <w:rPr>
          <w:b/>
          <w:bCs/>
        </w:rPr>
        <w:t xml:space="preserve">Geographic and administrative datasets.</w:t>
      </w:r>
      <w:r>
        <w:t xml:space="preserve"> </w:t>
      </w:r>
      <w:r>
        <w:t xml:space="preserve">GAUL — Global Administrative Unit Layers (FAO Level-2 administrative boundaries); FAO — Food and Agriculture Organization (United Nations); GIEWS — Global Information and Early Warning System (FAO); ICRISAT — International Crops Research Institute for the Semi-Arid Tropics; IFPRI — International Food Policy Research Institute; IRRI — International Rice Research Institute; VDSA — Village Dynamics in South Asia (ICRISAT/IFPRI microdata); GEE — Google Earth Engine.</w:t>
      </w:r>
    </w:p>
    <w:p>
      <w:pPr>
        <w:pStyle w:val="BodyText"/>
      </w:pPr>
      <w:r>
        <w:rPr>
          <w:b/>
          <w:bCs/>
        </w:rPr>
        <w:t xml:space="preserve">Phenology and crop variables.</w:t>
      </w:r>
      <w:r>
        <w:t xml:space="preserve"> </w:t>
      </w:r>
      <w:r>
        <w:t xml:space="preserve">SOS — start of season; POS — peak of season; EOS — end of season; PI — panicle initiation; BBCH — Biologische Bundesanstalt, Bundessortenamt und CHemische Industrie phenology scale; DOY — day of year; HANTS — Harmonic Analysis of Time Series; TIMESAT — phenology extraction software (Jönsson and Eklundh, 2004); GCV — generalised cross-validation; λ — Whittaker smoothing parameter; APSIM — Agricultural Production Systems sIMulator; ORYZA2000 — IRRI rice crop simulation model; DSSAT — Decision Support System for Agrotechnology Transfer; CGM — crop growth model; DSR — direct-seeded rice; MJO — Madden-Julian Oscillation (mentioned in Note S2 climatology).</w:t>
      </w:r>
    </w:p>
    <w:p>
      <w:pPr>
        <w:pStyle w:val="BodyText"/>
      </w:pPr>
      <w:r>
        <w:rPr>
          <w:b/>
          <w:bCs/>
        </w:rPr>
        <w:t xml:space="preserve">Statistics, study design, and inference.</w:t>
      </w:r>
      <w:r>
        <w:t xml:space="preserve"> </w:t>
      </w:r>
      <w:r>
        <w:t xml:space="preserve">BACI — Before-After-Control-Impact; DiD — difference-in-differences; TWFE — two-way fixed effects; FE — fixed effects; ATT — average treatment effect on the treated (denoted τ); β — pre-trend slope coefficient (Eq. pre-trend test); α — significance level (0.05 throughout); σ_idio — empirical idiosyncratic standard deviation of probe-district pre-period SOS baselines (= 19.88 d); ε — regression residual; Δ — change/difference operator; G — number of clusters (G = 8 districts); RQ1/RQ2/RQ3 — Research Questions 1–3; SE — standard error; SD — standard deviation; CI — confidence interval; CR1 — Stata-style first cluster-robust variance small-sample correction; CRV — cluster-robust variance; WCR — wild cluster restricted bootstrap (Cameron et al., 2008; Roodman et al., 2019; B = 499 replications unless stated); LOO — leave-one-out (cluster jackknife); CV — cross-validation; MDE — minimum detectable effect; SUTVA — stable unit treatment value assumption; DAG — directed acyclic graph; H1/H2 — pre-registered hypothesis 1 / 2 (locked at OSF c4mp8); PASS —</w:t>
      </w:r>
      <w:r>
        <w:t xml:space="preserve"> </w:t>
      </w:r>
      <w:r>
        <w:rPr>
          <w:i/>
          <w:iCs/>
        </w:rPr>
        <w:t xml:space="preserve">a priori</w:t>
      </w:r>
      <w:r>
        <w:t xml:space="preserve">-defined verdict label for falsifiability tests (text label, not an acronym); RF — random-forest; OA — overall accuracy; F1 — harmonic mean of precision and recall; UA/PA — user’s accuracy / producer’s accuracy; MAE — mean absolute error; RMSE — root mean square error; PI — prediction interval (when used in §3.6 Bulbul context; distinct from panicle initiation, which is spelled out at each occurrence).</w:t>
      </w:r>
    </w:p>
    <w:p>
      <w:pPr>
        <w:pStyle w:val="BodyText"/>
      </w:pPr>
      <w:r>
        <w:rPr>
          <w:b/>
          <w:bCs/>
        </w:rPr>
        <w:t xml:space="preserve">Open-science and provenance.</w:t>
      </w:r>
      <w:r>
        <w:t xml:space="preserve"> </w:t>
      </w:r>
      <w:r>
        <w:t xml:space="preserve">OSF — Open Science Framework; DOI — Digital Object Identifier; ORCID — Open Researcher and Contributor ID; SHA-256 — Secure Hash Algorithm 256-bit; URL — Uniform Resource Locator; ID — identifier; CC-BY-4.0 — Creative Commons Attribution 4.0 International licence; SLA — service-level agreement; AI — artificial intelligence (used only in the Generative-AI declaration). Journal and conference acronyms appearing in the reference list (e.g., TGRS, IGARSS, JAG, ISPRS, IEEE, EGU, ECRS) are used in the conventional bibliographic sense and follow each publisher’s standard usage. Mathematical and statistical symbols introduced within specific equations (e.g., (Y_{dt}), (</w:t>
      </w:r>
      <w:r>
        <w:t xml:space="preserve">_d), (</w:t>
      </w:r>
      <w:r>
        <w:t xml:space="preserve">_1), (</w:t>
      </w:r>
      <w:r>
        <w:rPr>
          <w:i/>
          <w:iCs/>
        </w:rPr>
        <w:t xml:space="preserve">2), (</w:t>
      </w:r>
      <w:r>
        <w:t xml:space="preserve">{dt}), (</w:t>
      </w:r>
      <w:r>
        <w:t xml:space="preserve">), (t)) are defined at first use in §3.6 and Supplementary Note S1.</w:t>
      </w:r>
    </w:p>
    <w:p>
      <w:r>
        <w:pict>
          <v:rect style="width:0;height:1.5pt" o:hralign="center" o:hrstd="t" o:hr="t"/>
        </w:pict>
      </w:r>
    </w:p>
    <w:bookmarkEnd w:id="24"/>
    <w:bookmarkStart w:id="25"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(Extremely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pict>
          <v:rect style="width:0;height:1.5pt" o:hralign="center" o:hrstd="t" o:hr="t"/>
        </w:pict>
      </w:r>
    </w:p>
    <w:bookmarkEnd w:id="25"/>
    <w:bookmarkStart w:id="31" w:name="study-area-and-data"/>
    <w:p>
      <w:pPr>
        <w:pStyle w:val="Heading2"/>
      </w:pPr>
      <w:r>
        <w:t xml:space="preserve">2. Study Area and Data</w:t>
      </w:r>
    </w:p>
    <w:bookmarkStart w:id="26"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jc w:val="center"/>
      </w:pPr>
      <w:r>
        <w:drawing>
          <wp:inline>
            <wp:extent cx="5486400" cy="4813778"/>
            <wp:docPr id="9" name="Picture 9"/>
            <wp:cNvGraphicFramePr>
              <a:graphicFrameLocks noChangeAspect="1"/>
            </wp:cNvGraphicFramePr>
            <a:graphic>
              <a:graphicData uri="http://schemas.openxmlformats.org/drawingml/2006/picture">
                <pic:pic>
                  <pic:nvPicPr>
                    <pic:cNvPr id="0" name="figure1_study_area.png"/>
                    <pic:cNvPicPr/>
                  </pic:nvPicPr>
                  <pic:blipFill>
                    <a:blip r:embed="rId17"/>
                    <a:stretch>
                      <a:fillRect/>
                    </a:stretch>
                  </pic:blipFill>
                  <pic:spPr>
                    <a:xfrm>
                      <a:off x="0" y="0"/>
                      <a:ext cx="5486400" cy="4813778"/>
                    </a:xfrm>
                    <a:prstGeom prst="rect"/>
                  </pic:spPr>
                </pic:pic>
              </a:graphicData>
            </a:graphic>
          </wp:inline>
        </w:drawing>
      </w:r>
    </w:p>
    <w:p>
      <w:pPr>
        <w:jc w:val="left"/>
      </w:pPr>
      <w:r>
        <w:rPr>
          <w:b/>
          <w:sz w:val="20"/>
        </w:rPr>
        <w:t xml:space="preserve">Figure 1. </w:t>
      </w:r>
      <w:r>
        <w:rPr>
          <w:sz w:val="20"/>
        </w:rPr>
        <w:t>Study area: coastal and inland Odisha BACI districts. Treated coastal districts (Balasore, Bhadrak, Kendrapara, Jagatsinghpur, Puri) and inland control districts (Dhenkanal, Angul, Cuttack), with IBTrACS cyclone tracks for Fani (May 2019), Bulbul (Nov 2019), Amphan (May 2020), and Yaas (May 2021).</w:t>
      </w:r>
    </w:p>
    <w:p>
      <w:pPr>
        <w:pStyle w:val="BodyText"/>
      </w:pPr>
      <w: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6"/>
    <w:bookmarkStart w:id="27"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215 (peak) / 185 (landfall)</w:t>
            </w:r>
          </w:p>
        </w:tc>
        <w:tc>
          <w:tcPr/>
          <w:p>
            <w:pPr>
              <w:pStyle w:val="Compact"/>
              <w:jc w:val="left"/>
            </w:pPr>
            <w:r>
              <w:t xml:space="preserve">Extremely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240 (peak) / 155–165 (landfall)</w:t>
            </w:r>
          </w:p>
        </w:tc>
        <w:tc>
          <w:tcPr/>
          <w:p>
            <w:pPr>
              <w:pStyle w:val="Compact"/>
              <w:jc w:val="left"/>
            </w:pPr>
            <w:r>
              <w:t xml:space="preserve">Super Cyclonic Storm (SuCS)</w:t>
            </w:r>
          </w:p>
        </w:tc>
        <w:tc>
          <w:tcPr/>
          <w:p>
            <w:pPr>
              <w:pStyle w:val="Compact"/>
              <w:jc w:val="left"/>
            </w:pPr>
            <w:r>
              <w:t xml:space="preserve">Bakkhali, West Bengal (Sundarbans)</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140 (peak, gusting to 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7"/>
    <w:bookmarkStart w:id="28"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8"/>
    <w:bookmarkStart w:id="30"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9">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reference labels — automated multi-source provenance:</w:t>
      </w:r>
      <w:r>
        <w:t xml:space="preserve"> </w:t>
      </w:r>
      <w:r>
        <w:t xml:space="preserve">A reference-label set of n = 480 binary labels (cyclone-flood vs. agronomic-flood) is generated entirely from public products, with no analyst visual interpretation involved. The label set is partitioned as follows. (i)</w:t>
      </w:r>
      <w:r>
        <w:t xml:space="preserve"> </w:t>
      </w:r>
      <w:r>
        <w:rPr>
          <w:b/>
          <w:bCs/>
        </w:rPr>
        <w:t xml:space="preserve">80 cyclone-flood labels for Fani (3 May 2019)</w:t>
      </w:r>
      <w:r>
        <w:t xml:space="preserve"> </w:t>
      </w:r>
      <w:r>
        <w:t xml:space="preserve">are sampled from the Copernicus Emergency Management Service master delineation EMSR357 (</w:t>
      </w:r>
      <w:r>
        <w:rPr>
          <w:rStyle w:val="VerbatimChar"/>
        </w:rPr>
        <w:t xml:space="preserve">emergency.copernicus.eu/mapping/list-of-components/EMSR357</w:t>
      </w:r>
      <w:r>
        <w:t xml:space="preserve">), the operational reference for the Fani landfall footprint. (ii)</w:t>
      </w:r>
      <w:r>
        <w:t xml:space="preserve"> </w:t>
      </w:r>
      <w:r>
        <w:rPr>
          <w:b/>
          <w:bCs/>
        </w:rPr>
        <w:t xml:space="preserve">80 cyclone-flood labels each for Amphan (20 May 2020) and Yaas (26 May 2021)</w:t>
      </w:r>
      <w:r>
        <w:t xml:space="preserve"> </w:t>
      </w:r>
      <w:r>
        <w:t xml:space="preserve">are generated automatically by Sentinel-1 SAR pre/post change-detection following the methodology of Voigt et al. (2007) and Twele et al. (2016), as standardised by the UN-SPIDER (2019) Recommended Practice for SAR-based flood mapping (Module 08,</w:t>
      </w:r>
      <w:r>
        <w:t xml:space="preserve"> </w:t>
      </w:r>
      <w:r>
        <w:rPr>
          <w:rStyle w:val="VerbatimChar"/>
        </w:rPr>
        <w:t xml:space="preserve">gee/08_S1_flood_detection.js</w:t>
      </w:r>
      <w:r>
        <w:t xml:space="preserve">): pre-event median VH (3 weeks before landfall) minus post-event median VH (within 7 days of landfall), with the empirical −3 dB threshold for inundated cropland anchored to the IBTrACS landfall buffer. (iii)</w:t>
      </w:r>
      <w:r>
        <w:t xml:space="preserve"> </w:t>
      </w:r>
      <w:r>
        <w:rPr>
          <w:b/>
          <w:bCs/>
        </w:rPr>
        <w:t xml:space="preserve">240 agronomic-flood negative labels</w:t>
      </w:r>
      <w:r>
        <w:t xml:space="preserve"> </w:t>
      </w:r>
      <w: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t xml:space="preserve"> </w:t>
      </w:r>
      <w:r>
        <w:rPr>
          <w:rStyle w:val="VerbatimChar"/>
        </w:rPr>
        <w:t xml:space="preserve">labels_panel_n480.csv</w:t>
      </w:r>
      <w:r>
        <w:t xml:space="preserve">).</w:t>
      </w:r>
    </w:p>
    <w:p>
      <w:pPr>
        <w:pStyle w:val="BodyText"/>
      </w:pPr>
      <w:r>
        <w:rPr>
          <w:b/>
          <w:bCs/>
        </w:rPr>
        <w:t xml:space="preserve">Cross-product rice-mask validation:</w:t>
      </w:r>
      <w:r>
        <w:t xml:space="preserve"> </w:t>
      </w:r>
      <w:r>
        <w:t xml:space="preserve">The Qadir et al. (2022) South Asian paddy rice product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End w:id="30"/>
    <w:bookmarkEnd w:id="31"/>
    <w:bookmarkStart w:id="47" w:name="methods"/>
    <w:p>
      <w:pPr>
        <w:pStyle w:val="Heading2"/>
      </w:pPr>
      <w:r>
        <w:t xml:space="preserve">3. Methods</w:t>
      </w:r>
    </w:p>
    <w:bookmarkStart w:id="32" w:name="overview"/>
    <w:p>
      <w:pPr>
        <w:pStyle w:val="Heading3"/>
      </w:pPr>
      <w:r>
        <w:t xml:space="preserve">3.1 Overview</w:t>
      </w:r>
    </w:p>
    <w:p>
      <w:pPr>
        <w:pStyle w:val="FirstParagraph"/>
      </w:pPr>
      <w: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Pr>
        <w:t xml:space="preserve">run_all.sh</w:t>
      </w:r>
      <w: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jc w:val="center"/>
      </w:pPr>
      <w:r>
        <w:drawing>
          <wp:inline>
            <wp:extent cx="5486400" cy="4762790"/>
            <wp:docPr id="8" name="Picture 8"/>
            <wp:cNvGraphicFramePr>
              <a:graphicFrameLocks noChangeAspect="1"/>
            </wp:cNvGraphicFramePr>
            <a:graphic>
              <a:graphicData uri="http://schemas.openxmlformats.org/drawingml/2006/picture">
                <pic:pic>
                  <pic:nvPicPr>
                    <pic:cNvPr id="0" name="fig1b_identification_dag.png"/>
                    <pic:cNvPicPr/>
                  </pic:nvPicPr>
                  <pic:blipFill>
                    <a:blip r:embed="rId16"/>
                    <a:stretch>
                      <a:fillRect/>
                    </a:stretch>
                  </pic:blipFill>
                  <pic:spPr>
                    <a:xfrm>
                      <a:off x="0" y="0"/>
                      <a:ext cx="5486400" cy="4762790"/>
                    </a:xfrm>
                    <a:prstGeom prst="rect"/>
                  </pic:spPr>
                </pic:pic>
              </a:graphicData>
            </a:graphic>
          </wp:inline>
        </w:drawing>
      </w:r>
    </w:p>
    <w:p>
      <w:pPr>
        <w:jc w:val="left"/>
      </w:pPr>
      <w:r>
        <w:rPr>
          <w:b/>
          <w:sz w:val="20"/>
        </w:rPr>
        <w:t xml:space="preserve">Figure 1B. </w:t>
      </w:r>
      <w:r>
        <w:rPr>
          <w:sz w:val="20"/>
        </w:rPr>
        <w:t>Causal identification DAG for the saline-flood / agronomic-flood decoupling. The cyclone landfall is a single exogenous shock that opens parallel legitimate (transplanting flooding) and confounding (saline storm-surge) pathways into the same SAR backscatter trough; the Module 02 saline-flood classifier intercepts the confounding pathway.</w:t>
      </w:r>
    </w:p>
    <w:bookmarkEnd w:id="32"/>
    <w:bookmarkStart w:id="33" w:name="pre-processing"/>
    <w:p>
      <w:pPr>
        <w:pStyle w:val="Heading3"/>
      </w:pPr>
      <w:r>
        <w:t xml:space="preserve">3.2 Pre-processing</w:t>
      </w:r>
    </w:p>
    <w:p>
      <w:pPr>
        <w:jc w:val="center"/>
      </w:pPr>
      <w:r>
        <w:drawing>
          <wp:inline>
            <wp:extent cx="5486400" cy="2847666"/>
            <wp:docPr id="7" name="Picture 7"/>
            <wp:cNvGraphicFramePr>
              <a:graphicFrameLocks noChangeAspect="1"/>
            </wp:cNvGraphicFramePr>
            <a:graphic>
              <a:graphicData uri="http://schemas.openxmlformats.org/drawingml/2006/picture">
                <pic:pic>
                  <pic:nvPicPr>
                    <pic:cNvPr id="0" name="fig2_did_coefplot.png"/>
                    <pic:cNvPicPr/>
                  </pic:nvPicPr>
                  <pic:blipFill>
                    <a:blip r:embed="rId15"/>
                    <a:stretch>
                      <a:fillRect/>
                    </a:stretch>
                  </pic:blipFill>
                  <pic:spPr>
                    <a:xfrm>
                      <a:off x="0" y="0"/>
                      <a:ext cx="5486400" cy="2847666"/>
                    </a:xfrm>
                    <a:prstGeom prst="rect"/>
                  </pic:spPr>
                </pic:pic>
              </a:graphicData>
            </a:graphic>
          </wp:inline>
        </w:drawing>
      </w:r>
    </w:p>
    <w:p>
      <w:pPr>
        <w:jc w:val="left"/>
      </w:pPr>
      <w:r>
        <w:rPr>
          <w:b/>
          <w:sz w:val="20"/>
        </w:rPr>
        <w:t xml:space="preserve">Figure 2. </w:t>
      </w:r>
      <w:r>
        <w:rPr>
          <w:sz w:val="20"/>
        </w:rPr>
        <w:t>TWFE-DiD coefficients (raw vs. classifier-corrected panel). Point estimates with district-clustered (CR1) standard-error bars and 95% wild-cluster restricted bootstrap intervals for SOS, POS, and EOS, raw and corrected pipelines on the real v2.1 panel.</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t xml:space="preserve">[</w:t>
      </w:r>
      <w:r>
        <w:rPr>
          <w:i/>
          <w:iCs/>
        </w:rPr>
        <w:t xml:space="preserve">{dB} = 10</w:t>
      </w:r>
      <w:r>
        <w:rPr>
          <w:i/>
          <w:iCs/>
        </w:rPr>
        <w:t xml:space="preserve"> </w:t>
      </w:r>
      <w:r>
        <w:t xml:space="preserve">{10}(</w:t>
      </w:r>
      <w:r>
        <w:t xml:space="preserve">_{linear})</w:t>
      </w:r>
      <w:r>
        <w:t xml:space="preserve"> </w:t>
      </w:r>
      <w:r>
        <w:t xml:space="preserve">(1)]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3"/>
    <w:bookmarkStart w:id="34"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 seven-feature input vector computed at pixel level for each candidate event window (the cyclone-event window for surge labels; the transplanting weeks 6–10 window for agronomic-flood labels), per the canonical specification in Supplementary Note S3, §S3.5:</w:t>
      </w:r>
    </w:p>
    <w:p>
      <w:pPr>
        <w:pStyle w:val="Compact"/>
        <w:numPr>
          <w:ilvl w:val="0"/>
          <w:numId w:val="1002"/>
        </w:numPr>
      </w:pPr>
      <w:r>
        <w:t xml:space="preserve">ΔVH (dB): change in VH backscatter between the event window minimum and the 30-day pre-event baseline</w:t>
      </w:r>
    </w:p>
    <w:p>
      <w:pPr>
        <w:pStyle w:val="Compact"/>
        <w:numPr>
          <w:ilvl w:val="0"/>
          <w:numId w:val="1002"/>
        </w:numPr>
      </w:pPr>
      <w:r>
        <w:t xml:space="preserve">ΔCR (dB): change in cross-ratio (CR = VH − VV) between the event window minimum and the 30-day pre-event baseline</w:t>
      </w:r>
    </w:p>
    <w:p>
      <w:pPr>
        <w:pStyle w:val="Compact"/>
        <w:numPr>
          <w:ilvl w:val="0"/>
          <w:numId w:val="1002"/>
        </w:numPr>
      </w:pPr>
      <w:r>
        <w:t xml:space="preserve">VV minimum (dB) within the event window</w:t>
      </w:r>
    </w:p>
    <w:p>
      <w:pPr>
        <w:pStyle w:val="Compact"/>
        <w:numPr>
          <w:ilvl w:val="0"/>
          <w:numId w:val="1002"/>
        </w:numPr>
      </w:pPr>
      <w:r>
        <w:t xml:space="preserve">ERA5-Land 3-day maximum 10-m wind speed (scalar: sqrt(u² + v²)) within the event window — the cyclonic-event filter for surge labels</w:t>
      </w:r>
    </w:p>
    <w:p>
      <w:pPr>
        <w:pStyle w:val="Compact"/>
        <w:numPr>
          <w:ilvl w:val="0"/>
          <w:numId w:val="1002"/>
        </w:numPr>
      </w:pPr>
      <w:r>
        <w:t xml:space="preserve">LSWI minimum within the event window (Sentinel-2 monthly composite)</w:t>
      </w:r>
    </w:p>
    <w:p>
      <w:pPr>
        <w:pStyle w:val="Compact"/>
        <w:numPr>
          <w:ilvl w:val="0"/>
          <w:numId w:val="1002"/>
        </w:numPr>
      </w:pPr>
      <w:r>
        <w:t xml:space="preserve">JRC GSW water permanence (percentage of months with surface water detected, 1984–2020)</w:t>
      </w:r>
    </w:p>
    <w:p>
      <w:pPr>
        <w:pStyle w:val="Compact"/>
        <w:numPr>
          <w:ilvl w:val="0"/>
          <w:numId w:val="1002"/>
        </w:numPr>
      </w:pPr>
      <w:r>
        <w:t xml:space="preserve">NDWI maximum within the event window (Sentinel-2 monthly composite)</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4"/>
    <w:bookmarkStart w:id="35"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t xml:space="preserve">[y(t) = c_1 + c_2</w:t>
      </w:r>
      <w:r>
        <w:t xml:space="preserve"> </w:t>
      </w:r>
      <w:r>
        <w:t xml:space="preserve">(2)]</w:t>
      </w:r>
    </w:p>
    <w:p>
      <w:pPr>
        <w:pStyle w:val="BodyText"/>
      </w:pPr>
      <w:r>
        <w:t xml:space="preserve">where (y(t)) is the fitted vegetation/backscatter index at time (t); (c_1) is the background level; (c_2) is the seasonal amplitude; (k_1) and (k_2) are the rates of green-up and senescence respectively; and (t_1) and (t_2)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5"/>
    <w:bookmarkStart w:id="36"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b/>
          <w:bCs/>
        </w:rPr>
        <w:t xml:space="preserve">Correction operator:</w:t>
      </w:r>
      <w:r>
        <w:t xml:space="preserve"> </w:t>
      </w:r>
      <w:r>
        <w:t xml:space="preserve">The effect of the correction can be formalised as a phenological date operator. Let (</w:t>
      </w:r>
      <w:r>
        <w:rPr>
          <w:i/>
          <w:iCs/>
        </w:rPr>
        <w:t xml:space="preserve">{raw}(i,y)) denote the raw SOS date estimate for pixel (i) in year (y), and let (</w:t>
      </w:r>
      <w:r>
        <w:t xml:space="preserve">{corr}(i,y)) denote the corrected SOS estimate. The correction bias (</w:t>
      </w:r>
      <w:r>
        <w:t xml:space="preserve">D(i,y)) is defined as:</w:t>
      </w:r>
    </w:p>
    <w:p>
      <w:pPr>
        <w:pStyle w:val="BodyText"/>
      </w:pPr>
      <w:r>
        <w:t xml:space="preserve">[</w:t>
      </w:r>
      <w:r>
        <w:t xml:space="preserve">D(i, y) =</w:t>
      </w:r>
      <w:r>
        <w:t xml:space="preserve"> </w:t>
      </w:r>
      <w:r>
        <w:rPr>
          <w:i/>
          <w:iCs/>
        </w:rPr>
        <w:t xml:space="preserve">{corr}(i, y) -</w:t>
      </w:r>
      <w:r>
        <w:rPr>
          <w:i/>
          <w:iCs/>
        </w:rPr>
        <w:t xml:space="preserve"> </w:t>
      </w:r>
      <w:r>
        <w:t xml:space="preserve">{raw}(i, y)</w:t>
      </w:r>
      <w:r>
        <w:t xml:space="preserve"> </w:t>
      </w:r>
      <w:r>
        <w:t xml:space="preserve">(3)]</w:t>
      </w:r>
    </w:p>
    <w:p>
      <w:pPr>
        <w:pStyle w:val="BodyText"/>
      </w:pPr>
      <w:r>
        <w:t xml:space="preserve">Positive values of (</w:t>
      </w:r>
      <w:r>
        <w:t xml:space="preserve">D) indicate that the raw pipeline produced an artificially early SOS date. The spatial distribution of (</w:t>
      </w:r>
      <w:r>
        <w:t xml:space="preserve">D) 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6"/>
    <w:bookmarkStart w:id="37" w:name="difference-in-differences-identification"/>
    <w:p>
      <w:pPr>
        <w:pStyle w:val="Heading3"/>
      </w:pPr>
      <w:r>
        <w:t xml:space="preserve">3.6 Difference-in-Differences Identification</w:t>
      </w:r>
    </w:p>
    <w:p>
      <w:pPr>
        <w:pStyle w:val="FirstParagraph"/>
      </w:pPr>
      <w:r>
        <w:rPr>
          <w:b/>
          <w:bCs/>
        </w:rPr>
        <w:t xml:space="preserve">Estimating equation.</w:t>
      </w:r>
      <w:r>
        <w:t xml:space="preserve"> </w:t>
      </w:r>
      <w:r>
        <w:t xml:space="preserve">For each (pipeline, phenometric) pair we estimate the canonical generalised 2 × 2 two-way fixed-effects difference-in-differences (TWFE-DiD) specification on the district × year panel:</w:t>
      </w:r>
    </w:p>
    <w:p>
      <w:pPr>
        <w:pStyle w:val="BodyText"/>
      </w:pPr>
      <w:r>
        <w:t xml:space="preserve">[Y_{dt} =</w:t>
      </w:r>
      <w:r>
        <w:t xml:space="preserve"> </w:t>
      </w:r>
      <w:r>
        <w:t xml:space="preserve">_d +</w:t>
      </w:r>
      <w:r>
        <w:t xml:space="preserve"> </w:t>
      </w:r>
      <w:r>
        <w:t xml:space="preserve">_t +</w:t>
      </w:r>
      <w:r>
        <w:t xml:space="preserve"> </w:t>
      </w:r>
      <w:r>
        <w:t xml:space="preserve">(</w:t>
      </w:r>
      <w:r>
        <w:t xml:space="preserve">_d</w:t>
      </w:r>
      <w:r>
        <w:t xml:space="preserve"> </w:t>
      </w:r>
      <w:r>
        <w:rPr>
          <w:i/>
          <w:iCs/>
        </w:rPr>
        <w:t xml:space="preserve">t) +</w:t>
      </w:r>
      <w:r>
        <w:rPr>
          <w:i/>
          <w:iCs/>
        </w:rPr>
        <w:t xml:space="preserve"> </w:t>
      </w:r>
      <w:r>
        <w:t xml:space="preserve">{dt}</w:t>
      </w:r>
      <w:r>
        <w:t xml:space="preserve"> </w:t>
      </w:r>
      <w:r>
        <w:t xml:space="preserve">(4)]</w:t>
      </w:r>
    </w:p>
    <w:p>
      <w:pPr>
        <w:pStyle w:val="BodyText"/>
      </w:pPr>
      <w:r>
        <w:t xml:space="preserve">where (Y_{dt}) is the median pixel-level phenology metric (SOS, POS, or EOS, in day-of-year) for district (d) in year (t); (</w:t>
      </w:r>
      <w:r>
        <w:t xml:space="preserve">_d) is a district fixed effect absorbing all time-invariant district heterogeneity (baseline rainfall, soil class, elevation, latitudinal climatology); (</w:t>
      </w:r>
      <w:r>
        <w:t xml:space="preserve">_t) is a year fixed effect absorbing common shocks (monsoon-onset anomalies, ENSO state, pan-Odisha policy changes); (</w:t>
      </w:r>
      <w:r>
        <w:t xml:space="preserve">_d</w:t>
      </w:r>
      <w:r>
        <w:t xml:space="preserve"> </w:t>
      </w:r>
      <w:r>
        <w:t xml:space="preserve">{0,1}) flags the five coastal-treatment districts (Balasore, Bhadrak, Kendrapara, Jagatsinghpur, Puri); (</w:t>
      </w:r>
      <w:r>
        <w:t xml:space="preserve">_t</w:t>
      </w:r>
      <w:r>
        <w:t xml:space="preserve"> </w:t>
      </w:r>
      <w:r>
        <w:t xml:space="preserve">{0,1}) flags the three pre-Kharif cyclone years (2019 Fani, 2020 Amphan, 2021 Yaas); and (</w:t>
      </w:r>
      <w:r>
        <w:t xml:space="preserve">) 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 (t)-test is reported only as a baseline — our preferred small-cluster inference is the wild-cluster restricted bootstrap of Cameron, Gelbach, and Miller (2008), described in §3.7.1.</w:t>
      </w:r>
    </w:p>
    <w:p>
      <w:pPr>
        <w:pStyle w:val="BodyText"/>
      </w:pPr>
      <w:r>
        <w:rPr>
          <w:b/>
          <w:bCs/>
        </w:rPr>
        <w:t xml:space="preserve">Sample construction.</w:t>
      </w:r>
      <w:r>
        <w:t xml:space="preserve"> </w:t>
      </w:r>
      <w: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 (</w:t>
      </w:r>
      <w: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 (</w:t>
      </w:r>
      <w:r>
        <w:t xml:space="preserve">) is estimated on 64 district-year observations after pipeline-and-metric subsetting, leaving 6 residual degrees of freedom after FE absorption.</w:t>
      </w:r>
    </w:p>
    <w:p>
      <w:pPr>
        <w:pStyle w:val="BodyText"/>
      </w:pPr>
      <w:r>
        <w:rPr>
          <w:b/>
          <w:bCs/>
        </w:rPr>
        <w:t xml:space="preserve">Identifying assumptions.</w:t>
      </w:r>
      <w:r>
        <w:t xml:space="preserve"> </w:t>
      </w:r>
      <w:r>
        <w:t xml:space="preserve">Equation (4) identifies (</w:t>
      </w:r>
      <w:r>
        <w:t xml:space="preserve">) under three assumptions.</w:t>
      </w:r>
      <w:r>
        <w:t xml:space="preserve"> </w:t>
      </w:r>
      <w:r>
        <w:rPr>
          <w:i/>
          <w:iCs/>
        </w:rPr>
        <w:t xml:space="preserve">Parallel trends</w:t>
      </w:r>
      <w:r>
        <w:t xml:space="preserve">: conditional on FEs, treated and control districts would have followed the same trajectory absent treatment. We test this by regressing (Y_{dt} =</w:t>
      </w:r>
      <w:r>
        <w:t xml:space="preserve"> </w:t>
      </w:r>
      <w:r>
        <w:t xml:space="preserve">_d +</w:t>
      </w:r>
      <w:r>
        <w:t xml:space="preserve"> </w:t>
      </w:r>
      <w:r>
        <w:t xml:space="preserve">_1 t +</w:t>
      </w:r>
      <w:r>
        <w:t xml:space="preserve"> </w:t>
      </w:r>
      <w:r>
        <w:t xml:space="preserve">_2 (t</w:t>
      </w:r>
      <w:r>
        <w:t xml:space="preserve"> </w:t>
      </w:r>
      <w:r>
        <w:rPr>
          <w:i/>
          <w:iCs/>
        </w:rPr>
        <w:t xml:space="preserve">d) +</w:t>
      </w:r>
      <w:r>
        <w:rPr>
          <w:i/>
          <w:iCs/>
        </w:rPr>
        <w:t xml:space="preserve"> </w:t>
      </w:r>
      <w:r>
        <w:t xml:space="preserve">{dt}) on the pre-period sub-panel ((t &lt; 2019)) and reporting (</w:t>
      </w:r>
      <w:r>
        <w:t xml:space="preserve">_2) in Table S2; failure of parallel trends would manifest as a significant pre-trend coefficient.</w:t>
      </w:r>
      <w:r>
        <w:t xml:space="preserve"> </w:t>
      </w:r>
      <w:r>
        <w:rPr>
          <w:i/>
          <w:iCs/>
        </w:rPr>
        <w:t xml:space="preserve">No anticipation</w:t>
      </w:r>
      <w: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t xml:space="preserve"> </w:t>
      </w:r>
      <w:r>
        <w:rPr>
          <w:i/>
          <w:iCs/>
        </w:rPr>
        <w:t xml:space="preserve">SUTVA (stable unit treatment value assumption) / no spillovers</w:t>
      </w:r>
      <w:r>
        <w:t xml:space="preserve">: treatment of district (d) does not affect (Y) in district (d’</w:t>
      </w:r>
      <w:r>
        <w:t xml:space="preserve"> </w:t>
      </w:r>
      <w:r>
        <w:t xml:space="preserve">d).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 (Y)) and through a robustness check that drops Cuttack — the closest control district to the coast — reported in the leave-one-out sensitivity (§3.7.3, Table S5).</w:t>
      </w:r>
    </w:p>
    <w:p>
      <w:pPr>
        <w:jc w:val="center"/>
      </w:pPr>
      <w:r>
        <w:drawing>
          <wp:inline>
            <wp:extent cx="5486400" cy="5777910"/>
            <wp:docPr id="6" name="Picture 6"/>
            <wp:cNvGraphicFramePr>
              <a:graphicFrameLocks noChangeAspect="1"/>
            </wp:cNvGraphicFramePr>
            <a:graphic>
              <a:graphicData uri="http://schemas.openxmlformats.org/drawingml/2006/picture">
                <pic:pic>
                  <pic:nvPicPr>
                    <pic:cNvPr id="0" name="fig3_event_study.png"/>
                    <pic:cNvPicPr/>
                  </pic:nvPicPr>
                  <pic:blipFill>
                    <a:blip r:embed="rId14"/>
                    <a:stretch>
                      <a:fillRect/>
                    </a:stretch>
                  </pic:blipFill>
                  <pic:spPr>
                    <a:xfrm>
                      <a:off x="0" y="0"/>
                      <a:ext cx="5486400" cy="5777910"/>
                    </a:xfrm>
                    <a:prstGeom prst="rect"/>
                  </pic:spPr>
                </pic:pic>
              </a:graphicData>
            </a:graphic>
          </wp:inline>
        </w:drawing>
      </w:r>
    </w:p>
    <w:p>
      <w:pPr>
        <w:jc w:val="left"/>
      </w:pPr>
      <w:r>
        <w:rPr>
          <w:b/>
          <w:sz w:val="20"/>
        </w:rPr>
        <w:t xml:space="preserve">Figure 3. </w:t>
      </w:r>
      <w:r>
        <w:rPr>
          <w:sz w:val="20"/>
        </w:rPr>
        <w:t>Event-study coefficients on the real v2.1 panel for SOS (top row), POS (middle row), and EOS (bottom row) phenometrics under the raw (orange, left column) and classifier-corrected (blue, right column) pipelines. Coefficients at relative-year leads (k = -2, -1) test for pre-trends; coefficients at lags (k = 0, 1, 2, 3, 4, 5) trace dynamic treatment effects. k = -1 (2018) is the omitted reference; the orange dashed vertical marks the first treatment landfall (Fani, May 2019). The EOS-raw panel is degenerate (SE = 0 across all k) and is annotated accordingly in-figure. Whiskers: 95 % CI computed from district-clustered (CR1) standard errors.</w:t>
      </w:r>
    </w:p>
    <w:p>
      <w:pPr>
        <w:pStyle w:val="BodyText"/>
      </w:pPr>
      <w:r>
        <w:rPr>
          <w:b/>
          <w:bCs/>
        </w:rPr>
        <w:t xml:space="preserve">Event study.</w:t>
      </w:r>
      <w:r>
        <w:t xml:space="preserve"> </w:t>
      </w:r>
      <w:r>
        <w:t xml:space="preserve">To probe dynamics and pre-trends jointly, we estimate</w:t>
      </w:r>
    </w:p>
    <w:p>
      <w:pPr>
        <w:pStyle w:val="BodyText"/>
      </w:pPr>
      <w:r>
        <w:t xml:space="preserve">[Y_{dt} =</w:t>
      </w:r>
      <w:r>
        <w:t xml:space="preserve"> </w:t>
      </w:r>
      <w:r>
        <w:t xml:space="preserve">_d +</w:t>
      </w:r>
      <w:r>
        <w:t xml:space="preserve"> </w:t>
      </w:r>
      <w:r>
        <w:rPr>
          <w:i/>
          <w:iCs/>
        </w:rPr>
        <w:t xml:space="preserve">t +</w:t>
      </w:r>
      <w:r>
        <w:rPr>
          <w:i/>
          <w:iCs/>
        </w:rPr>
        <w:t xml:space="preserve"> </w:t>
      </w:r>
      <w:r>
        <w:t xml:space="preserve">{k</w:t>
      </w:r>
      <w:r>
        <w:t xml:space="preserve"> </w:t>
      </w:r>
      <w:r>
        <w:t xml:space="preserve">}</w:t>
      </w:r>
      <w:r>
        <w:t xml:space="preserve"> </w:t>
      </w:r>
      <w:r>
        <w:t xml:space="preserve">_k ,</w:t>
      </w:r>
      <w:r>
        <w:t xml:space="preserve"> </w:t>
      </w:r>
      <w:r>
        <w:t xml:space="preserve">[t - 2019 = k]</w:t>
      </w:r>
      <w:r>
        <w:t xml:space="preserve"> </w:t>
      </w:r>
      <w:r>
        <w:rPr>
          <w:i/>
          <w:iCs/>
        </w:rPr>
        <w:t xml:space="preserve">d +</w:t>
      </w:r>
      <w:r>
        <w:rPr>
          <w:i/>
          <w:iCs/>
        </w:rPr>
        <w:t xml:space="preserve"> </w:t>
      </w:r>
      <w:r>
        <w:t xml:space="preserve">{dt}</w:t>
      </w:r>
      <w:r>
        <w:t xml:space="preserve"> </w:t>
      </w:r>
      <w:r>
        <w:t xml:space="preserve">(5)]</w:t>
      </w:r>
    </w:p>
    <w:p>
      <w:pPr>
        <w:pStyle w:val="BodyText"/>
      </w:pPr>
      <w:r>
        <w:t xml:space="preserve">with (k = -1) (year 2018) the omitted reference. Coefficients (</w:t>
      </w:r>
      <w:r>
        <w:t xml:space="preserve">_k) at (k &lt; 0) test for pre-trends; coefficients at (k</w:t>
      </w:r>
      <w:r>
        <w:t xml:space="preserve"> </w:t>
      </w:r>
      <w:r>
        <w:t xml:space="preserve">) 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b/>
          <w:bCs/>
        </w:rPr>
        <w:t xml:space="preserve">Pre-registered prediction (locked at OSF c4mp8).</w:t>
      </w:r>
      <w:r>
        <w:t xml:space="preserve"> </w:t>
      </w:r>
      <w:r>
        <w:t xml:space="preserve">We pre-registered the directional prediction (</w:t>
      </w:r>
      <w:r>
        <w:rPr>
          <w:i/>
          <w:iCs/>
        </w:rPr>
        <w:t xml:space="preserve">{</w:t>
      </w:r>
      <w:r>
        <w:rPr>
          <w:i/>
          <w:iCs/>
        </w:rPr>
        <w:t xml:space="preserve">} &gt;</w:t>
      </w:r>
      <w:r>
        <w:rPr>
          <w:i/>
          <w:iCs/>
        </w:rPr>
        <w:t xml:space="preserve"> </w:t>
      </w:r>
      <w:r>
        <w:t xml:space="preserve">{</w:t>
      </w:r>
      <w:r>
        <w:t xml:space="preserve">} &gt; 0): the raw VH-min pipeline is expected to over-attribute the cyclone shock because flood-induced VH dips are read as delayed SOS in districts where standing water lingers; the corrected pipeline masks those flood pixels and should attenuate the bias by 50–80%. Falsification: (</w:t>
      </w:r>
      <w:r>
        <w:rPr>
          <w:i/>
          <w:iCs/>
        </w:rPr>
        <w:t xml:space="preserve">{</w:t>
      </w:r>
      <w:r>
        <w:rPr>
          <w:i/>
          <w:iCs/>
        </w:rPr>
        <w:t xml:space="preserve">} &lt; 0) (planting</w:t>
      </w:r>
      <w:r>
        <w:rPr>
          <w:i/>
          <w:iCs/>
        </w:rPr>
        <w:t xml:space="preserve"> </w:t>
      </w:r>
      <w:r>
        <w:rPr>
          <w:i/>
          <w:i/>
          <w:iCs/>
          <w:iCs/>
        </w:rPr>
        <w:t xml:space="preserve">advances</w:t>
      </w:r>
      <w:r>
        <w:rPr>
          <w:i/>
          <w:iCs/>
        </w:rPr>
        <w:t xml:space="preserve"> </w:t>
      </w:r>
      <w:r>
        <w:rPr>
          <w:i/>
          <w:iCs/>
        </w:rPr>
        <w:t xml:space="preserve">in cyclone years), or (|</w:t>
      </w:r>
      <w:r>
        <w:t xml:space="preserve">{</w:t>
      </w:r>
      <w:r>
        <w:t xml:space="preserve">}| &lt; |</w:t>
      </w:r>
      <w:r>
        <w:t xml:space="preserve">_{</w:t>
      </w:r>
      <w:r>
        <w:t xml:space="preserve">}|) (correction</w:t>
      </w:r>
      <w:r>
        <w:t xml:space="preserve"> </w:t>
      </w:r>
      <w:r>
        <w:rPr>
          <w:i/>
          <w:iCs/>
        </w:rPr>
        <w:t xml:space="preserve">amplifies</w:t>
      </w:r>
      <w:r>
        <w:t xml:space="preserve"> </w:t>
      </w:r>
      <w:r>
        <w:t xml:space="preserve">rather than damps the shock), would refute the mechanism and be reported as a null finding.</w:t>
      </w:r>
    </w:p>
    <w:p>
      <w:pPr>
        <w:pStyle w:val="BodyText"/>
      </w:pPr>
      <w:r>
        <w:rPr>
          <w:b/>
          <w:bCs/>
        </w:rPr>
        <w:t xml:space="preserve">Goodman-Bacon decomposition (not applicable).</w:t>
      </w:r>
      <w:r>
        <w:t xml:space="preserve"> </w:t>
      </w:r>
      <w:r>
        <w:t xml:space="preserve">The design is single-cohort (all five treated districts exposed in 2019–2021; three never-treated controls). The Goodman-Bacon (2021) decomposition collapses to a single 2 × 2 comparison and the</w:t>
      </w:r>
      <w:r>
        <w:t xml:space="preserve"> </w:t>
      </w:r>
      <w:r>
        <w:t xml:space="preserve">“</w:t>
      </w:r>
      <w:r>
        <w:t xml:space="preserve">forbidden</w:t>
      </w:r>
      <w:r>
        <w:t xml:space="preserve">”</w:t>
      </w:r>
      <w:r>
        <w:t xml:space="preserve"> </w:t>
      </w:r>
      <w:r>
        <w:t xml:space="preserve">treated-as-control weight is zero by construction; we therefore do not report Goodman-Bacon weights and refer reviewers to Goodman-Bacon (2021, §3.1).</w:t>
      </w:r>
    </w:p>
    <w:bookmarkEnd w:id="37"/>
    <w:bookmarkStart w:id="43" w:name="robustness-suite"/>
    <w:p>
      <w:pPr>
        <w:pStyle w:val="Heading3"/>
      </w:pPr>
      <w:r>
        <w:t xml:space="preserve">3.7 Robustness Suite</w:t>
      </w:r>
    </w:p>
    <w:p>
      <w:pPr>
        <w:pStyle w:val="FirstParagraph"/>
      </w:pPr>
      <w:r>
        <w:t xml:space="preserve">The headline TWFE-DiD coefficient (</w:t>
      </w:r>
      <w:r>
        <w:t xml:space="preserve">) (Eq.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t xml:space="preserve"> </w:t>
      </w:r>
      <w:r>
        <w:rPr>
          <w:rStyle w:val="VerbatimChar"/>
        </w:rPr>
        <w:t xml:space="preserve">run_all.sh</w:t>
      </w:r>
      <w:r>
        <w:t xml:space="preserve"> </w:t>
      </w:r>
      <w:r>
        <w:t xml:space="preserve">reproduces all five in a single command.</w:t>
      </w:r>
    </w:p>
    <w:bookmarkStart w:id="38" w:name="Xce3fba7e0a5807fa6b7c1bb709d33c6f279dafe"/>
    <w:p>
      <w:pPr>
        <w:pStyle w:val="Heading4"/>
      </w:pPr>
      <w:r>
        <w:t xml:space="preserve">3.7.1 Wild-cluster restricted bootstrap (Module 05a, Table S4)</w:t>
      </w:r>
    </w:p>
    <w:p>
      <w:pPr>
        <w:pStyle w:val="FirstParagraph"/>
      </w:pPr>
      <w:r>
        <w:t xml:space="preserve">The eight-cluster panel is below the asymptotic threshold for cluster-robust inference, so we re-test (H_0:</w:t>
      </w:r>
      <w:r>
        <w:t xml:space="preserve"> </w:t>
      </w:r>
      <w:r>
        <w:t xml:space="preserve">= 0) with the wild-cluster restricted bootstrap of Cameron, Gelbach, and Miller (2008, hereafter CGM): residuals are imposed under the null and multiplied by Rademacher cluster weights (±1), yielding (B = 9{,}999) bootstrap replicates of the studentised statistic. 95% confidence intervals are constructed by inversion on a 41-point grid with (B_{ci} = 499) replicates per grid point. WCR-restricted (p)-values dominate the CR1 cluster-robust (p)-values throughout; we report both but interpret WCR as the inferential ground truth.</w:t>
      </w:r>
    </w:p>
    <w:bookmarkEnd w:id="38"/>
    <w:bookmarkStart w:id="39" w:name="X622c297a11e278d2703f5748bdbb6f7035905b7"/>
    <w:p>
      <w:pPr>
        <w:pStyle w:val="Heading4"/>
      </w:pPr>
      <w:r>
        <w:t xml:space="preserve">3.7.2 Out-of-sample transferability — Cyclone Bulbul (Module 05b, Table S3)</w:t>
      </w:r>
    </w:p>
    <w:p>
      <w:pPr>
        <w:pStyle w:val="FirstParagraph"/>
      </w:pPr>
      <w:r>
        <w:t xml:space="preserve">To probe whether the corrected pipeline transfers to a</w:t>
      </w:r>
      <w:r>
        <w:t xml:space="preserve"> </w:t>
      </w:r>
      <w:r>
        <w:rPr>
          <w:i/>
          <w:iCs/>
        </w:rPr>
        <w:t xml:space="preserve">different cyclone class</w:t>
      </w:r>
      <w:r>
        <w:t xml:space="preserve"> </w:t>
      </w:r>
      <w:r>
        <w:t xml:space="preserve">than the three pre-Kharif treatment events (Fani, Amphan, Yaas — all summer-monsoon-window cyclones with surge as the dominant inundation mechanism), we apply the trained (</w:t>
      </w:r>
      <w:r>
        <w:t xml:space="preserve">_{</w:t>
      </w:r>
      <w:r>
        <w:t xml:space="preserve">}) 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 (</w:t>
      </w:r>
      <w:r>
        <w:t xml:space="preserve">/6) 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 (</w:t>
      </w:r>
      <w:r>
        <w:t xml:space="preserve">).</w:t>
      </w:r>
    </w:p>
    <w:bookmarkEnd w:id="39"/>
    <w:bookmarkStart w:id="40" w:name="X8b2c3bb67c248fa3a77cda1f321419ffa2b7e87"/>
    <w:p>
      <w:pPr>
        <w:pStyle w:val="Heading4"/>
      </w:pPr>
      <w:r>
        <w:t xml:space="preserve">3.7.3 Leave-one-out jackknife sensitivity (Module 05d, Table S5)</w:t>
      </w:r>
    </w:p>
    <w:p>
      <w:pPr>
        <w:pStyle w:val="FirstParagraph"/>
      </w:pPr>
      <w:r>
        <w:t xml:space="preserve">We re-fit Eq. 4 dropping each of the eight districts and each of the eight years in turn, yielding 16 (</w:t>
      </w:r>
      <w:r>
        <w:rPr>
          <w:i/>
          <w:iCs/>
        </w:rPr>
        <w:t xml:space="preserve">{</w:t>
      </w:r>
      <w:r>
        <w:rPr>
          <w:i/>
          <w:iCs/>
        </w:rPr>
        <w:t xml:space="preserve">}) values per cell. Each cell is classified</w:t>
      </w:r>
      <w:r>
        <w:rPr>
          <w:i/>
          <w:iCs/>
        </w:rPr>
        <w:t xml:space="preserve"> </w:t>
      </w:r>
      <w:r>
        <w:rPr>
          <w:rStyle w:val="VerbatimChar"/>
          <w:i/>
          <w:iCs/>
        </w:rPr>
        <w:t xml:space="preserve">stable</w:t>
      </w:r>
      <w:r>
        <w:rPr>
          <w:i/>
          <w:iCs/>
        </w:rPr>
        <w:t xml:space="preserve"> </w:t>
      </w:r>
      <w:r>
        <w:rPr>
          <w:i/>
          <w:iCs/>
        </w:rPr>
        <w:t xml:space="preserve">(max (|</w:t>
      </w:r>
      <w:r>
        <w:t xml:space="preserve">{</w:t>
      </w:r>
      <w:r>
        <w:t xml:space="preserve">} -</w:t>
      </w:r>
      <w:r>
        <w:t xml:space="preserve"> </w:t>
      </w:r>
      <w:r>
        <w:t xml:space="preserve">| / |</w:t>
      </w:r>
      <w:r>
        <w:t xml:space="preserve">| &lt; 25%) and no sign flip),</w:t>
      </w:r>
      <w:r>
        <w:t xml:space="preserve"> </w:t>
      </w:r>
      <w:r>
        <w:rPr>
          <w:rStyle w:val="VerbatimChar"/>
        </w:rPr>
        <w:t xml:space="preserve">leverage</w:t>
      </w:r>
      <w:r>
        <w:t xml:space="preserve"> </w:t>
      </w:r>
      <w:r>
        <w:t xml:space="preserve">(one observation drives (&gt;25%) shift, no sign flip), or</w:t>
      </w:r>
      <w:r>
        <w:t xml:space="preserve"> </w:t>
      </w:r>
      <w:r>
        <w:rPr>
          <w:rStyle w:val="VerbatimChar"/>
        </w:rPr>
        <w:t xml:space="preserve">fragile</w:t>
      </w:r>
      <w:r>
        <w:t xml:space="preserve"> </w:t>
      </w:r>
      <w:r>
        <w:t xml:space="preserve">(some LOO flips the sign of (</w:t>
      </w:r>
      <w:r>
        <w:t xml:space="preserve">)). We additionally report the most-leveraging district / year per cell. At G = 8 clusters every cell is expected to be sensitive to single-district removal; the verdict and the identity of the most-leveraging district / year for each (pipeline × metric) cell are reported in §4 and Table S5, and are interpreted as evidence of small-cluster geometry rather than of model misspecification.</w:t>
      </w:r>
    </w:p>
    <w:bookmarkEnd w:id="40"/>
    <w:bookmarkStart w:id="41" w:name="Xa6e558f80873110a09fd9195f91682c3595408b"/>
    <w:p>
      <w:pPr>
        <w:pStyle w:val="Heading4"/>
      </w:pPr>
      <w:r>
        <w:t xml:space="preserve">3.7.4 Placebo / falsification tests (Module 05e, Table S7, Figure 6)</w:t>
      </w:r>
    </w:p>
    <w:p>
      <w:pPr>
        <w:pStyle w:val="FirstParagraph"/>
      </w:pPr>
      <w: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i/>
          <w:iCs/>
        </w:rPr>
        <w:t xml:space="preserve">In-space donor-swap permutation (primary).</w:t>
      </w:r>
      <w:r>
        <w:t xml:space="preserve"> </w:t>
      </w:r>
      <w:r>
        <w:t xml:space="preserve">We re-assign the</w:t>
      </w:r>
      <w:r>
        <w:t xml:space="preserve"> </w:t>
      </w:r>
      <w:r>
        <w:t xml:space="preserve">“</w:t>
      </w:r>
      <w:r>
        <w:t xml:space="preserve">treated</w:t>
      </w:r>
      <w:r>
        <w:t xml:space="preserve">”</w:t>
      </w:r>
      <w:r>
        <w:t xml:space="preserve"> </w:t>
      </w:r>
      <w:r>
        <w:t xml:space="preserve">label to all C(G, k) = C(8, 5) = 56 possible subsets of districts of size k = 5 (the size of the real treated set), holding the post-period fixed at 2019–2021. For each permutation we re-estimate Eq. 4 on the subsetted panel and record the placebo coefficient (</w:t>
      </w:r>
      <w:r>
        <w:t xml:space="preserve">_p). The two-sided permutation p-value is</w:t>
      </w:r>
    </w:p>
    <w:p>
      <w:pPr>
        <w:pStyle w:val="BodyText"/>
      </w:pPr>
      <w:r>
        <w:t xml:space="preserve">[p_{</w:t>
      </w:r>
      <w:r>
        <w:t xml:space="preserve">} =</w:t>
      </w:r>
      <w:r>
        <w:t xml:space="preserve"> </w:t>
      </w:r>
      <w:r>
        <w:t xml:space="preserve"> </w:t>
      </w:r>
      <w:r>
        <w:t xml:space="preserve">(6)]</w:t>
      </w:r>
    </w:p>
    <w:p>
      <w:pPr>
        <w:pStyle w:val="BodyText"/>
      </w:pPr>
      <w:r>
        <w:t xml:space="preserve">with the +1 correction following Phipson and Smyth (2010). The smallest attainable (p_{</w:t>
      </w:r>
      <w:r>
        <w:t xml:space="preserve">}) on this design is 1/57 ≈ 0.018 (real assignment alone in the tail). On the real v2.1 panel the in-space permutation test (Table S7) places the real (</w:t>
      </w:r>
      <w:r>
        <w:t xml:space="preserve">) in the extreme tail of all 56 reassignments only for the EOS cells (raw/EOS and corrected/EOS at the design floor (p_{</w:t>
      </w:r>
      <w:r>
        <w:t xml:space="preserve">} = 0.018)); SOS and POS placebo distributions have median pseudo-effects of (</w:t>
      </w:r>
      <w:r>
        <w:rPr>
          <w:i/>
          <w:iCs/>
        </w:rPr>
        <w:t xml:space="preserve">p^{</w:t>
      </w:r>
      <w:r>
        <w:rPr>
          <w:i/>
          <w:iCs/>
        </w:rPr>
        <w:t xml:space="preserve">}) = −1.14 d (raw/SOS), −1.16 d (corrected/SOS), −0.28 d (raw/POS), and −0.29 d (corrected/POS), and yield (p</w:t>
      </w:r>
      <w:r>
        <w:t xml:space="preserve">{</w:t>
      </w:r>
      <w:r>
        <w:t xml:space="preserve">} = 0.50) for both SOS pipelines, 0.286 (raw/POS) and 0.268 (corrected/POS), consistent with the small-G null result. The corrected/EOS cell — the smallest |(</w:t>
      </w:r>
      <w: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i/>
          <w:iCs/>
        </w:rPr>
        <w:t xml:space="preserve">In-time pseudo-shifted placebo (transparency probe).</w:t>
      </w:r>
      <w:r>
        <w:t xml:space="preserve"> </w:t>
      </w:r>
      <w: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 (</w:t>
      </w:r>
      <w:r>
        <w:t xml:space="preserve">) on the resulting 2-year sample. On the real v2.1 panel the SOS pseudo-coefficient is (</w:t>
      </w:r>
      <w:r>
        <w:t xml:space="preserve">_{</w:t>
      </w:r>
      <w:r>
        <w:t xml:space="preserve">}) = −76.5 d (SE 38.31, raw and corrected pipelines identical because no pre-2019 cyclones are present), and the POS pseudo-coefficient is +2.85 d (SE 10.16); the EOS pseudo-coefficient is undefined on the n = 2 pre-period after right-censoring. The large SOS pseudo magnitude (|−76.5| » |+15.289|, the real coefficient) reflects the formal degeneracy of a single-comparison in-time placebo with only two pre-period years (2017–2018) rather than a failure of identification: with G = 8 and only two pre-period years a single anomalous district-year drives the entire pseudo-coefficient, which is why this probe is reported as a transparency diagnostic only and not as a primary parallel-trends test. The pre-trend regression (§3.6, Table S2) and the event-study lead coefficients (Figure 3) remain the inferential anchors of the parallel-trends assumption.</w:t>
      </w:r>
    </w:p>
    <w:bookmarkEnd w:id="41"/>
    <w:bookmarkStart w:id="42" w:name="Xb211285746cdb5a9eab16dd764ebbd3acc567c1"/>
    <w:p>
      <w:pPr>
        <w:pStyle w:val="Heading4"/>
      </w:pPr>
      <w:r>
        <w:t xml:space="preserve">3.7.5 Post-hoc minimum detectable effect and power (Module 09, Table S6, Figure S1)</w:t>
      </w:r>
    </w:p>
    <w:p>
      <w:pPr>
        <w:pStyle w:val="FirstParagraph"/>
      </w:pPr>
      <w:r>
        <w:t xml:space="preserve">The panel size (G = 8 districts) is fixed by geography: the eight districts are the universe in which Sentinel-1/2 rice phenology and IBTrACS cyclone exposure are jointly observable in our window. We therefore report</w:t>
      </w:r>
      <w:r>
        <w:t xml:space="preserve"> </w:t>
      </w:r>
      <w:r>
        <w:rPr>
          <w:b/>
          <w:bCs/>
        </w:rPr>
        <w:t xml:space="preserve">post-hoc</w:t>
      </w:r>
      <w:r>
        <w:t xml:space="preserve"> </w:t>
      </w:r>
      <w:r>
        <w:t xml:space="preserve">power and the minimum detectable effect (MDE) transparently, alongside the inferential results, so reviewers can assess what the design could and could not have detected.</w:t>
      </w:r>
      <w:r>
        <w:t xml:space="preserve"> </w:t>
      </w:r>
      <w:r>
        <w:rPr>
          <w:i/>
          <w:iCs/>
        </w:rPr>
        <w:t xml:space="preserve">Power is not used to recompute p-values</w:t>
      </w:r>
      <w:r>
        <w:t xml:space="preserve"> </w:t>
      </w:r>
      <w:r>
        <w:t xml:space="preserve">(those come from the WCR bootstrap, §3.7.1).</w:t>
      </w:r>
    </w:p>
    <w:p>
      <w:pPr>
        <w:pStyle w:val="BodyText"/>
      </w:pPr>
      <w:r>
        <w:t xml:space="preserve">For each cell we compute the two-sided MDE at (</w:t>
      </w:r>
      <w:r>
        <w:t xml:space="preserve">= 0.05) and power = 0.80 using the small-cluster t-distribution with df = G − 1 = 7 (Donald and Lang, 2007):</w:t>
      </w:r>
    </w:p>
    <w:p>
      <w:pPr>
        <w:pStyle w:val="BodyText"/>
      </w:pPr>
      <w:r>
        <w:t xml:space="preserve">[</w:t>
      </w:r>
      <w:r>
        <w:t xml:space="preserve"> </w:t>
      </w:r>
      <w:r>
        <w:t xml:space="preserve">=</w:t>
      </w:r>
      <w:r>
        <w:t xml:space="preserve"> </w:t>
      </w:r>
      <w:r>
        <w:t xml:space="preserve">(t_{</w:t>
      </w:r>
      <w:r>
        <w:t xml:space="preserve">/2,,G-1} + t_{1-</w:t>
      </w:r>
      <w:r>
        <w:t xml:space="preserve">,,G-1}</w:t>
      </w:r>
      <w:r>
        <w:t xml:space="preserve">)</w:t>
      </w:r>
      <w:r>
        <w:t xml:space="preserve">(</w:t>
      </w:r>
      <w:r>
        <w:t xml:space="preserve">)</w:t>
      </w:r>
      <w:r>
        <w:t xml:space="preserve"> </w:t>
      </w:r>
      <w:r>
        <w:t xml:space="preserve">(7)]</w:t>
      </w:r>
    </w:p>
    <w:p>
      <w:pPr>
        <w:pStyle w:val="BodyText"/>
      </w:pPr>
      <w:r>
        <w:t xml:space="preserve">where (</w:t>
      </w:r>
      <w:r>
        <w:t xml:space="preserve">(</w:t>
      </w:r>
      <w:r>
        <w:t xml:space="preserve">)) is the cluster-robust standard error from §3.6. On the real v2.1 panel, MDE₂-sided ranges from 0.55 d (corrected/EOS) to 56.5 d (raw/SOS), and (|</w:t>
      </w:r>
      <w:r>
        <w:t xml:space="preserve">|/)MDE ranges from 0.27 (raw/SOS) to 0.43 (corrected/EOS); none of the six observed effects exceeds its MDE at (</w:t>
      </w:r>
      <w: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 (y_{it} =</w:t>
      </w:r>
      <w:r>
        <w:t xml:space="preserve"> </w:t>
      </w:r>
      <w:r>
        <w:rPr>
          <w:i/>
          <w:iCs/>
        </w:rPr>
        <w:t xml:space="preserve">i +</w:t>
      </w:r>
      <w:r>
        <w:rPr>
          <w:i/>
          <w:iCs/>
        </w:rPr>
        <w:t xml:space="preserve"> </w:t>
      </w:r>
      <w:r>
        <w:rPr>
          <w:i/>
          <w:i/>
          <w:iCs/>
          <w:iCs/>
        </w:rPr>
        <w:t xml:space="preserve">t +</w:t>
      </w:r>
      <w:r>
        <w:rPr>
          <w:i/>
          <w:i/>
          <w:iCs/>
          <w:iCs/>
        </w:rPr>
        <w:t xml:space="preserve"> </w:t>
      </w:r>
      <w:r>
        <w:rPr>
          <w:i/>
          <w:i/>
          <w:iCs/>
          <w:iCs/>
        </w:rPr>
        <w:t xml:space="preserve">D</w:t>
      </w:r>
      <w:r>
        <w:rPr>
          <w:i/>
          <w:iCs/>
        </w:rPr>
        <w:t xml:space="preserve">{it} +</w:t>
      </w:r>
      <w:r>
        <w:rPr>
          <w:i/>
          <w:iCs/>
        </w:rPr>
        <w:t xml:space="preserve"> </w:t>
      </w:r>
      <w:r>
        <w:t xml:space="preserve">{it}) with variance components estimated empirically from the real v2.1 corrected-SOS panel via a two-way fixed-effects decomposition (Note S4; (</w:t>
      </w:r>
      <w:r>
        <w:rPr>
          <w:i/>
          <w:iCs/>
        </w:rPr>
        <w:t xml:space="preserve">u = 13.06) d, (</w:t>
      </w:r>
      <w:r>
        <w:rPr>
          <w:i/>
          <w:i/>
          <w:iCs/>
          <w:iCs/>
        </w:rPr>
        <w:t xml:space="preserve">t = 41.75) d, (</w:t>
      </w:r>
      <w:r>
        <w:rPr>
          <w:i/>
          <w:iCs/>
        </w:rPr>
        <w:t xml:space="preserve">= 31.28) d), and report the empirical rejection rate for (</w:t>
      </w:r>
      <w:r>
        <w:rPr>
          <w:i/>
          <w:iCs/>
        </w:rPr>
        <w:t xml:space="preserve">{0, 5, 10, 15, 20, 30, 40, 60, 80, 100}) days at (G</w:t>
      </w:r>
      <w:r>
        <w:rPr>
          <w:i/>
          <w:iCs/>
        </w:rPr>
        <w:t xml:space="preserve"> </w:t>
      </w:r>
      <w:r>
        <w:rPr>
          <w:i/>
          <w:iCs/>
        </w:rPr>
        <w:t xml:space="preserve">{4, 6, 8, 12}) over 999 replications per grid point. At G = 8 (this study) power ≥ 0.80 is reached only for (</w:t>
      </w:r>
      <w:r>
        <w:rPr>
          <w:i/>
          <w:iCs/>
        </w:rPr>
        <w:t xml:space="preserve">) d; the type-I rate under (H_0) is 0.07 — close to nominal 0.05, indicating CR1 with df = G − 1 is well-sized for this design. This empirical MDE of ≈60 d is an order of magnitude above the observed (|</w:t>
      </w:r>
      <w:r>
        <w:t xml:space="preserve">{</w:t>
      </w:r>
      <w:r>
        <w:t xml:space="preserve">}|) = 15.1 d, so the WCR non-rejection (p = 0.4065) is</w:t>
      </w:r>
      <w:r>
        <w:t xml:space="preserve"> </w:t>
      </w:r>
      <w:r>
        <w:rPr>
          <w:i/>
          <w:iCs/>
        </w:rPr>
        <w:t xml:space="preserve">inferentially expected</w:t>
      </w:r>
      <w:r>
        <w:t xml:space="preserve"> </w:t>
      </w:r>
      <w:r>
        <w:t xml:space="preserve">rather than evidence against an underlying effect — the central rationale for our re-framing of v2.1 as a transparent null. Power curves are reported in Figure 5 and Table S6.</w:t>
      </w:r>
    </w:p>
    <w:bookmarkEnd w:id="42"/>
    <w:bookmarkEnd w:id="43"/>
    <w:bookmarkStart w:id="44" w:name="validation"/>
    <w:p>
      <w:pPr>
        <w:pStyle w:val="Heading3"/>
      </w:pPr>
      <w:r>
        <w:t xml:space="preserve">3.8 Validation</w:t>
      </w:r>
    </w:p>
    <w:p>
      <w:pPr>
        <w:pStyle w:val="FirstParagraph"/>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cross-check using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Qadir et al. (2022) paddy product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4"/>
    <w:bookmarkStart w:id="46" w:name="software-and-reproducibility"/>
    <w:p>
      <w:pPr>
        <w:pStyle w:val="Heading3"/>
      </w:pPr>
      <w:r>
        <w:t xml:space="preserve">3.9 Software and Reproducibility</w:t>
      </w:r>
    </w:p>
    <w:p>
      <w:pPr>
        <w:pStyle w:val="FirstParagraph"/>
      </w:pPr>
      <w: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scipy</w:t>
      </w:r>
      <w:r>
        <w:t xml:space="preserve">,</w:t>
      </w:r>
      <w:r>
        <w:t xml:space="preserve"> </w:t>
      </w:r>
      <w:r>
        <w:rPr>
          <w:rStyle w:val="VerbatimChar"/>
        </w:rPr>
        <w:t xml:space="preserve">statsmodels</w:t>
      </w:r>
      <w:r>
        <w:t xml:space="preserve">,</w:t>
      </w:r>
      <w:r>
        <w:t xml:space="preserve"> </w:t>
      </w:r>
      <w:r>
        <w:rPr>
          <w:rStyle w:val="VerbatimChar"/>
        </w:rPr>
        <w:t xml:space="preserve">matplotlib</w:t>
      </w:r>
      <w:r>
        <w:t xml:space="preserve">, and</w:t>
      </w:r>
      <w:r>
        <w:t xml:space="preserve"> </w:t>
      </w:r>
      <w:r>
        <w:rPr>
          <w:rStyle w:val="VerbatimChar"/>
        </w:rPr>
        <w:t xml:space="preserve">python-docx</w:t>
      </w:r>
      <w:r>
        <w:t xml:space="preserve"> </w:t>
      </w:r>
      <w:r>
        <w:t xml:space="preserve">(versions pinned in</w:t>
      </w:r>
      <w:r>
        <w:t xml:space="preserve"> </w:t>
      </w:r>
      <w:r>
        <w:rPr>
          <w:rStyle w:val="VerbatimChar"/>
        </w:rPr>
        <w:t xml:space="preserve">requirements.txt</w:t>
      </w:r>
      <w:r>
        <w:t xml:space="preserve">). The full analysis chain is orchestrated by a single-command refresh script (</w:t>
      </w:r>
      <w:r>
        <w:rPr>
          <w:rStyle w:val="VerbatimChar"/>
        </w:rPr>
        <w:t xml:space="preserve">python scripts/refresh_v21_from_module12.py</w:t>
      </w:r>
      <w:r>
        <w:t xml:space="preserve">) that reproduces every reported figure (including Figure 1B, Figure 3, Figure 5, Figure 6, Figure S1, Figure S2) and supplementary table (S1–S10, S13a) from the published Module 12 per-district cyclone-exposed-area exports against the real BACI panel.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t xml:space="preserve"> </w:t>
      </w:r>
      <w:hyperlink r:id="rId45">
        <w:r>
          <w:rPr>
            <w:rStyle w:val="Hyperlink"/>
          </w:rPr>
          <w:t xml:space="preserve">10.17632/z3zxk4xy3c.1</w:t>
        </w:r>
      </w:hyperlink>
      <w:r>
        <w:t xml:space="preserve">).</w:t>
      </w:r>
    </w:p>
    <w:p>
      <w:r>
        <w:pict>
          <v:rect style="width:0;height:1.5pt" o:hralign="center" o:hrstd="t" o:hr="t"/>
        </w:pict>
      </w:r>
    </w:p>
    <w:bookmarkEnd w:id="46"/>
    <w:bookmarkEnd w:id="47"/>
    <w:bookmarkStart w:id="55" w:name="results"/>
    <w:p>
      <w:pPr>
        <w:pStyle w:val="Heading2"/>
      </w:pPr>
      <w:r>
        <w:t xml:space="preserve">4. Results</w:t>
      </w:r>
    </w:p>
    <w:bookmarkStart w:id="48" w:name="saline-flood-classifier-performance"/>
    <w:p>
      <w:pPr>
        <w:pStyle w:val="Heading3"/>
      </w:pPr>
      <w:r>
        <w:t xml:space="preserve">4.1 Saline-Flood Classifier Performance</w:t>
      </w:r>
    </w:p>
    <w:p>
      <w:pPr>
        <w:pStyle w:val="FirstParagraph"/>
      </w:pPr>
      <w: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t xml:space="preserve">McNemar’s chi-squared test against the naive no-classifier baseline (assigning all May–August inundation events to the agronomic-flood class, which would correctly classify the 48 agronomic hold-out labels and misclassify all 48 cyclone hold-out labels) yields (</w:t>
      </w:r>
      <w:r>
        <w:t xml:space="preserve">^2) = 42.19 with continuity correction (</w:t>
      </w:r>
      <w:r>
        <w:rPr>
          <w:i/>
          <w:iCs/>
        </w:rPr>
        <w:t xml:space="preserve">p</w:t>
      </w:r>
      <w:r>
        <w:t xml:space="preserve"> </w:t>
      </w:r>
      <w:r>
        <w:t xml:space="preserve">&lt; 0.001), confirming that the classifier extracts physically-meaningful structure from the SAR + climate feature space beyond what any class-prior baseline can achieve. Aggregated across treatment years, the classified cyclone-flood pixel densities (Module 12 per-district exports underlying Table S13a) follow the expected spatial pattern: highest densities are concentrated in the coastal sub-districts immediately adjacent to the shoreline, particularly in the delta mouths of the Brahmani, Baitarani, and Mahanadi rivers (Balasore, Bhadrak, Kendrapara, Jagatsinghpur; cf. study area in Figure 1), with density declining steeply inland.</w:t>
      </w:r>
    </w:p>
    <w:bookmarkEnd w:id="48"/>
    <w:bookmarkStart w:id="49"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3-day maximum wind speed, JRC GSW water permanence, and the optical-water signals (NDWI maximum and LSWI minimum within the event window) layered on top of the SAR ΔVH/ΔCR signature — are not available, in this combination, in any existing SAR rice phenology algorithm, explaining why the confound has not been previously detected or corrected.</w:t>
      </w:r>
    </w:p>
    <w:bookmarkEnd w:id="49"/>
    <w:bookmarkStart w:id="50" w:name="raw-vs.-corrected-phenological-dates"/>
    <w:p>
      <w:pPr>
        <w:pStyle w:val="Heading3"/>
      </w:pPr>
      <w:r>
        <w:t xml:space="preserve">4.3 Raw vs. Corrected Phenological Dates</w:t>
      </w:r>
    </w:p>
    <w:p>
      <w:pPr>
        <w:pStyle w:val="FirstParagraph"/>
      </w:pPr>
      <w:r>
        <w:t xml:space="preserve">Comparison of the raw and corrected pipelines for each cyclone-affected district-year reveals systematic but bounded biases in the uncorrected SOS, POS, and EOS estimates (per-(district, year, metric) values in Table S13a; corrected-pipeline SOS trajectories per district plotted in Figure 4). Across the 13 cyclone-affected district-year cells in the v2.1 correction summary (4 Fani 2019, 4 Amphan 2020, 5 Yaas 2021), the mean absolute difference between raw and corrected SOS dates was</w:t>
      </w:r>
      <w:r>
        <w:t xml:space="preserve"> </w:t>
      </w:r>
      <w:r>
        <w:rPr>
          <w:b/>
          <w:bCs/>
        </w:rPr>
        <w:t xml:space="preserve">0.245 ± 0.272 days</w:t>
      </w:r>
      <w:r>
        <w:t xml:space="preserve"> </w:t>
      </w:r>
      <w:r>
        <w:t xml:space="preserve">(range 0.04–1.01 d). The largest single correction was applied to</w:t>
      </w:r>
      <w:r>
        <w:t xml:space="preserve"> </w:t>
      </w:r>
      <w:r>
        <w:rPr>
          <w:b/>
          <w:bCs/>
        </w:rPr>
        <w:t xml:space="preserve">Bhadrak in 2021 (Cyclone Yaas), where the SOS date shifted by −1.01 days</w:t>
      </w:r>
      <w: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(Baleshwar) to −0.56 days (Bhadrak).</w:t>
      </w:r>
    </w:p>
    <w:p>
      <w:pPr>
        <w:jc w:val="center"/>
      </w:pPr>
      <w:r>
        <w:drawing>
          <wp:inline>
            <wp:extent cx="5486400" cy="369028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486400" cy="3690288"/>
                    </a:xfrm>
                    <a:prstGeom prst="rect"/>
                  </pic:spPr>
                </pic:pic>
              </a:graphicData>
            </a:graphic>
          </wp:inline>
        </w:drawing>
      </w:r>
    </w:p>
    <w:p>
      <w:pPr>
        <w:jc w:val="left"/>
      </w:pPr>
      <w:r>
        <w:rPr>
          <w:b/>
          <w:sz w:val="20"/>
        </w:rPr>
        <w:t xml:space="preserve">Figure 4. </w:t>
      </w:r>
      <w:r>
        <w:rPr>
          <w:sz w:val="20"/>
        </w:rPr>
        <w:t>Per-district SOS trajectories on the classifier-corrected pipeline, Kharif 2017-2024. Top panel: five coastal treatment districts (Baleshwar, Bhadrak, Jagatsinghpur, Kendrapara, Puri), thin orange lines per district with the bold orange line tracing the group mean. Bottom panel: three inland control districts (Angul, Cuttack, Dhenkanal), thin green lines per district with the bold green line tracing the group mean. Dotted vertical guides mark the three cyclone landfall years (Fani 2019, Amphan 2020, Yaas 2021). Only the corrected pipeline is plotted because the raw pipeline produces near-identical curves: across the 13 cyclone-affected district-year cells the mean absolute SOS shift is 0.245 ± 0.272 days (range 0.04-1.01 d), with the largest single correction in Bhadrak 2021 (Cyclone Yaas, -1.01 d). Per-(district, year) raw and corrected values are reported in Table S13a so the small raw-vs-corrected divergence remains fully auditable.</w:t>
      </w:r>
    </w:p>
    <w:p>
      <w:pPr>
        <w:pStyle w:val="BodyText"/>
      </w:pPr>
      <w:r>
        <w:t xml:space="preserve">For POS dates, the mean raw–corrected difference in treatment years was</w:t>
      </w:r>
      <w:r>
        <w:t xml:space="preserve"> </w:t>
      </w:r>
      <w:r>
        <w:rPr>
          <w:b/>
          <w:bCs/>
        </w:rPr>
        <w:t xml:space="preserve">0.122 ± 0.134 days</w:t>
      </w:r>
      <w:r>
        <w:t xml:space="preserve"> </w:t>
      </w:r>
      <w: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t xml:space="preserve"> </w:t>
      </w:r>
      <w:r>
        <w:rPr>
          <w:b/>
          <w:bCs/>
        </w:rPr>
        <w:t xml:space="preserve">0.337 ± 0.462 days</w:t>
      </w:r>
      <w:r>
        <w:t xml:space="preserve"> </w:t>
      </w:r>
      <w: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 Sample construction; §5.4).</w:t>
      </w:r>
    </w:p>
    <w:p>
      <w:pPr>
        <w:jc w:val="center"/>
      </w:pPr>
      <w:r>
        <w:drawing>
          <wp:inline>
            <wp:extent cx="5486400" cy="3736742"/>
            <wp:docPr id="4" name="Picture 4"/>
            <wp:cNvGraphicFramePr>
              <a:graphicFrameLocks noChangeAspect="1"/>
            </wp:cNvGraphicFramePr>
            <a:graphic>
              <a:graphicData uri="http://schemas.openxmlformats.org/drawingml/2006/picture">
                <pic:pic>
                  <pic:nvPicPr>
                    <pic:cNvPr id="0" name="fig5_power_curves.png"/>
                    <pic:cNvPicPr/>
                  </pic:nvPicPr>
                  <pic:blipFill>
                    <a:blip r:embed="rId12"/>
                    <a:stretch>
                      <a:fillRect/>
                    </a:stretch>
                  </pic:blipFill>
                  <pic:spPr>
                    <a:xfrm>
                      <a:off x="0" y="0"/>
                      <a:ext cx="5486400" cy="3736742"/>
                    </a:xfrm>
                    <a:prstGeom prst="rect"/>
                  </pic:spPr>
                </pic:pic>
              </a:graphicData>
            </a:graphic>
          </wp:inline>
        </w:drawing>
      </w:r>
    </w:p>
    <w:p>
      <w:pPr>
        <w:jc w:val="left"/>
      </w:pPr>
      <w:r>
        <w:rPr>
          <w:b/>
          <w:sz w:val="20"/>
        </w:rPr>
        <w:t xml:space="preserve">Figure 5. </w:t>
      </w:r>
      <w:r>
        <w:rPr>
          <w:sz w:val="20"/>
        </w:rPr>
        <w:t>Empirical power curves from the Monte-Carlo simulation (Note S4). Rejection rate of H0 against true effect size tau over 999 replications per grid point at G = {4, 6, 8, 12} with empirical variance components sigma_u = 13.06 d, sigma_t = 41.75 d, sigma_epsilon = 31.28 d estimated from the real v2.1 corrected-SOS panel. At G = 8 (this study) power &gt;= 0.80 is reached only for tau &gt;= 60 d; the type-I rate under H0 is 0.07, close to nominal 0.05.</w:t>
      </w:r>
    </w:p>
    <w:p>
      <w:pPr>
        <w:pStyle w:val="BodyText"/>
      </w:pPr>
      <w: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jc w:val="center"/>
      </w:pPr>
      <w:r>
        <w:drawing>
          <wp:inline>
            <wp:extent cx="5486400" cy="3398622"/>
            <wp:docPr id="3" name="Picture 3"/>
            <wp:cNvGraphicFramePr>
              <a:graphicFrameLocks noChangeAspect="1"/>
            </wp:cNvGraphicFramePr>
            <a:graphic>
              <a:graphicData uri="http://schemas.openxmlformats.org/drawingml/2006/picture">
                <pic:pic>
                  <pic:nvPicPr>
                    <pic:cNvPr id="0" name="fig6_placebo_distribution.png"/>
                    <pic:cNvPicPr/>
                  </pic:nvPicPr>
                  <pic:blipFill>
                    <a:blip r:embed="rId11"/>
                    <a:stretch>
                      <a:fillRect/>
                    </a:stretch>
                  </pic:blipFill>
                  <pic:spPr>
                    <a:xfrm>
                      <a:off x="0" y="0"/>
                      <a:ext cx="5486400" cy="3398622"/>
                    </a:xfrm>
                    <a:prstGeom prst="rect"/>
                  </pic:spPr>
                </pic:pic>
              </a:graphicData>
            </a:graphic>
          </wp:inline>
        </w:drawing>
      </w:r>
    </w:p>
    <w:p>
      <w:pPr>
        <w:jc w:val="left"/>
      </w:pPr>
      <w:r>
        <w:rPr>
          <w:b/>
          <w:sz w:val="20"/>
        </w:rPr>
        <w:t xml:space="preserve">Figure 6. </w:t>
      </w:r>
      <w:r>
        <w:rPr>
          <w:sz w:val="20"/>
        </w:rPr>
        <w:t>In-space placebo distributions (donor-swap, 56 permutations). Histograms of placebo tau_hat values from all C(8,5) treated/control reassignments across district pairs, with the observed tau_hat marked as a solid vertical line, in each of the six (pipeline x metric) cells (raw/corrected x SOS/POS/EOS). Both raw/EOS and corrected/EOS cells return p_perm = 0.018 (n_extreme = 0 / 55), the design floor at G = 8; these p-values are formally uninformative for the EOS cells because zero finite placebo estimates were retained (degenerate outcome) and are reported only for completeness, not as evidence of significance. The SOS and POS cells return p_perm = 0.286-0.500, consistent with the small-G null result.</w:t>
      </w:r>
    </w:p>
    <w:p>
      <w:pPr>
        <w:pStyle w:val="BodyText"/>
      </w:pPr>
      <w:r>
        <w:t xml:space="preserve">A quantitative summary of raw vs. corrected MAE and RMSE for SOS, POS, and EOS by district and cyclone is presented in Table S1 (real_v21 column) and Table S13a (per-cell pixel shares).</w:t>
      </w:r>
    </w:p>
    <w:p>
      <w:pPr>
        <w:jc w:val="center"/>
      </w:pPr>
      <w:r>
        <w:drawing>
          <wp:inline>
            <wp:extent cx="5486400" cy="2191435"/>
            <wp:docPr id="2" name="Picture 2"/>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486400" cy="2191435"/>
                    </a:xfrm>
                    <a:prstGeom prst="rect"/>
                  </pic:spPr>
                </pic:pic>
              </a:graphicData>
            </a:graphic>
          </wp:inline>
        </w:drawing>
      </w:r>
    </w:p>
    <w:p>
      <w:pPr>
        <w:jc w:val="left"/>
      </w:pPr>
      <w:r>
        <w:rPr>
          <w:b/>
          <w:sz w:val="20"/>
        </w:rPr>
        <w:t xml:space="preserve">Figure S1. </w:t>
      </w:r>
      <w:r>
        <w:rPr>
          <w:sz w:val="20"/>
        </w:rPr>
        <w:t>Cyclone climatology for the Bay of Bengal, 1980-2024. Annual landfall counts in the 50-km IBTrACS buffer around the coastal Odisha districts, stratified by Saffir-Simpson category and pre-monsoon vs. post-monsoon timing.</w:t>
      </w:r>
    </w:p>
    <w:bookmarkEnd w:id="50"/>
    <w:bookmarkStart w:id="51" w:name="Xe97dbb1d10983c991e2718182d2578c3e60d71d"/>
    <w:p>
      <w:pPr>
        <w:pStyle w:val="Heading3"/>
      </w:pPr>
      <w:r>
        <w:t xml:space="preserve">4.4 Difference-in-Differences Estimates and Robustness</w:t>
      </w:r>
    </w:p>
    <w:p>
      <w:pPr>
        <w:jc w:val="center"/>
      </w:pPr>
      <w:r>
        <w:drawing>
          <wp:inline>
            <wp:extent cx="5486400" cy="5776055"/>
            <wp:docPr id="1" name="Picture 1"/>
            <wp:cNvGraphicFramePr>
              <a:graphicFrameLocks noChangeAspect="1"/>
            </wp:cNvGraphicFramePr>
            <a:graphic>
              <a:graphicData uri="http://schemas.openxmlformats.org/drawingml/2006/picture">
                <pic:pic>
                  <pic:nvPicPr>
                    <pic:cNvPr id="0" name="figS2_backscatter_signatures.png"/>
                    <pic:cNvPicPr/>
                  </pic:nvPicPr>
                  <pic:blipFill>
                    <a:blip r:embed="rId9"/>
                    <a:stretch>
                      <a:fillRect/>
                    </a:stretch>
                  </pic:blipFill>
                  <pic:spPr>
                    <a:xfrm>
                      <a:off x="0" y="0"/>
                      <a:ext cx="5486400" cy="5776055"/>
                    </a:xfrm>
                    <a:prstGeom prst="rect"/>
                  </pic:spPr>
                </pic:pic>
              </a:graphicData>
            </a:graphic>
          </wp:inline>
        </w:drawing>
      </w:r>
    </w:p>
    <w:p>
      <w:pPr>
        <w:jc w:val="left"/>
      </w:pPr>
      <w:r>
        <w:rPr>
          <w:b/>
          <w:sz w:val="20"/>
        </w:rPr>
        <w:t xml:space="preserve">Figure S2. </w:t>
      </w:r>
      <w:r>
        <w:rPr>
          <w:sz w:val="20"/>
        </w:rPr>
        <w:t>Sentinel-1 RTC dual-polarisation VH/VV/CR backscatter signatures across four phenological phases (pre-canopy, early canopy, peak canopy, event window) for the four Bulbul out-of-sample probe districts (Boudh, Ganjam, Khordha, Nayagarh), retrieved from Microsoft Planetary Computer.</w:t>
      </w:r>
    </w:p>
    <w:p>
      <w:pPr>
        <w:pStyle w:val="FirstParagraph"/>
      </w:pPr>
      <w:r>
        <w:rPr>
          <w:b/>
          <w:bCs/>
        </w:rPr>
        <w:t xml:space="preserve">Headline DiD coefficients.</w:t>
      </w:r>
      <w:r>
        <w:t xml:space="preserve"> </w:t>
      </w:r>
      <w:r>
        <w:t xml:space="preserve">The TWFE-DiD specification (Eq. 4) returns the average treatment effect on the treated, (</w:t>
      </w:r>
      <w:r>
        <w:t xml:space="preserve">), separately for each (pipeline × phenometric) cell (Table S1). For the raw pipeline, (</w:t>
      </w:r>
      <w:r>
        <w:rPr>
          <w:i/>
          <w:iCs/>
        </w:rPr>
        <w:t xml:space="preserve">{</w:t>
      </w:r>
      <w:r>
        <w:rPr>
          <w:i/>
          <w:iCs/>
        </w:rPr>
        <w:t xml:space="preserve">}) = +15.289 d, CR1 SE = 17.328, WCR-restricted</w:t>
      </w:r>
      <w:r>
        <w:rPr>
          <w:i/>
          <w:iCs/>
        </w:rPr>
        <w:t xml:space="preserve"> </w:t>
      </w:r>
      <w:r>
        <w:rPr>
          <w:i/>
          <w:i/>
          <w:iCs/>
          <w:iCs/>
        </w:rPr>
        <w:t xml:space="preserve">p</w:t>
      </w:r>
      <w:r>
        <w:rPr>
          <w:i/>
          <w:iCs/>
        </w:rPr>
        <w:t xml:space="preserve"> </w:t>
      </w:r>
      <w:r>
        <w:rPr>
          <w:i/>
          <w:iCs/>
        </w:rPr>
        <w:t xml:space="preserve">= 0.400, WCR 95 % CI [−54.02, +84.60], B = 9,999,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throughout §4.4) in cyclone years relative to the inland-control counterfactual. The companion POS and EOS coefficients were (</w:t>
      </w:r>
      <w:r>
        <w:t xml:space="preserve">{</w:t>
      </w:r>
      <w:r>
        <w:t xml:space="preserve">}) = −3.587 d (WCR</w:t>
      </w:r>
      <w:r>
        <w:t xml:space="preserve"> </w:t>
      </w:r>
      <w:r>
        <w:rPr>
          <w:i/>
          <w:iCs/>
        </w:rPr>
        <w:t xml:space="preserve">p</w:t>
      </w:r>
      <w:r>
        <w:t xml:space="preserve"> </w:t>
      </w:r>
      <w:r>
        <w:t xml:space="preserve">= 0.2293, WCR 95 % CI [−15.11, +7.94]) and (</w:t>
      </w:r>
      <w:r>
        <w:rPr>
          <w:i/>
          <w:iCs/>
        </w:rPr>
        <w:t xml:space="preserve">{</w:t>
      </w:r>
      <w:r>
        <w:rPr>
          <w:i/>
          <w:iCs/>
        </w:rPr>
        <w:t xml:space="preserve">}) ≈ 0 d (right-censored: 20 of the 64 district-year EOS cells fall in the post-cyclone window and are right-censored by the season-end harvest cutoff, leaving n = 44 estimable EOS rows; WCR</w:t>
      </w:r>
      <w:r>
        <w:rPr>
          <w:i/>
          <w:iCs/>
        </w:rPr>
        <w:t xml:space="preserve"> </w:t>
      </w:r>
      <w:r>
        <w:rPr>
          <w:i/>
          <w:i/>
          <w:iCs/>
          <w:iCs/>
        </w:rPr>
        <w:t xml:space="preserve">p</w:t>
      </w:r>
      <w:r>
        <w:rPr>
          <w:i/>
          <w:iCs/>
        </w:rPr>
        <w:t xml:space="preserve"> </w:t>
      </w:r>
      <w:r>
        <w:rPr>
          <w:i/>
          <w:iCs/>
        </w:rPr>
        <w:t xml:space="preserve">= 0.2047). In the v2.1 classifier-corrected pipeline the SOS coefficient attenuates to (</w:t>
      </w:r>
      <w:r>
        <w:t xml:space="preserve">{</w:t>
      </w:r>
      <w:r>
        <w:t xml:space="preserve">}) = +15.108 d (CR1 SE = 17.312, WCR</w:t>
      </w:r>
      <w:r>
        <w:t xml:space="preserve"> </w:t>
      </w:r>
      <w:r>
        <w:rPr>
          <w:i/>
          <w:iCs/>
        </w:rPr>
        <w:t xml:space="preserve">p</w:t>
      </w:r>
      <w:r>
        <w:t xml:space="preserve"> </w:t>
      </w:r>
      <w:r>
        <w:t xml:space="preserve">= 0.4065, WCR 95 % CI [−54.14, +84.36]), a (</w:t>
      </w:r>
      <w:r>
        <w:t xml:space="preserve">) = −0.181 d shift corresponding to a 1.2 % reduction in absolute magnitude relative to the raw pipeline — small but directionally consistent with the pre-registered prediction (</w:t>
      </w:r>
      <w:r>
        <w:rPr>
          <w:i/>
          <w:iCs/>
        </w:rPr>
        <w:t xml:space="preserve">{</w:t>
      </w:r>
      <w:r>
        <w:rPr>
          <w:i/>
          <w:iCs/>
        </w:rPr>
        <w:t xml:space="preserve">} &gt;</w:t>
      </w:r>
      <w:r>
        <w:rPr>
          <w:i/>
          <w:iCs/>
        </w:rPr>
        <w:t xml:space="preserve"> </w:t>
      </w:r>
      <w:r>
        <w:t xml:space="preserve">{</w:t>
      </w:r>
      <w:r>
        <w:t xml:space="preserve">} &gt; 0) (§3.6, OSF c4mp8). The corrected/POS coefficient was −3.677 d (WCR</w:t>
      </w:r>
      <w:r>
        <w:t xml:space="preserve"> </w:t>
      </w:r>
      <w:r>
        <w:rPr>
          <w:i/>
          <w:iCs/>
        </w:rPr>
        <w:t xml:space="preserve">p</w:t>
      </w:r>
      <w:r>
        <w:t xml:space="preserve"> </w:t>
      </w:r>
      <w:r>
        <w:t xml:space="preserve">= 0.2293, WCR 95 % CI [−15.27, +7.91], (</w:t>
      </w:r>
      <w:r>
        <w:t xml:space="preserve">) = −0.090 d), and the corrected/EOS coefficient moved from the degenerate raw value to (</w:t>
      </w:r>
      <w:r>
        <w:t xml:space="preserve">_{</w:t>
      </w:r>
      <w:r>
        <w:t xml:space="preserve">}) = −0.239 d (CR1 SE = 0.169, WCR</w:t>
      </w:r>
      <w:r>
        <w:t xml:space="preserve"> </w:t>
      </w:r>
      <w:r>
        <w:rPr>
          <w:i/>
          <w:iCs/>
        </w:rPr>
        <w:t xml:space="preserve">p</w:t>
      </w:r>
      <w:r>
        <w:t xml:space="preserve"> </w:t>
      </w:r>
      <w:r>
        <w:t xml:space="preserve">= 0.2035, WCR 95 % CI [−0.92, +0.44]), consistent with the pre-registered prediction that the saline-surge correction is mechanism-specific to the early-season anchor while the end-of-season DiD coefficient remains statistically indistinguishable from zero.</w:t>
      </w:r>
    </w:p>
    <w:p>
      <w:pPr>
        <w:pStyle w:val="BodyText"/>
      </w:pPr>
      <w:r>
        <w:rPr>
          <w:b/>
          <w:bCs/>
        </w:rPr>
        <w:t xml:space="preserve">Event-study dynamics and pre-trends.</w:t>
      </w:r>
      <w:r>
        <w:t xml:space="preserve"> </w:t>
      </w:r>
      <w:r>
        <w:t xml:space="preserve">Event-study coefficients (Eq. 5; Figure 3) return pre-treatment leads at (k = -2) of +63.6 d (SOS, 95% CI [−30.5, +157.7]), +2.4 d (POS, 95% CI [−25.2, +30.0]), and +33.5 d (EOS, point estimate exact-fit on the n = 2 pre-period). The POS lead is within ([−2, +2]) d of zero; the SOS lead is non-zero in magnitude but its 95% CI brackets zero on the n = 2 pre-period, and the SOS pre-trend regression coefficient (Table S2) is non-significant (</w:t>
      </w:r>
      <w:r>
        <w:rPr>
          <w:i/>
          <w:iCs/>
        </w:rPr>
        <w:t xml:space="preserve">p</w:t>
      </w:r>
      <w:r>
        <w:t xml:space="preserve"> </w:t>
      </w:r>
      <w:r>
        <w:t xml:space="preserve">= 0.343), supporting the parallel-trends assumption. The large EOS lead magnitude is a degenerate single-comparison artefact on the n = 11 pre-period EOS sub-sample after right-censoring (residual df = 0), and EOS parallel-trends inference is therefore reported as not formally testable rather than as supportive (cross-reference Table S2 footnote). The treatment-year leads ((k</w:t>
      </w:r>
      <w:r>
        <w:t xml:space="preserve"> </w:t>
      </w:r>
      <w:r>
        <w:t xml:space="preserve">{0, 1, 2})) trace the dynamic effect for each phenometric and confirm that (</w:t>
      </w:r>
      <w:r>
        <w:t xml:space="preserve">) is not driven by a single year. The pre-trend regression coefficient (</w:t>
      </w:r>
      <w:r>
        <w:t xml:space="preserve">_2) (§3.6, Table S2) was non-significant for the SOS and POS cells (β = −63.6 d,</w:t>
      </w:r>
      <w:r>
        <w:t xml:space="preserve"> </w:t>
      </w:r>
      <w:r>
        <w:rPr>
          <w:i/>
          <w:iCs/>
        </w:rPr>
        <w:t xml:space="preserve">p</w:t>
      </w:r>
      <w:r>
        <w:t xml:space="preserve"> </w:t>
      </w:r>
      <w:r>
        <w:t xml:space="preserve">= 0.343 for SOS; β = −2.4 d,</w:t>
      </w:r>
      <w:r>
        <w:t xml:space="preserve"> </w:t>
      </w:r>
      <w:r>
        <w:rPr>
          <w:i/>
          <w:iCs/>
        </w:rPr>
        <w:t xml:space="preserve">p</w:t>
      </w:r>
      <w:r>
        <w:t xml:space="preserve"> </w:t>
      </w:r>
      <w: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b/>
          <w:bCs/>
        </w:rPr>
        <w:t xml:space="preserve">Robustness suite (Table S3–S7, Figure 5, Figure 6, Figure S1).</w:t>
      </w:r>
      <w:r>
        <w:t xml:space="preserve"> </w:t>
      </w:r>
      <w:r>
        <w:t xml:space="preserve">All five robustness instruments converge on the same headline qualitative result: (i) wild-cluster restricted bootstrap</w:t>
      </w:r>
      <w:r>
        <w:t xml:space="preserve"> </w:t>
      </w:r>
      <w:r>
        <w:rPr>
          <w:i/>
          <w:iCs/>
        </w:rPr>
        <w:t xml:space="preserve">p</w:t>
      </w:r>
      <w:r>
        <w:t xml:space="preserve">-values (Table S4) fail to reject (H_0:</w:t>
      </w:r>
      <w:r>
        <w:t xml:space="preserve"> </w:t>
      </w:r>
      <w:r>
        <w:t xml:space="preserve">= 0) at (</w:t>
      </w:r>
      <w:r>
        <w:t xml:space="preserve">= 0.05) for all six (pipeline × metric) cells (raw/SOS</w:t>
      </w:r>
      <w:r>
        <w:t xml:space="preserve"> </w:t>
      </w:r>
      <w:r>
        <w:rPr>
          <w:i/>
          <w:iCs/>
        </w:rPr>
        <w:t xml:space="preserve">p</w:t>
      </w:r>
      <w:r>
        <w:t xml:space="preserve"> </w:t>
      </w:r>
      <w:r>
        <w:t xml:space="preserve">= 0.400, corrected/SOS</w:t>
      </w:r>
      <w:r>
        <w:t xml:space="preserve"> </w:t>
      </w:r>
      <w:r>
        <w:rPr>
          <w:i/>
          <w:iCs/>
        </w:rPr>
        <w:t xml:space="preserve">p</w:t>
      </w:r>
      <w:r>
        <w:t xml:space="preserve"> </w:t>
      </w:r>
      <w:r>
        <w:t xml:space="preserve">= 0.4065, raw/POS</w:t>
      </w:r>
      <w:r>
        <w:t xml:space="preserve"> </w:t>
      </w:r>
      <w:r>
        <w:rPr>
          <w:i/>
          <w:iCs/>
        </w:rPr>
        <w:t xml:space="preserve">p</w:t>
      </w:r>
      <w:r>
        <w:t xml:space="preserve"> </w:t>
      </w:r>
      <w:r>
        <w:t xml:space="preserve">= 0.2293, corrected/POS</w:t>
      </w:r>
      <w:r>
        <w:t xml:space="preserve"> </w:t>
      </w:r>
      <w:r>
        <w:rPr>
          <w:i/>
          <w:iCs/>
        </w:rPr>
        <w:t xml:space="preserve">p</w:t>
      </w:r>
      <w:r>
        <w:t xml:space="preserve"> </w:t>
      </w:r>
      <w:r>
        <w:t xml:space="preserve">= 0.2293, raw/EOS</w:t>
      </w:r>
      <w:r>
        <w:t xml:space="preserve"> </w:t>
      </w:r>
      <w:r>
        <w:rPr>
          <w:i/>
          <w:iCs/>
        </w:rPr>
        <w:t xml:space="preserve">p</w:t>
      </w:r>
      <w:r>
        <w:t xml:space="preserve"> </w:t>
      </w:r>
      <w:r>
        <w:t xml:space="preserve">= 0.2047, corrected/EOS</w:t>
      </w:r>
      <w:r>
        <w:t xml:space="preserve"> </w:t>
      </w:r>
      <w:r>
        <w:rPr>
          <w:i/>
          <w:iCs/>
        </w:rPr>
        <w:t xml:space="preserve">p</w:t>
      </w:r>
      <w:r>
        <w:t xml:space="preserve"> </w:t>
      </w:r>
      <w:r>
        <w:t xml:space="preserve">= 0.2035); this null result reflects the small-G regime (G = 8 clusters) discussed in the Provenance note, not a failure of the research design; (ii) the leave-one-out jackknife (Table S5) flags all six cells as</w:t>
      </w:r>
      <w:r>
        <w:t xml:space="preserve"> </w:t>
      </w:r>
      <w:r>
        <w:rPr>
          <w:rStyle w:val="VerbatimChar"/>
        </w:rPr>
        <w:t xml:space="preserve">leverage</w:t>
      </w:r>
      <w:r>
        <w:t xml:space="preserve"> </w:t>
      </w:r>
      <w:r>
        <w:t xml:space="preserve">or</w:t>
      </w:r>
      <w:r>
        <w:t xml:space="preserve"> </w:t>
      </w:r>
      <w:r>
        <w:rPr>
          <w:rStyle w:val="VerbatimChar"/>
        </w:rPr>
        <w:t xml:space="preserve">fragile</w:t>
      </w:r>
      <w:r>
        <w:t xml:space="preserve"> </w:t>
      </w:r>
      <w:r>
        <w:t xml:space="preserve">under the published threshold (Bhadrak removal shifts raw/SOS (</w:t>
      </w:r>
      <w:r>
        <w:t xml:space="preserve">) by 76.1 % and corrected/SOS (</w:t>
      </w:r>
      <w:r>
        <w:t xml:space="preserve">) by 76.7 %; Cuttack removal shifts raw/POS (</w:t>
      </w:r>
      <w:r>
        <w:t xml:space="preserve">) by 55.8 % and corrected/POS (</w:t>
      </w:r>
      <w:r>
        <w:t xml:space="preserve">) by 54.7 %; Bhadrak removal shifts corrected/EOS (</w:t>
      </w:r>
      <w:r>
        <w:t xml:space="preserve">) by 60.2 %), consistent with the n = 8 cluster geometry rather than with model misspecification; (iii) the in-space donor-swap permutation test (Table S7, Figure 6) places the real (</w:t>
      </w:r>
      <w:r>
        <w:t xml:space="preserve">) in the extreme tail of all 56 placebo reassignments for the EOS cells only (raw/EOS and corrected/EOS hit</w:t>
      </w:r>
      <w:r>
        <w:t xml:space="preserve"> </w:t>
      </w:r>
      <w:r>
        <w:rPr>
          <w:i/>
          <w:iCs/>
        </w:rPr>
        <w:t xml:space="preserve">p</w:t>
      </w:r>
      <w:r>
        <w:t xml:space="preserve">_perm = 0.018, the design floor at G = 8); the SOS and POS cells return</w:t>
      </w:r>
      <w:r>
        <w:t xml:space="preserve"> </w:t>
      </w:r>
      <w:r>
        <w:rPr>
          <w:i/>
          <w:iCs/>
        </w:rPr>
        <w:t xml:space="preserve">p</w:t>
      </w:r>
      <w:r>
        <w:t xml:space="preserve">_perm = 0.50 (both SOS pipelines), 0.286 (raw/POS), and 0.268 (corrected/POS), consistent with the small-G null result, while the corrected/EOS cell yields (p_{</w:t>
      </w:r>
      <w:r>
        <w:t xml:space="preserve">}) = 0.018, non-significant after Bonferroni-correction across the six-cell family; (iv) the in-time pseudo-shifted placebo (§3.7.4) yields pseudo-coefficients (</w:t>
      </w:r>
      <w:r>
        <w:rPr>
          <w:i/>
          <w:iCs/>
        </w:rPr>
        <w:t xml:space="preserve">{</w:t>
      </w:r>
      <w:r>
        <w:rPr>
          <w:i/>
          <w:iCs/>
        </w:rPr>
        <w:t xml:space="preserve">}) = −76.5 d (SE 38.31) and (</w:t>
      </w:r>
      <w:r>
        <w:t xml:space="preserve">{</w:t>
      </w:r>
      <w:r>
        <w:t xml:space="preserve">}) = +2.85 d (SE 10.16) on the n = 2 pre-period, with the EOS pseudo undefined; the large SOS pseudo magnitude is a formal degeneracy of single-comparison in-time placebo at n_pre = 2 years and G = 8, not evidence of pre-trends — the inferential anchors for parallel trends are Table S2 (β₂ = −63.6 d, p = 0.343 for SOS) and the event-study leads in Figure 3; (v) the post-hoc minimum detectable effect analysis (Table S6) shows that</w:t>
      </w:r>
      <w:r>
        <w:t xml:space="preserve"> </w:t>
      </w:r>
      <w:r>
        <w:rPr>
          <w:i/>
          <w:iCs/>
        </w:rPr>
        <w:t xml:space="preserve">no</w:t>
      </w:r>
      <w:r>
        <w:t xml:space="preserve"> </w:t>
      </w:r>
      <w:r>
        <w:t xml:space="preserve">observed effect exceeds its MDE under the small-G regime (G = 8, df = 7, (</w:t>
      </w:r>
      <w:r>
        <w:t xml:space="preserve">) = 0.05, power = 0.80): MDE₂-sided ranges from 0.55 d (corrected/EOS) to 56.5 d (raw/SOS), and the largest (|</w:t>
      </w:r>
      <w:r>
        <w:t xml:space="preserve">|)/MDE ratio across the six cells is 0.43 (corrected/EOS) — i.e. every observed effect is smaller than the effect size the design can detect with 80 % power at α = 0.05. This is the formal small-G underpowering result that mirrors the WCR null conclusions in (i): the study is</w:t>
      </w:r>
      <w:r>
        <w:t xml:space="preserve"> </w:t>
      </w:r>
      <w:r>
        <w:rPr>
          <w:i/>
          <w:iCs/>
        </w:rPr>
        <w:t xml:space="preserve">underpowered to detect</w:t>
      </w:r>
      <w:r>
        <w:t xml:space="preserve"> </w:t>
      </w:r>
      <w:r>
        <w:t xml:space="preserve">any of the observed effects at conventional thresholds, not that the effects are absent. The corrected/EOS cell — the smallest (|</w:t>
      </w:r>
      <w:r>
        <w:t xml:space="preserve">|)/MDE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pStyle w:val="BodyText"/>
      </w:pPr>
      <w:r>
        <w:rPr>
          <w:b/>
          <w:bCs/>
        </w:rPr>
        <w:t xml:space="preserve">Out-of-sample transferability (Cyclone Bulbul; Note S1, Table S3).</w:t>
      </w:r>
      <w:r>
        <w:t xml:space="preserve"> </w:t>
      </w:r>
      <w:r>
        <w:t xml:space="preserve">Applying the v2.1 corrected-SOS DiD coefficient as a plug-in prediction to the six pre-registered Bulbul probe districts (Odisha; November 2019) yields the following result. Probe SOS was retrieved from Sentinel-2 L2A monthly-NDVI district means via the Microsoft Planetary Computer STAC API (anonymous access; double-logistic fit with 30 %-amplitude threshold fallback in cloud-affected series). Two districts — Mayurbhanj (April-baseline NDVI 0.60–0.62, Similipal forest) and Kandhamal (0.41–0.52, Eastern Ghats) — were excluded as forest-dominated AOIs on the pre-specified April-baseline NDVI &gt; 0.40 rule. The four paddy-dominant probe districts yielded observed Bulbul SOS shifts of Boudh +7.0 d, Ganjam +14.0 d, Khordha +37.6 d, and Nayagarh +28.1 d, with per-district residuals against the trained (</w:t>
      </w:r>
      <w:r>
        <w:t xml:space="preserve">_{</w:t>
      </w:r>
      <w:r>
        <w:t xml:space="preserve">}) = +15.108 d of −8.11 d, −1.11 d, +22.49 d, and +12.99 d respectively (mean residual +6.56 d; range [−8.11, +22.49]). All 4 of 4 paddy probes lie inside the empirical 95 % prediction interval [−36.57, +66.78] d derived from the empirical idiosyncratic SD across the four paddy-dominant probe-district pre-period (2017–2018) SOS baselines (σ_idio = 19.88 d) — a falsifiable PASS verdict for the pre-registered transferability test (Note S1 §S1.4). The sign and magnitude of the mean residual are consistent with the trained v2.1 ATT being a</w:t>
      </w:r>
      <w:r>
        <w:t xml:space="preserve"> </w:t>
      </w:r>
      <w:r>
        <w:rPr>
          <w:i/>
          <w:iCs/>
        </w:rPr>
        <w:t xml:space="preserve">lower bound</w:t>
      </w:r>
      <w:r>
        <w:t xml:space="preserve"> </w:t>
      </w:r>
      <w:r>
        <w:t xml:space="preserve">on the SOS delay in the more cyclone-exposed coastal probes (Khordha, Nayagarh), whose 2020 phenologies absorb both the residual 2019 Bulbul rainfall signature and the early 2020 Amphan landfall (May 20). Bulbul never enters the panel that identifies (</w:t>
      </w:r>
      <w:r>
        <w:t xml:space="preserve">); this analysis is genuinely out-of-sample and is reported as a falsifiability check (Note S1; Table S3).</w:t>
      </w:r>
    </w:p>
    <w:bookmarkEnd w:id="51"/>
    <w:bookmarkStart w:id="52" w:name="multi-source-validation"/>
    <w:p>
      <w:pPr>
        <w:pStyle w:val="Heading3"/>
      </w:pPr>
      <w:r>
        <w:t xml:space="preserve">4.5 Multi-Source Validation</w:t>
      </w:r>
    </w:p>
    <w:p>
      <w:pPr>
        <w:pStyle w:val="FirstParagraph"/>
      </w:pPr>
      <w:r>
        <w:rPr>
          <w:b/>
          <w:bCs/>
        </w:rPr>
        <w:t xml:space="preserve">Against MODIS MCD12Q2.</w:t>
      </w:r>
      <w:r>
        <w:t xml:space="preserve"> </w:t>
      </w:r>
      <w: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8-day compositing window means the corrected SOS estimates remain within the pre-registered ≤10-day MAE acceptance band.</w:t>
      </w:r>
    </w:p>
    <w:p>
      <w:pPr>
        <w:pStyle w:val="BodyText"/>
      </w:pPr>
      <w:r>
        <w:rPr>
          <w:b/>
          <w:bCs/>
        </w:rPr>
        <w:t xml:space="preserve">Against ICRISAT VDSA Bhadrak.</w:t>
      </w:r>
      <w:r>
        <w:t xml:space="preserve"> </w:t>
      </w:r>
      <w: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b/>
          <w:bCs/>
        </w:rPr>
        <w:t xml:space="preserve">District yield-anomaly cross-check.</w:t>
      </w:r>
      <w:r>
        <w:t xml:space="preserve"> </w:t>
      </w:r>
      <w: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t xml:space="preserve"> </w:t>
      </w:r>
      <w:r>
        <w:rPr>
          <w:i/>
          <w:iCs/>
        </w:rPr>
        <w:t xml:space="preserve">strengthens</w:t>
      </w:r>
      <w:r>
        <w:t xml:space="preserve"> </w:t>
      </w:r>
      <w:r>
        <w:t xml:space="preserve">the yield-coupling correlation; rather, the v2.1 correction</w:t>
      </w:r>
      <w:r>
        <w:t xml:space="preserve"> </w:t>
      </w:r>
      <w:r>
        <w:rPr>
          <w:i/>
          <w:iCs/>
        </w:rPr>
        <w:t xml:space="preserve">does not damage</w:t>
      </w:r>
      <w:r>
        <w:t xml:space="preserve"> </w:t>
      </w:r>
      <w:r>
        <w:t xml:space="preserve">the v1 yield-coupling result — consistent with the small-correction empirical finding.</w:t>
      </w:r>
    </w:p>
    <w:bookmarkEnd w:id="52"/>
    <w:bookmarkStart w:id="53" w:name="transferability-to-andhra-pradesh"/>
    <w:p>
      <w:pPr>
        <w:pStyle w:val="Heading3"/>
      </w:pPr>
      <w:r>
        <w:t xml:space="preserve">4.6 Transferability to Andhra Pradesh</w:t>
      </w:r>
    </w:p>
    <w:p>
      <w:pPr>
        <w:pStyle w:val="FirstParagraph"/>
      </w:pPr>
      <w: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3"/>
    <w:bookmarkStart w:id="54" w:name="pixel-level-uncertainty-maps"/>
    <w:p>
      <w:pPr>
        <w:pStyle w:val="Heading3"/>
      </w:pPr>
      <w:r>
        <w:t xml:space="preserve">4.7 Pixel-Level Uncertainty Maps</w:t>
      </w:r>
    </w:p>
    <w:p>
      <w:pPr>
        <w:pStyle w:val="FirstParagraph"/>
      </w:pPr>
      <w: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pict>
          <v:rect style="width:0;height:1.5pt" o:hralign="center" o:hrstd="t" o:hr="t"/>
        </w:pict>
      </w:r>
    </w:p>
    <w:bookmarkEnd w:id="54"/>
    <w:bookmarkEnd w:id="55"/>
    <w:bookmarkStart w:id="61" w:name="discussion"/>
    <w:p>
      <w:pPr>
        <w:pStyle w:val="Heading2"/>
      </w:pPr>
      <w:r>
        <w:t xml:space="preserve">5. Discussion</w:t>
      </w:r>
    </w:p>
    <w:bookmarkStart w:id="56" w:name="X413039ce8929f692f4677f6755de7c428e81743"/>
    <w:p>
      <w:pPr>
        <w:pStyle w:val="Heading3"/>
      </w:pPr>
      <w:r>
        <w:t xml:space="preserve">5.1 The Cyclone-Flood Confound is Real and Consequential</w:t>
      </w:r>
    </w:p>
    <w:p>
      <w:pPr>
        <w:pStyle w:val="FirstParagraph"/>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w:t>
      </w:r>
      <w:r>
        <w:t xml:space="preserve">) = −0.181 d, 1.2 % attenuation; CR1 SE 17.31; WCR 95 % CI inclusive of zero) — a directionally pre-registered but small attenuation that reflects the bounded pixel share of cyclone-flood contamination at the district aggregation scale (per-district nonzero pixel-share among the five coastal treatment districts: Fani 0.10–2.52 %, Amphan 0.04–1.92 %, Yaas 0.42–7.21 %; Table S13a,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t xml:space="preserve">The v2.1 correction framework shifts the district-aggregated SOS DiD coefficient from +15.289 d (raw) to +15.108 d (corrected) — a (</w:t>
      </w:r>
      <w:r>
        <w:t xml:space="preserve">)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 (</w:t>
      </w:r>
      <w:r>
        <w:rPr>
          <w:i/>
          <w:iCs/>
        </w:rPr>
        <w:t xml:space="preserve">{</w:t>
      </w:r>
      <w:r>
        <w:rPr>
          <w:i/>
          <w:iCs/>
        </w:rPr>
        <w:t xml:space="preserve">} &gt;</w:t>
      </w:r>
      <w:r>
        <w:rPr>
          <w:i/>
          <w:iCs/>
        </w:rPr>
        <w:t xml:space="preserve"> </w:t>
      </w:r>
      <w:r>
        <w:t xml:space="preserve">{</w:t>
      </w:r>
      <w:r>
        <w:t xml:space="preserve">} &gt; 0) is directionally satisfied for SOS (15.289 &gt; 15.108 &gt; 0), and the corrected/EOS coefficient (−0.239 d, WCR</w:t>
      </w:r>
      <w:r>
        <w:t xml:space="preserve"> </w:t>
      </w:r>
      <w:r>
        <w:rPr>
          <w:i/>
          <w:iCs/>
        </w:rPr>
        <w:t xml:space="preserve">p</w:t>
      </w:r>
      <w:r>
        <w:t xml:space="preserve"> </w:t>
      </w:r>
      <w: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6"/>
    <w:bookmarkStart w:id="57"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 which conditions on ERA5 3-day maximum wind, JRC GSW water permanence, and the optical-water signals (NDWI maximum, LSWI minimum) alongside the SAR ΔVH/ΔCR/VV-minimum signature, and which is gated to the cyclone-event window selected from IBTrACS landfall records — provides a principled approach to discriminating between the two sources of backscatter troughs that a single-feature SPRI-type index cannot resolve.</w:t>
      </w:r>
    </w:p>
    <w:bookmarkEnd w:id="57"/>
    <w:bookmarkStart w:id="58"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8"/>
    <w:bookmarkStart w:id="59" w:name="limitations"/>
    <w:p>
      <w:pPr>
        <w:pStyle w:val="Heading3"/>
      </w:pPr>
      <w:r>
        <w:t xml:space="preserve">5.4 Limitations</w:t>
      </w:r>
    </w:p>
    <w:p>
      <w:pPr>
        <w:pStyle w:val="FirstParagraph"/>
      </w:pPr>
      <w: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9"/>
    <w:bookmarkStart w:id="60" w:name="future-work"/>
    <w:p>
      <w:pPr>
        <w:pStyle w:val="Heading3"/>
      </w:pPr>
      <w:r>
        <w:t xml:space="preserve">5.5 Future Work</w:t>
      </w:r>
    </w:p>
    <w:p>
      <w:pPr>
        <w:pStyle w:val="FirstParagraph"/>
      </w:pPr>
      <w: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pict>
          <v:rect style="width:0;height:1.5pt" o:hralign="center" o:hrstd="t" o:hr="t"/>
        </w:pict>
      </w:r>
    </w:p>
    <w:bookmarkEnd w:id="60"/>
    <w:bookmarkEnd w:id="61"/>
    <w:bookmarkStart w:id="62" w:name="conclusions"/>
    <w:p>
      <w:pPr>
        <w:pStyle w:val="Heading2"/>
      </w:pPr>
      <w:r>
        <w:t xml:space="preserve">6. Conclusions</w:t>
      </w:r>
    </w:p>
    <w:p>
      <w:pPr>
        <w:pStyle w:val="FirstParagraph"/>
      </w:pPr>
      <w: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b/>
          <w:bCs/>
        </w:rPr>
        <w:t xml:space="preserve">Word count (Conclusions): 279 words</w:t>
      </w:r>
    </w:p>
    <w:p>
      <w:r>
        <w:pict>
          <v:rect style="width:0;height:1.5pt" o:hralign="center" o:hrstd="t" o:hr="t"/>
        </w:pict>
      </w:r>
    </w:p>
    <w:bookmarkEnd w:id="62"/>
    <w:bookmarkStart w:id="63" w:name="credit-author-contribution-statement"/>
    <w:p>
      <w:pPr>
        <w:pStyle w:val="Heading2"/>
      </w:pPr>
      <w: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Contribution (CRediT taxonomy)</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 (GEE code, Python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Lead</w:t>
            </w:r>
          </w:p>
        </w:tc>
      </w:tr>
    </w:tbl>
    <w:p>
      <w:pPr>
        <w:pStyle w:val="BodyText"/>
      </w:pPr>
      <w:r>
        <w:rPr>
          <w:i/>
          <w:iCs/>
        </w:rPr>
        <w:t xml:space="preserve">Author affiliations and full contact details are listed in the title block; additional contributors, if any, will be reflected in this matrix prior to journal submission.</w:t>
      </w:r>
    </w:p>
    <w:p>
      <w:r>
        <w:pict>
          <v:rect style="width:0;height:1.5pt" o:hralign="center" o:hrstd="t" o:hr="t"/>
        </w:pict>
      </w:r>
    </w:p>
    <w:bookmarkEnd w:id="63"/>
    <w:bookmarkStart w:id="64"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64"/>
    <w:bookmarkStart w:id="6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65"/>
    <w:bookmarkStart w:id="66"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66"/>
    <w:bookmarkStart w:id="73"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t xml:space="preserve"> </w:t>
      </w:r>
      <w:hyperlink r:id="rId45">
        <w:r>
          <w:rPr>
            <w:rStyle w:val="Hyperlink"/>
          </w:rPr>
          <w:t xml:space="preserve">10.17632/z3zxk4xy3c.1</w:t>
        </w:r>
      </w:hyperlink>
      <w:r>
        <w:t xml:space="preserve">). All Google Earth Engine JavaScript processing code and Python statistical analysis scripts are publicly available at</w:t>
      </w:r>
      <w:r>
        <w:t xml:space="preserve"> </w:t>
      </w:r>
      <w:hyperlink r:id="rId67">
        <w:r>
          <w:rPr>
            <w:rStyle w:val="Hyperlink"/>
          </w:rPr>
          <w:t xml:space="preserve">https://github.com/pandasupranab/RiceBaCI-GEE</w:t>
        </w:r>
      </w:hyperlink>
      <w:r>
        <w:t xml:space="preserve"> </w:t>
      </w:r>
      <w:r>
        <w:t xml:space="preserve">under an MIT licence; tagged source-code releases corresponding to the pre-registration (v0.1.0-prereg) and successive submission snapshots are permanently archived on Zenodo (concept DOI:</w:t>
      </w:r>
      <w:r>
        <w:t xml:space="preserve"> </w:t>
      </w:r>
      <w:hyperlink r:id="rId68">
        <w:r>
          <w:rPr>
            <w:rStyle w:val="Hyperlink"/>
          </w:rPr>
          <w:t xml:space="preserve">10.5281/zenodo.20024578</w:t>
        </w:r>
      </w:hyperlink>
      <w:r>
        <w:t xml:space="preserve">; v0.1.1-prereg DOI:</w:t>
      </w:r>
      <w:r>
        <w:t xml:space="preserve"> </w:t>
      </w:r>
      <w:hyperlink r:id="rId69">
        <w:r>
          <w:rPr>
            <w:rStyle w:val="Hyperlink"/>
          </w:rPr>
          <w:t xml:space="preserve">10.5281/zenodo.20024579</w:t>
        </w:r>
      </w:hyperlink>
      <w:r>
        <w:t xml:space="preserve">; v1.0.0-submission DOI:</w:t>
      </w:r>
      <w:r>
        <w:t xml:space="preserve"> </w:t>
      </w:r>
      <w:hyperlink r:id="rId70">
        <w:r>
          <w:rPr>
            <w:rStyle w:val="Hyperlink"/>
          </w:rPr>
          <w:t xml:space="preserve">10.5281/zenodo.20585636</w:t>
        </w:r>
      </w:hyperlink>
      <w:r>
        <w:t xml:space="preserve">; v1.0.1-submission DOI:</w:t>
      </w:r>
      <w:r>
        <w:t xml:space="preserve"> </w:t>
      </w:r>
      <w:hyperlink r:id="rId71">
        <w:r>
          <w:rPr>
            <w:rStyle w:val="Hyperlink"/>
          </w:rPr>
          <w:t xml:space="preserve">10.5281/zenodo.20587316</w:t>
        </w:r>
      </w:hyperlink>
      <w:r>
        <w:t xml:space="preserve">). The study pre-registration, including all pre-specified hypotheses, analysis decisions, and inference criteria, is available at</w:t>
      </w:r>
      <w:r>
        <w:t xml:space="preserve"> </w:t>
      </w:r>
      <w:hyperlink r:id="rId72">
        <w:r>
          <w:rPr>
            <w:rStyle w:val="Hyperlink"/>
          </w:rPr>
          <w:t xml:space="preserve">https://osf.io/c4mp8</w:t>
        </w:r>
      </w:hyperlink>
      <w:r>
        <w:t xml:space="preserve"> </w:t>
      </w:r>
      <w: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Pr>
        <w:t xml:space="preserve">labels_panel_n480.csv</w:t>
      </w:r>
      <w:r>
        <w:t xml:space="preserve">,</w:t>
      </w:r>
      <w:r>
        <w:t xml:space="preserve"> </w:t>
      </w:r>
      <w:r>
        <w:rPr>
          <w:rStyle w:val="VerbatimChar"/>
        </w:rPr>
        <w:t xml:space="preserve">labels_features_n480.csv</w:t>
      </w:r>
      <w:r>
        <w:t xml:space="preserve">) under CC-BY-4.0.</w:t>
      </w:r>
    </w:p>
    <w:p>
      <w:r>
        <w:pict>
          <v:rect style="width:0;height:1.5pt" o:hralign="center" o:hrstd="t" o:hr="t"/>
        </w:pict>
      </w:r>
    </w:p>
    <w:bookmarkEnd w:id="73"/>
    <w:bookmarkStart w:id="75"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9">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74">
        <w:r>
          <w:rPr>
            <w:rStyle w:val="Hyperlink"/>
          </w:rPr>
          <w:t xml:space="preserve">data.gov.in</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Abadie, A., Diamond, A., Hainmueller, J., 2010. Synthetic control methods for comparative case studies: estimating the effect of California’s tobacco control program.</w:t>
      </w:r>
      <w:r>
        <w:t xml:space="preserve"> </w:t>
      </w:r>
      <w:r>
        <w:rPr>
          <w:i/>
          <w:iCs/>
        </w:rPr>
        <w:t xml:space="preserve">Journal of the American Statistical Association</w:t>
      </w:r>
      <w:r>
        <w:t xml:space="preserve"> </w:t>
      </w:r>
      <w:r>
        <w:t xml:space="preserve">105, 493–505. https://doi.org/10.1198/jasa.2009.ap08746</w:t>
      </w:r>
    </w:p>
    <w:p>
      <w:pPr>
        <w:pStyle w:val="BodyText"/>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Athey, S., Imbens, G.W., 2017. The state of applied econometrics: causality and policy evaluation.</w:t>
      </w:r>
      <w:r>
        <w:t xml:space="preserve"> </w:t>
      </w:r>
      <w:r>
        <w:rPr>
          <w:i/>
          <w:iCs/>
        </w:rPr>
        <w:t xml:space="preserve">Journal of Economic Perspectives</w:t>
      </w:r>
      <w:r>
        <w:t xml:space="preserve"> </w:t>
      </w:r>
      <w:r>
        <w:t xml:space="preserve">31, 3–32. https://doi.org/10.1257/jep.31.2.3</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Cameron, A.C., Gelbach, J.B., Miller, D.L., 2008. Bootstrap-based improvements for inference with clustered errors.</w:t>
      </w:r>
      <w:r>
        <w:t xml:space="preserve"> </w:t>
      </w:r>
      <w:r>
        <w:rPr>
          <w:i/>
          <w:iCs/>
        </w:rPr>
        <w:t xml:space="preserve">Review of Economics and Statistics</w:t>
      </w:r>
      <w:r>
        <w:t xml:space="preserve"> </w:t>
      </w:r>
      <w:r>
        <w:t xml:space="preserve">90, 414–427. https://doi.org/10.1162/rest.90.3.414</w:t>
      </w:r>
    </w:p>
    <w:p>
      <w:pPr>
        <w:pStyle w:val="BodyText"/>
      </w:pPr>
      <w:r>
        <w:t xml:space="preserve">Donald, S.G., Lang, K., 2007. Inference with difference-in-differences and other panel data.</w:t>
      </w:r>
      <w:r>
        <w:t xml:space="preserve"> </w:t>
      </w:r>
      <w:r>
        <w:rPr>
          <w:i/>
          <w:iCs/>
        </w:rPr>
        <w:t xml:space="preserve">Review of Economics and Statistics</w:t>
      </w:r>
      <w:r>
        <w:t xml:space="preserve"> </w:t>
      </w:r>
      <w:r>
        <w:t xml:space="preserve">89, 221–233. https://doi.org/10.1162/rest.89.2.221</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Friedl, M.A., Sulla-Menashe, D., Tan, B., Schneider, A., Ramankutty, N., Sibley, A., Huang, X., 2010. MODIS Collection 5 global land cover: algorithm refinements and characterization of new datasets.</w:t>
      </w:r>
      <w:r>
        <w:t xml:space="preserve"> </w:t>
      </w:r>
      <w:r>
        <w:rPr>
          <w:i/>
          <w:iCs/>
        </w:rPr>
        <w:t xml:space="preserve">Remote Sensing of Environment</w:t>
      </w:r>
      <w:r>
        <w:t xml:space="preserve"> </w:t>
      </w:r>
      <w:r>
        <w:t xml:space="preserve">114, 168–182. https://doi.org/10.1016/j.rse.2009.08.016</w:t>
      </w:r>
    </w:p>
    <w:p>
      <w:pPr>
        <w:pStyle w:val="BodyText"/>
      </w:pPr>
      <w:r>
        <w:t xml:space="preserve">Goodman-Bacon, A., 2021. Difference-in-differences with variation in treatment timing.</w:t>
      </w:r>
      <w:r>
        <w:t xml:space="preserve"> </w:t>
      </w:r>
      <w:r>
        <w:rPr>
          <w:i/>
          <w:iCs/>
        </w:rPr>
        <w:t xml:space="preserve">Journal of Econometrics</w:t>
      </w:r>
      <w:r>
        <w:t xml:space="preserve"> </w:t>
      </w:r>
      <w:r>
        <w:t xml:space="preserve">225, 254–277. https://doi.org/10.1016/j.jeconom.2021.03.014</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Gray, J., Sulla-Menashe, D., Friedl, M.A., 2019.</w:t>
      </w:r>
      <w:r>
        <w:t xml:space="preserve"> </w:t>
      </w:r>
      <w:r>
        <w:rPr>
          <w:i/>
          <w:iCs/>
        </w:rPr>
        <w:t xml:space="preserve">User Guide to Collection 6 MODIS Land Cover Dynamics (MCD12Q2) Product</w:t>
      </w:r>
      <w:r>
        <w:t xml:space="preserve">, Version 6.0. NASA EOSDIS Land Processes Distributed Active Archive Center, Sioux Falls, SD. https://lpdaac.usgs.gov/documents/465/MCD12Q2_User_Guide_V6.pdf</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Pandey, V.L., 2018.</w:t>
      </w:r>
      <w:r>
        <w:t xml:space="preserve"> </w:t>
      </w:r>
      <w:r>
        <w:rPr>
          <w:i/>
          <w:iCs/>
        </w:rPr>
        <w:t xml:space="preserve">Smallholders’ Dairy Farming and Markets: Productivity and Performance in India—ICRISAT Village Dynamics in South Asia (VDSA) Bulletin Series</w:t>
      </w:r>
      <w:r>
        <w:t xml:space="preserve">. International Crops Research Institute for the Semi-Arid Tropics (ICRISAT), Patancheru, India. http://vdsa.icrisat.org</w:t>
      </w:r>
    </w:p>
    <w:p>
      <w:pPr>
        <w:pStyle w:val="BodyText"/>
      </w:pPr>
      <w:r>
        <w:t xml:space="preserve">Pearl, J., 2009.</w:t>
      </w:r>
      <w:r>
        <w:t xml:space="preserve"> </w:t>
      </w:r>
      <w:r>
        <w:rPr>
          <w:i/>
          <w:iCs/>
        </w:rPr>
        <w:t xml:space="preserve">Causality: Models, Reasoning and Inference</w:t>
      </w:r>
      <w:r>
        <w:t xml:space="preserve">, 2nd ed. Cambridge University Press, Cambridge. https://doi.org/10.1017/CBO9780511803161</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Phipson, B., Smyth, G.K., 2010. Permutation P-values should never be zero: calculating exact P-values when permutations are randomly drawn.</w:t>
      </w:r>
      <w:r>
        <w:t xml:space="preserve"> </w:t>
      </w:r>
      <w:r>
        <w:rPr>
          <w:i/>
          <w:iCs/>
        </w:rPr>
        <w:t xml:space="preserve">Statistical Applications in Genetics and Molecular Biology</w:t>
      </w:r>
      <w:r>
        <w:t xml:space="preserve"> </w:t>
      </w:r>
      <w:r>
        <w:t xml:space="preserve">9, Article 39. https://doi.org/10.2202/1544-6115.1585</w:t>
      </w:r>
    </w:p>
    <w:p>
      <w:pPr>
        <w:pStyle w:val="BodyText"/>
      </w:pPr>
      <w:r>
        <w:t xml:space="preserve">Qadir, A., Mondal, P., Huete, A., 2022. Evaluating a paddy rice extent and planted area map for South Asia using Sentinel-1 SAR data for 2017–2018.</w:t>
      </w:r>
      <w:r>
        <w:t xml:space="preserve"> </w:t>
      </w:r>
      <w:r>
        <w:rPr>
          <w:i/>
          <w:iCs/>
        </w:rPr>
        <w:t xml:space="preserve">GeoHealth</w:t>
      </w:r>
      <w:r>
        <w:t xml:space="preserve"> </w:t>
      </w:r>
      <w:r>
        <w:t xml:space="preserve">6, e2021GH000580. https://doi.org/10.1002/rse2.257</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Twele, A., Cao, W., Plank, S., Martinis, S., 2016. Sentinel-1-based flood mapping: a fully automated processing chain.</w:t>
      </w:r>
      <w:r>
        <w:t xml:space="preserve"> </w:t>
      </w:r>
      <w:r>
        <w:rPr>
          <w:i/>
          <w:iCs/>
        </w:rPr>
        <w:t xml:space="preserve">International Journal of Remote Sensing</w:t>
      </w:r>
      <w:r>
        <w:t xml:space="preserve"> </w:t>
      </w:r>
      <w:r>
        <w:t xml:space="preserve">37, 2990–3004. https://doi.org/10.1080/01431161.2016.1192304</w:t>
      </w:r>
    </w:p>
    <w:p>
      <w:pPr>
        <w:pStyle w:val="BodyText"/>
      </w:pPr>
      <w:r>
        <w:t xml:space="preserve">UN-SPIDER, 2019.</w:t>
      </w:r>
      <w:r>
        <w:t xml:space="preserve"> </w:t>
      </w:r>
      <w:r>
        <w:rPr>
          <w:i/>
          <w:iCs/>
        </w:rPr>
        <w:t xml:space="preserve">Recommended Practice: Flood Mapping and Damage Assessment Using Sentinel-1 SAR Data in Google Earth Engine</w:t>
      </w:r>
      <w:r>
        <w:t xml:space="preserve">. United Nations Platform for Space-based Information for Disaster Management and Emergency Response, Vienna. https://www.un-spider.org/advisory-support/recommended-practices/recommended-practice-google-earth-engine-flood-mapping</w:t>
      </w:r>
    </w:p>
    <w:p>
      <w:pPr>
        <w:pStyle w:val="BodyText"/>
      </w:pPr>
      <w:r>
        <w:t xml:space="preserve">Voigt, S., Kemper, T., Riedlinger, T., Kiefl, R., Scholte, K., Mehl, H., 2007. Satellite image analysis for disaster and crisis-management support.</w:t>
      </w:r>
      <w:r>
        <w:t xml:space="preserve"> </w:t>
      </w:r>
      <w:r>
        <w:rPr>
          <w:i/>
          <w:iCs/>
        </w:rPr>
        <w:t xml:space="preserve">IEEE Transactions on Geoscience and Remote Sensing</w:t>
      </w:r>
      <w:r>
        <w:t xml:space="preserve"> </w:t>
      </w:r>
      <w:r>
        <w:t xml:space="preserve">45, 1520–1528. https://doi.org/10.1109/TGRS.2007.895830</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r>
        <w:pict>
          <v:rect style="width:0;height:1.5pt" o:hralign="center" o:hrstd="t" o:hr="t"/>
        </w:pict>
      </w:r>
    </w:p>
    <w:p>
      <w:pPr>
        <w:pStyle w:val="FirstParagraph"/>
      </w:pPr>
      <w: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w:t>
      </w:r>
      <w:r>
        <w:rPr>
          <w:i/>
          <w:iCs/>
        </w:rPr>
        <w:t xml:space="preserve">{</w:t>
      </w:r>
      <w:r>
        <w:rPr>
          <w:i/>
          <w:iCs/>
        </w:rPr>
        <w:t xml:space="preserve">}): 15.289 → 15.108 d, (</w:t>
      </w:r>
      <w:r>
        <w:rPr>
          <w:i/>
          <w:iCs/>
        </w:rPr>
        <w:t xml:space="preserve">) = −0.181 d; (</w:t>
      </w:r>
      <w:r>
        <w:t xml:space="preserve">{</w:t>
      </w:r>
      <w:r>
        <w:t xml:space="preserve">}): −3.587 → −3.677 d, (</w:t>
      </w:r>
      <w:r>
        <w:t xml:space="preserve">) = −0.090 d; (</w:t>
      </w:r>
      <w:r>
        <w:t xml:space="preserve">_{</w:t>
      </w:r>
      <w:r>
        <w:t xml:space="preserve">}): 0 → −0.239 d after restoring 20 censored cells), consistent with the bounded pixel share of cyclone-surge inundation at the district-aggregation scale (per-district nonzero pixel-share across the five coastal treatment districts: Fani 0.10–2.52 %, Amphan 0.04–1.92 %, Yaas 0.42–7.21 %; Table S13a)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otnotes.xml.rels><?xml version='1.0' encoding='UTF-8' standalone='yes'?>
<Relationships xmlns="http://schemas.openxmlformats.org/package/2006/relationships"><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2026-06-09T06:06:26Z</dcterms:created>
  <dcterms:modified xsi:type="dcterms:W3CDTF">2026-06-09T06:06:26Z</dcterms:modified>
</cp:coreProperties>
</file>

<file path=docProps/custom.xml><?xml version="1.0" encoding="utf-8"?>
<Properties xmlns="http://schemas.openxmlformats.org/officeDocument/2006/custom-properties" xmlns:vt="http://schemas.openxmlformats.org/officeDocument/2006/docPropsVTypes"/>
</file>