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an automated n = 480 reference-label set sourced from the Copernicus Emergency Management Service master delineation of Cyclone Fani (EMSR357), Sentinel-1 SAR pre/post change-detection on Cyclones Amphan and Yaas following the UN-SPIDER (2019) Recommended Practice, and the intersection of Sentinel-1 VH, ESA WorldCover cropland, and JRC Global Surface Water masks for agronomic-flood negative samples — a fully programmatic label provenance that requires no analyst visual interpretation.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τ_POS: −3.587 → −3.677 d; τ_EOS: 0 → −0.239 d after restoring 20 right-censored cells), with raw-vs-corrected per-cell shifts averaging 0.245 ± 0.272 d for SOS (range 0.04–1.01 d), 0.122 ± 0.134 d for POS, and 0.337 ± 0.462 d for EOS (max 1.51 d, Bhadrak/Yaas 2021). The small magnitude reflects the bounded cyclone-flood pixel share at the district scale (Fani 0.29–2.52%, Amphan 0.33–1.92%, Yaas 0.42–7.21% per district), demonstrating that the surge confound is real and detectable at the pixel scale (Module 02 classifier OA = 0.844 SAR-only) but partially diluted at the district-aggregation scale used for the BACI panel — directionally confirming the pre-registered prediction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days (cluster-robust SE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CI [−54.0, +84.6]), attenuating to +15.108 days (cluster-robust SE 17.312,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in the v2.1 classifier-corrected series. The EOS DiD coefficient is reported as null+censored: the raw pipeline returns −0.000 d because 20 of 64 district-year EOS cells are right-censored by the season-end harvest cutoff (n_estimable = 44 rows), while the v2.1 correction restores the censored cells to yield</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statistically indistinguishable from zero.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3.6.1; Limitation 6, Section 5).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760000" cy="356109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61095"/>
                    </a:xfrm>
                    <a:prstGeom prst="rect"/>
                  </pic:spPr>
                </pic:pic>
              </a:graphicData>
            </a:graphic>
          </wp:inline>
        </w:drawing>
      </w:r>
    </w:p>
    <w:p>
      <w:pPr>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p>
      <w:pPr>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p>
      <w:pPr>
        <w:jc w:val="center"/>
      </w:pPr>
      <w:r>
        <w:drawing>
          <wp:inline>
            <wp:extent cx="5760000" cy="2218590"/>
            <wp:docPr id="7" name="Picture 7"/>
            <wp:cNvGraphicFramePr>
              <a:graphicFrameLocks noChangeAspect="1"/>
            </wp:cNvGraphicFramePr>
            <a:graphic>
              <a:graphicData uri="http://schemas.openxmlformats.org/drawingml/2006/picture">
                <pic:pic>
                  <pic:nvPicPr>
                    <pic:cNvPr id="0" name="Fig09_uncertainty.png"/>
                    <pic:cNvPicPr/>
                  </pic:nvPicPr>
                  <pic:blipFill>
                    <a:blip r:embed="rId15"/>
                    <a:stretch>
                      <a:fillRect/>
                    </a:stretch>
                  </pic:blipFill>
                  <pic:spPr>
                    <a:xfrm>
                      <a:off x="0" y="0"/>
                      <a:ext cx="5760000" cy="2218590"/>
                    </a:xfrm>
                    <a:prstGeom prst="rect"/>
                  </pic:spPr>
                </pic:pic>
              </a:graphicData>
            </a:graphic>
          </wp:inline>
        </w:drawing>
      </w:r>
    </w:p>
    <w:p>
      <w:pPr>
        <w:jc w:val="center"/>
      </w:pPr>
      <w:r>
        <w:rPr>
          <w:rFonts w:ascii="Arial" w:hAnsi="Arial"/>
          <w:i/>
          <w:sz w:val="18"/>
        </w:rPr>
        <w:t>Figure 9. Pixel-level bootstrap 95% CI half-width for corrected SOS dates. Uncertainty highest in coastal shoreline pixels (cloud-gap-affected) and pixels with classifier marginal probability 0.4–0.6.</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3c and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p>
      <w:pPr>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(Figures 5–6;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3.6.1, Limitation 6).</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 within ±76.5 d of zero across all six cells — the largest in absolute value being raw/SOS at +1.68 d, less than one-third of the real coefficient;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jc w:val="center"/>
      </w:pPr>
      <w:r>
        <w:rPr>
          <w:rFonts w:ascii="Arial" w:hAnsi="Arial"/>
          <w:i/>
          <w:sz w:val="18"/>
        </w:rPr>
        <w:t>Figure 6. In-space placebo distribution from donor-swap permutation (56 reassignments of treatment status to inland-control districts). Real τ̂ marked by red dashed line. Corrected/EOS cell hits the design-floor p_perm = 0.018 at G = 8.</w:t>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2026-06-08T12:45:28Z</dcterms:created>
  <dcterms:modified xsi:type="dcterms:W3CDTF">2026-06-08T12:45:28Z</dcterms:modified>
</cp:coreProperties>
</file>

<file path=docProps/custom.xml><?xml version="1.0" encoding="utf-8"?>
<Properties xmlns="http://schemas.openxmlformats.org/officeDocument/2006/custom-properties" xmlns:vt="http://schemas.openxmlformats.org/officeDocument/2006/docPropsVTypes"/>
</file>