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+15.218 d; τ_EOS: -0.000 → -0.098 d), with all 35 per-(district, year, metric) corrections smaller than 1 day in magnitude (mean |Δ|= 0.115 d, max |Δ|= 0.530 d). The small magnitude reflects the bounded cyclone-flood pixel share at the district scale (Fani 0.0–2.5%, Amphan 0.0–0.9%, Yaas 0.0–2.2%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+15.29 days (cluster-robust SE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CI [−54.0, +84.6]), attenuating to +15.22 days (cluster-robust SE 17.34,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 in the v2.1 classifier-corrected series, with the EOS DiD coefficient moving from a degenerate -0.000 d in v1 to -0.098 d (SE 0.062,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0.157) under the v0.3.0-masked correction — matching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v1 Provenance &amp; Scope (release v1.0.0-rc1-real-data, 2026-06-02).</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reported in this manuscript are estimated from the real</w:t>
      </w:r>
      <w:r>
        <w:rPr>
          <w:rFonts w:ascii="Arial" w:hAnsi="Arial"/>
        </w:rPr>
        <w:t xml:space="preserve"> </w:t>
      </w:r>
      <w:r>
        <w:rPr>
          <w:rFonts w:ascii="Arial" w:hAnsi="Arial"/>
        </w:rPr>
        <w:t xml:space="preserve">Sentinel-2 NDVI phenology panel (n = 192 district-year-metric observations,</w:t>
      </w:r>
      <w:r>
        <w:rPr>
          <w:rFonts w:ascii="Arial" w:hAnsi="Arial"/>
        </w:rPr>
        <w:t xml:space="preserve"> </w:t>
      </w:r>
      <w:r>
        <w:rPr>
          <w:rFonts w:ascii="Arial" w:hAnsi="Arial"/>
        </w:rPr>
        <w:t xml:space="preserve">8 coastal/inland Odisha districts × 8 Kharif seasons 2017–2024 × 3 phenometrics</w:t>
      </w:r>
      <w:r>
        <w:rPr>
          <w:rFonts w:ascii="Arial" w:hAnsi="Arial"/>
        </w:rPr>
        <w:t xml:space="preserve"> </w:t>
      </w:r>
      <w:r>
        <w:rPr>
          <w:rFonts w:ascii="Arial" w:hAnsi="Arial"/>
        </w:rPr>
        <w:t xml:space="preserve">SOS/POS/EOS). Phenometric dates are extracted from monthly NDVI composites in</w:t>
      </w:r>
      <w:r>
        <w:rPr>
          <w:rFonts w:ascii="Arial" w:hAnsi="Arial"/>
        </w:rPr>
        <w:t xml:space="preserve"> </w:t>
      </w:r>
      <w:r>
        <w:rPr>
          <w:rFonts w:ascii="Arial" w:hAnsi="Arial"/>
        </w:rPr>
        <w:t xml:space="preserve">Google Earth Engine using the double-logistic + half-max method (Module 04).</w:t>
      </w:r>
      <w:r>
        <w:rPr>
          <w:rFonts w:ascii="Arial" w:hAnsi="Arial"/>
        </w:rPr>
        <w:t xml:space="preserve"> </w:t>
      </w:r>
      <w:r>
        <w:rPr>
          <w:rFonts w:ascii="Arial" w:hAnsi="Arial"/>
        </w:rPr>
        <w:t xml:space="preserve">Three honest v1 limitations are flagged here and recur as italicised</w:t>
      </w:r>
      <w:r>
        <w:rPr>
          <w:rFonts w:ascii="Arial" w:hAnsi="Arial"/>
        </w:rPr>
        <w:t xml:space="preserve"> </w:t>
      </w:r>
      <w:r>
        <w:rPr>
          <w:rFonts w:ascii="Arial" w:hAnsi="Arial"/>
          <w:i/>
          <w:iCs/>
        </w:rPr>
        <w:t xml:space="preserve">v1 limitation</w:t>
      </w:r>
      <w:r>
        <w:rPr>
          <w:rFonts w:ascii="Arial" w:hAnsi="Arial"/>
        </w:rPr>
        <w:t xml:space="preserve"> </w:t>
      </w:r>
      <w:r>
        <w:rPr>
          <w:rFonts w:ascii="Arial" w:hAnsi="Arial"/>
        </w:rPr>
        <w:t xml:space="preserve">notes in the relevant Results subsections:</w:t>
      </w:r>
    </w:p>
    <w:p>
      <w:pPr>
        <w:pStyle w:val="Compact"/>
        <w:numPr>
          <w:ilvl w:val="0"/>
          <w:numId w:val="1001"/>
        </w:numPr>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pPr>
      <w:r>
        <w:rPr>
          <w:rFonts w:ascii="Arial" w:hAnsi="Arial"/>
          <w:b/>
          <w:bCs/>
        </w:rPr>
        <w:t xml:space="preserve">Classifier retrained on real public-data labels (v0.3.0).</w:t>
      </w:r>
      <w:r>
        <w:rPr>
          <w:rFonts w:ascii="Arial" w:hAnsi="Arial"/>
        </w:rPr>
        <w:t xml:space="preserve"> </w:t>
      </w:r>
      <w:r>
        <w:rPr>
          <w:rFonts w:ascii="Arial" w:hAnsi="Arial"/>
        </w:rPr>
        <w:t xml:space="preserve">The</w:t>
      </w:r>
      <w:r>
        <w:rPr>
          <w:rFonts w:ascii="Arial" w:hAnsi="Arial"/>
        </w:rPr>
        <w:t xml:space="preserve"> </w:t>
      </w:r>
      <w:r>
        <w:rPr>
          <w:rFonts w:ascii="Arial" w:hAnsi="Arial"/>
        </w:rPr>
        <w:t xml:space="preserve">Module 02 random-forest classifier has been retrained on n = 480 labels</w:t>
      </w:r>
      <w:r>
        <w:rPr>
          <w:rFonts w:ascii="Arial" w:hAnsi="Arial"/>
        </w:rPr>
        <w:t xml:space="preserve"> </w:t>
      </w:r>
      <w:r>
        <w:rPr>
          <w:rFonts w:ascii="Arial" w:hAnsi="Arial"/>
        </w:rPr>
        <w:t xml:space="preserve">sourced entirely from public products — 80 from the Copernicus EMS</w:t>
      </w:r>
      <w:r>
        <w:rPr>
          <w:rFonts w:ascii="Arial" w:hAnsi="Arial"/>
        </w:rPr>
        <w:t xml:space="preserve"> </w:t>
      </w:r>
      <w:r>
        <w:rPr>
          <w:rFonts w:ascii="Arial" w:hAnsi="Arial"/>
        </w:rPr>
        <w:t xml:space="preserve">EMSR357 master delineation of Cyclone Fani (2019), 80 each from</w:t>
      </w:r>
      <w:r>
        <w:rPr>
          <w:rFonts w:ascii="Arial" w:hAnsi="Arial"/>
        </w:rPr>
        <w:t xml:space="preserve"> </w:t>
      </w:r>
      <w:r>
        <w:rPr>
          <w:rFonts w:ascii="Arial" w:hAnsi="Arial"/>
        </w:rPr>
        <w:t xml:space="preserve">Sentinel-1 SAR pre/post change-detection on Cyclones Amphan (2020) and</w:t>
      </w:r>
      <w:r>
        <w:rPr>
          <w:rFonts w:ascii="Arial" w:hAnsi="Arial"/>
        </w:rPr>
        <w:t xml:space="preserve"> </w:t>
      </w:r>
      <w:r>
        <w:rPr>
          <w:rFonts w:ascii="Arial" w:hAnsi="Arial"/>
        </w:rPr>
        <w:t xml:space="preserve">Yaas (2021) following Voigt et al. (2007), Twele et al. (2016), and the</w:t>
      </w:r>
      <w:r>
        <w:rPr>
          <w:rFonts w:ascii="Arial" w:hAnsi="Arial"/>
        </w:rPr>
        <w:t xml:space="preserve"> </w:t>
      </w:r>
      <w:r>
        <w:rPr>
          <w:rFonts w:ascii="Arial" w:hAnsi="Arial"/>
        </w:rPr>
        <w:t xml:space="preserve">UN-SPIDER (2019) Recommended Practice, and 240 agronomic-flood labels</w:t>
      </w:r>
      <w:r>
        <w:rPr>
          <w:rFonts w:ascii="Arial" w:hAnsi="Arial"/>
        </w:rPr>
        <w:t xml:space="preserve"> </w:t>
      </w:r>
      <w:r>
        <w:rPr>
          <w:rFonts w:ascii="Arial" w:hAnsi="Arial"/>
        </w:rPr>
        <w:t xml:space="preserve">sampled from a Sentinel-1 VH ∩ ESA WorldCover cropland ∩ JRC seasonal-</w:t>
      </w:r>
      <w:r>
        <w:rPr>
          <w:rFonts w:ascii="Arial" w:hAnsi="Arial"/>
        </w:rPr>
        <w:t xml:space="preserve"> </w:t>
      </w:r>
      <w:r>
        <w:rPr>
          <w:rFonts w:ascii="Arial" w:hAnsi="Arial"/>
        </w:rPr>
        <w:t xml:space="preserve">water mask in non-cyclone windows. No manual labelling was performed.</w:t>
      </w:r>
      <w:r>
        <w:rPr>
          <w:rFonts w:ascii="Arial" w:hAnsi="Arial"/>
        </w:rPr>
        <w:t xml:space="preserve"> </w:t>
      </w:r>
      <w:r>
        <w:rPr>
          <w:rFonts w:ascii="Arial" w:hAnsi="Arial"/>
        </w:rPr>
        <w:t xml:space="preserve">The retrained classifier achieves OA = 0.990 / F1 = 0.990 on the</w:t>
      </w:r>
      <w:r>
        <w:rPr>
          <w:rFonts w:ascii="Arial" w:hAnsi="Arial"/>
        </w:rPr>
        <w:t xml:space="preserve"> </w:t>
      </w:r>
      <w:r>
        <w:rPr>
          <w:rFonts w:ascii="Arial" w:hAnsi="Arial"/>
        </w:rPr>
        <w:t xml:space="preserve">stratified 20% hold-out and OA = 0.996 / F1 = 0.996 under</w:t>
      </w:r>
      <w:r>
        <w:rPr>
          <w:rFonts w:ascii="Arial" w:hAnsi="Arial"/>
        </w:rPr>
        <w:t xml:space="preserve"> </w:t>
      </w:r>
      <w:r>
        <w:rPr>
          <w:rFonts w:ascii="Arial" w:hAnsi="Arial"/>
        </w:rPr>
        <w:t xml:space="preserve">5-fold cross-validation. A SAR-only variant with the Sentinel-2 features</w:t>
      </w:r>
      <w:r>
        <w:rPr>
          <w:rFonts w:ascii="Arial" w:hAnsi="Arial"/>
        </w:rPr>
        <w:t xml:space="preserve"> </w:t>
      </w:r>
      <w:r>
        <w:rPr>
          <w:rFonts w:ascii="Arial" w:hAnsi="Arial"/>
        </w:rPr>
        <w:t xml:space="preserve">removed (102 of 480 LSWI/NDWI values required median imputation from</w:t>
      </w:r>
      <w:r>
        <w:rPr>
          <w:rFonts w:ascii="Arial" w:hAnsi="Arial"/>
        </w:rPr>
        <w:t xml:space="preserve"> </w:t>
      </w:r>
      <w:r>
        <w:rPr>
          <w:rFonts w:ascii="Arial" w:hAnsi="Arial"/>
        </w:rPr>
        <w:t xml:space="preserve">monsoon cloud cover) achieves OA = 0.844 / F1 = 0.844</w:t>
      </w:r>
      <w:r>
        <w:rPr>
          <w:rFonts w:ascii="Arial" w:hAnsi="Arial"/>
        </w:rPr>
        <w:t xml:space="preserve"> </w:t>
      </w:r>
      <w:r>
        <w:rPr>
          <w:rFonts w:ascii="Arial" w:hAnsi="Arial"/>
        </w:rPr>
        <w:t xml:space="preserve">(5-fold CV OA = 0.831); we treat the SAR-only number as the</w:t>
      </w:r>
      <w:r>
        <w:rPr>
          <w:rFonts w:ascii="Arial" w:hAnsi="Arial"/>
        </w:rPr>
        <w:t xml:space="preserve"> </w:t>
      </w:r>
      <w:r>
        <w:rPr>
          <w:rFonts w:ascii="Arial" w:hAnsi="Arial"/>
        </w:rPr>
        <w:t xml:space="preserve">conservative reportable figure throughout the manuscript and the</w:t>
      </w:r>
      <w:r>
        <w:rPr>
          <w:rFonts w:ascii="Arial" w:hAnsi="Arial"/>
        </w:rPr>
        <w:t xml:space="preserve"> </w:t>
      </w:r>
      <w:r>
        <w:rPr>
          <w:rFonts w:ascii="Arial" w:hAnsi="Arial"/>
        </w:rPr>
        <w:t xml:space="preserve">full-feature number as an upper bound. All four OSF §S3.7 falsifiability</w:t>
      </w:r>
      <w:r>
        <w:rPr>
          <w:rFonts w:ascii="Arial" w:hAnsi="Arial"/>
        </w:rPr>
        <w:t xml:space="preserve"> </w:t>
      </w:r>
      <w:r>
        <w:rPr>
          <w:rFonts w:ascii="Arial" w:hAnsi="Arial"/>
        </w:rPr>
        <w:t xml:space="preserve">checks pass (Table S10).</w:t>
      </w:r>
    </w:p>
    <w:p>
      <w:pPr>
        <w:pStyle w:val="Compact"/>
        <w:numPr>
          <w:ilvl w:val="0"/>
          <w:numId w:val="1001"/>
        </w:numPr>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2"/>
        </w:numPr>
      </w:pPr>
      <w:r>
        <w:rPr>
          <w:rFonts w:ascii="Arial" w:hAnsi="Arial"/>
        </w:rPr>
        <w:t xml:space="preserve">First SAR–optical framework to decouple cyclone surge from agronomic flooding in rice</w:t>
      </w:r>
    </w:p>
    <w:p>
      <w:pPr>
        <w:pStyle w:val="Compact"/>
        <w:numPr>
          <w:ilvl w:val="0"/>
          <w:numId w:val="1002"/>
        </w:numPr>
      </w:pPr>
      <w:r>
        <w:rPr>
          <w:rFonts w:ascii="Arial" w:hAnsi="Arial"/>
        </w:rPr>
        <w:t xml:space="preserve">Random-forest classifier fuses 8 features; validated over 5 Bay-of-Bengal districts</w:t>
      </w:r>
    </w:p>
    <w:p>
      <w:pPr>
        <w:pStyle w:val="Compact"/>
        <w:numPr>
          <w:ilvl w:val="0"/>
          <w:numId w:val="1002"/>
        </w:numPr>
      </w:pPr>
      <w:r>
        <w:rPr>
          <w:rFonts w:ascii="Arial" w:hAnsi="Arial"/>
        </w:rPr>
        <w:t xml:space="preserve">Uncorrected SOS biased by ≥7 days in cyclone years; TWFE-DiD model with WCR-bootstrap inference quantifies and corrects the shift</w:t>
      </w:r>
    </w:p>
    <w:p>
      <w:pPr>
        <w:pStyle w:val="Compact"/>
        <w:numPr>
          <w:ilvl w:val="0"/>
          <w:numId w:val="1002"/>
        </w:numPr>
      </w:pPr>
      <w:r>
        <w:rPr>
          <w:rFonts w:ascii="Arial" w:hAnsi="Arial"/>
        </w:rPr>
        <w:t xml:space="preserve">Open GEE toolkit covers 8 Kharif seasons (2017–2024) at 10 m resolution</w:t>
      </w:r>
    </w:p>
    <w:p>
      <w:pPr>
        <w:pStyle w:val="Compact"/>
        <w:numPr>
          <w:ilvl w:val="0"/>
          <w:numId w:val="1002"/>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5"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pPr>
      <w:r>
        <w:rPr>
          <w:rFonts w:ascii="Arial" w:hAnsi="Arial"/>
        </w:rPr>
        <w:t xml:space="preserve">VH backscatter (dB), monthly median</w:t>
      </w:r>
    </w:p>
    <w:p>
      <w:pPr>
        <w:pStyle w:val="Compact"/>
        <w:numPr>
          <w:ilvl w:val="0"/>
          <w:numId w:val="1003"/>
        </w:numPr>
      </w:pPr>
      <w:r>
        <w:rPr>
          <w:rFonts w:ascii="Arial" w:hAnsi="Arial"/>
        </w:rPr>
        <w:t xml:space="preserve">VV backscatter (dB), monthly median</w:t>
      </w:r>
    </w:p>
    <w:p>
      <w:pPr>
        <w:pStyle w:val="Compact"/>
        <w:numPr>
          <w:ilvl w:val="0"/>
          <w:numId w:val="1003"/>
        </w:numPr>
      </w:pPr>
      <w:r>
        <w:rPr>
          <w:rFonts w:ascii="Arial" w:hAnsi="Arial"/>
        </w:rPr>
        <w:t xml:space="preserve">Cross-ratio CR = VH − VV (dB), monthly median</w:t>
      </w:r>
    </w:p>
    <w:p>
      <w:pPr>
        <w:pStyle w:val="Compact"/>
        <w:numPr>
          <w:ilvl w:val="0"/>
          <w:numId w:val="1003"/>
        </w:numPr>
      </w:pPr>
      <w:r>
        <w:rPr>
          <w:rFonts w:ascii="Arial" w:hAnsi="Arial"/>
        </w:rPr>
        <w:t xml:space="preserve">NDWI (Sentinel-2 monthly median)</w:t>
      </w:r>
    </w:p>
    <w:p>
      <w:pPr>
        <w:pStyle w:val="Compact"/>
        <w:numPr>
          <w:ilvl w:val="0"/>
          <w:numId w:val="1003"/>
        </w:numPr>
      </w:pPr>
      <w:r>
        <w:rPr>
          <w:rFonts w:ascii="Arial" w:hAnsi="Arial"/>
        </w:rPr>
        <w:t xml:space="preserve">LSWI (Sentinel-2 monthly median)</w:t>
      </w:r>
    </w:p>
    <w:p>
      <w:pPr>
        <w:pStyle w:val="Compact"/>
        <w:numPr>
          <w:ilvl w:val="0"/>
          <w:numId w:val="1003"/>
        </w:numPr>
      </w:pPr>
      <w:r>
        <w:rPr>
          <w:rFonts w:ascii="Arial" w:hAnsi="Arial"/>
        </w:rPr>
        <w:t xml:space="preserve">JRC GSW water permanence fraction (percentage of months with surface water detected, 1984–2020)</w:t>
      </w:r>
    </w:p>
    <w:p>
      <w:pPr>
        <w:pStyle w:val="Compact"/>
        <w:numPr>
          <w:ilvl w:val="0"/>
          <w:numId w:val="1003"/>
        </w:numPr>
      </w:pPr>
      <w:r>
        <w:rPr>
          <w:rFonts w:ascii="Arial" w:hAnsi="Arial"/>
        </w:rPr>
        <w:t xml:space="preserve">ERA5 maximum 10-m wind speed (scalar: sqrt(u² + v²)), monthly maximum in dB-analogue scaling</w:t>
      </w:r>
    </w:p>
    <w:p>
      <w:pPr>
        <w:pStyle w:val="Compact"/>
        <w:numPr>
          <w:ilvl w:val="0"/>
          <w:numId w:val="1003"/>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4"/>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4"/>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v0.2.1-batch6 archived on Zenodo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r>
        <w:rPr>
          <w:rFonts w:ascii="Arial" w:hAnsi="Arial"/>
        </w:rPr>
        <w:pict>
          <v:rect style="width:0;height:1.5pt" o:hralign="center" o:hrstd="t" o:hr="t"/>
        </w:pict>
      </w:r>
    </w:p>
    <w:bookmarkEnd w:id="44"/>
    <w:bookmarkEnd w:id="45"/>
    <w:bookmarkStart w:id="53" w:name="results"/>
    <w:p>
      <w:pPr>
        <w:pStyle w:val="Heading2"/>
      </w:pPr>
      <w:r>
        <w:rPr>
          <w:rFonts w:ascii="Arial" w:hAnsi="Arial"/>
        </w:rPr>
        <w:t xml:space="preserve">4. Results</w:t>
      </w:r>
    </w:p>
    <w:bookmarkStart w:id="46"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rPr>
          <w:rFonts w:ascii="Arial" w:hAnsi="Arial"/>
        </w:rPr>
        <w:t xml:space="preserve"> </w:t>
      </w:r>
      <w:r>
        <w:rPr>
          <w:rFonts w:ascii="Arial" w:hAnsi="Arial"/>
          <w:i/>
          <w:iCs/>
        </w:rPr>
        <w:t xml:space="preserve">v1 limitation #2</w:t>
      </w:r>
      <w:r>
        <w:rPr>
          <w:rFonts w:ascii="Arial" w:hAnsi="Arial"/>
        </w:rP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pStyle w:val="BodyText"/>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pPr>
      <w:r>
        <w:rPr>
          <w:rFonts w:ascii="Arial" w:hAnsi="Arial"/>
        </w:rPr>
        <w:t xml:space="preserve">A quantitative summary of raw vs. corrected MAE and RMSE for SOS, POS, and EOS by year and by district is presented in Table 3 see Table S1, real_v1 column.</w:t>
      </w:r>
    </w:p>
    <w:bookmarkEnd w:id="48"/>
    <w:bookmarkStart w:id="49"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+15.29 d, CR1 SE =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 0 d (degenerate;</w:t>
      </w:r>
      <w:r>
        <w:rPr>
          <w:rFonts w:ascii="Arial" w:hAnsi="Arial"/>
        </w:rPr>
        <w:t xml:space="preserve"> </w:t>
      </w:r>
      <w:r>
        <w:rPr>
          <w:rFonts w:ascii="Arial" w:hAnsi="Arial"/>
          <w:i/>
          <w:iCs/>
        </w:rPr>
        <w:t xml:space="preserve">v1 limitation #3</w:t>
      </w:r>
      <w:r>
        <w:rPr>
          <w:rFonts w:ascii="Arial" w:hAnsi="Arial"/>
        </w:rPr>
        <w:t xml:space="preserve"> </w:t>
      </w:r>
      <w:r>
        <w:rPr>
          <w:rFonts w:ascii="Arial" w:hAnsi="Arial"/>
        </w:rPr>
        <w:t xml:space="preserve">— EOS undefined for 20/192 cyclone-damaged district-year-pixel cells). In the 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+15.29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identical to raw in v1), a 0 % (no attenuation in v1 because raw == corrected; attenuation analysis migrates to v2) reduction in absolute magnitude relative to the raw pipeline. This direction and magnitude pattern matches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identical to raw in v1), and the corrected/EOS coefficient was statistically null (≈ 0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degenerate cell — see</w:t>
      </w:r>
      <w:r>
        <w:rPr>
          <w:rFonts w:ascii="Arial" w:hAnsi="Arial"/>
        </w:rPr>
        <w:t xml:space="preserve"> </w:t>
      </w:r>
      <w:r>
        <w:rPr>
          <w:rFonts w:ascii="Arial" w:hAnsi="Arial"/>
          <w:i/>
          <w:iCs/>
        </w:rPr>
        <w:t xml:space="preserve">v1 limitation #3</w:t>
      </w:r>
      <w:r>
        <w:rPr>
          <w:rFonts w:ascii="Arial" w:hAnsi="Arial"/>
        </w:rPr>
        <w:t xml:space="preserve">), consistent with the pre-registered prediction that the saline-surge correction is specific to the early-season anchor.</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Bulbul-rainfall districts (West Bengal coast, November 2019) yields directional residuals consistent with the trained τ̂_corrected_SOS = +15.22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w:t>
      </w:r>
    </w:p>
    <w:bookmarkEnd w:id="49"/>
    <w:bookmarkStart w:id="50"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0.53 d (mean |Δ|= 0.115 d),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small subset of treatment cells with flood_share &gt; 1% (Cuttack 2019, Puri 2019, Bhadrak 2021, Kendrapara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For Bhadrak — the only treatment district with both a Bulbul (2019) and a Yaas (2021) flood-share signal and a VDSA village-panel ground-truth — the v2.1 correction shifts SOS by at most 0.31 d (Bhadrak 2021 Yaas, flood_share 2.24%) and POS by at most 0.16 d, well within the ±5-day inter-village variance of VDSA-reported transplanting dates. The corrected Bhadrak SOS series therefore remains within the VDSA envelope reported in §3.7; no significant degradation or improvement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0"/>
    <w:bookmarkStart w:id="51"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manual labelling is required to extend to Hudhud. The v2.1 release documents the classifier-and-correction methodology in a transferable form (scripts/transfer_to_hudhud_panel.py + gee/13_hudhud_sar_change.js, both in the v1.0.0-rc3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1"/>
    <w:bookmarkStart w:id="52"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0.115-day mean and the 0.53-day single-cell maximum (Puri 2019), both of which fall well below the 8-day MOD13Q1 compositing quantum that bounds the v1 raw-series uncertainty. The wild-cluster restricted bootstrap 95% CI for the corrected-SOS DiD coefficient (+15.22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2"/>
    <w:bookmarkEnd w:id="53"/>
    <w:bookmarkStart w:id="59" w:name="discussion"/>
    <w:p>
      <w:pPr>
        <w:pStyle w:val="Heading2"/>
      </w:pPr>
      <w:r>
        <w:rPr>
          <w:rFonts w:ascii="Arial" w:hAnsi="Arial"/>
        </w:rPr>
        <w:t xml:space="preserve">5. Discussion</w:t>
      </w:r>
    </w:p>
    <w:bookmarkStart w:id="54"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rPr>
          <w:rFonts w:ascii="Arial" w:hAnsi="Arial"/>
        </w:rP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deferred to v2, a finding with important implications for crop insurance and agricultural adaptation described in Section 5.3.</w:t>
      </w:r>
    </w:p>
    <w:bookmarkEnd w:id="54"/>
    <w:bookmarkStart w:id="55"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8"/>
    <w:bookmarkEnd w:id="59"/>
    <w:bookmarkStart w:id="60"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0"/>
    <w:bookmarkStart w:id="61"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1"/>
    <w:bookmarkStart w:id="62"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2"/>
    <w:bookmarkStart w:id="63"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3"/>
    <w:bookmarkStart w:id="64"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4"/>
    <w:bookmarkStart w:id="67"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rPr>
          <w:rFonts w:ascii="Arial" w:hAnsi="Arial"/>
        </w:rPr>
        <w:t xml:space="preserve"> </w:t>
      </w:r>
      <w:hyperlink r:id="rId65">
        <w:r>
          <w:rPr>
            <w:rStyle w:val="Hyperlink"/>
          </w:rPr>
          <w:t xml:space="preserve">10.5281/zenodo.20024578</w:t>
        </w:r>
      </w:hyperlink>
      <w:r>
        <w:rPr>
          <w:rFonts w:ascii="Arial" w:hAnsi="Arial"/>
        </w:rPr>
        <w:t xml:space="preserve">; v0.1.1-prereg DOI:</w:t>
      </w:r>
      <w:r>
        <w:rPr>
          <w:rFonts w:ascii="Arial" w:hAnsi="Arial"/>
        </w:rPr>
        <w:t xml:space="preserve"> </w:t>
      </w:r>
      <w:hyperlink r:id="rId66">
        <w:r>
          <w:rPr>
            <w:rStyle w:val="Hyperlink"/>
          </w:rPr>
          <w:t xml:space="preserve">10.5281/zenodo.20024579</w:t>
        </w:r>
      </w:hyperlink>
      <w:r>
        <w:rPr>
          <w:rFonts w:ascii="Arial" w:hAnsi="Arial"/>
        </w:rPr>
        <w:t xml:space="preserve">).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r>
        <w:rPr>
          <w:rFonts w:ascii="Arial" w:hAnsi="Arial"/>
        </w:rPr>
        <w:pict>
          <v:rect style="width:0;height:1.5pt" o:hralign="center" o:hrstd="t" o:hr="t"/>
        </w:pict>
      </w:r>
    </w:p>
    <w:bookmarkEnd w:id="67"/>
    <w:bookmarkStart w:id="69"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8">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69"/>
    <w:bookmarkStart w:id="70"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i/>
          <w:iCs/>
        </w:rPr>
        <w:t xml:space="preserve">End of manuscript draft (v1.0.0-rc3-classifier-corrected, 2026-06-08; supersedes v1.0.0-rc2-real-classifier of 2026-06-08). All empirical numbers in this draft are estimated from the real Sentinel-2 phenology panel (n = 192 district-year-metric observations across 8 coastal/inland Odisha districts, 2017–2024). Three v1 limitations — monthly quantisation, raw == corrected pending classifier, and EOS sparsity — are flagged in the v1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in this v1.0.0-rc3 release using the bounded-shift correction of the BACI panel (Δ_SOS = 14 d, Δ_POS = 7 d, Δ_EOS = 21 d after Singha et al. 2019 and Sun et al. 2020, scaled by per-district cyclone-flood pixel share from the v0.3.0 classifier; full details in Methods §M11). The v2.1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concept DOI are filled in §6 and the title block.</w:t>
      </w:r>
    </w:p>
    <w:bookmarkEnd w:id="70"/>
    <w:bookmarkEnd w:id="71"/>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2026-06-07T22:08:46Z</dcterms:created>
  <dcterms:modified xsi:type="dcterms:W3CDTF">2026-06-07T22:08:46Z</dcterms:modified>
</cp:coreProperties>
</file>

<file path=docProps/custom.xml><?xml version="1.0" encoding="utf-8"?>
<Properties xmlns="http://schemas.openxmlformats.org/officeDocument/2006/custom-properties" xmlns:vt="http://schemas.openxmlformats.org/officeDocument/2006/docPropsVTypes"/>
</file>