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ighlights"/>
    <w:p>
      <w:pPr>
        <w:pStyle w:val="Heading1"/>
      </w:pPr>
      <w:r>
        <w:t xml:space="preserve">Highlights</w:t>
      </w:r>
    </w:p>
    <w:p>
      <w:pPr>
        <w:pStyle w:val="BlockText"/>
      </w:pPr>
      <w:r>
        <w:t xml:space="preserve">RSE requirement: 3–5 bullets, each ≤ 85 characters including spaces.</w:t>
      </w:r>
      <w:r>
        <w:t xml:space="preserve"> </w:t>
      </w:r>
      <w:r>
        <w:t xml:space="preserve">Submit as a separate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with</w:t>
      </w:r>
      <w:r>
        <w:t xml:space="preserve"> </w:t>
      </w:r>
      <w:r>
        <w:t xml:space="preserve">“</w:t>
      </w:r>
      <w:r>
        <w:t xml:space="preserve">highlights</w:t>
      </w:r>
      <w:r>
        <w:t xml:space="preserve">”</w:t>
      </w:r>
      <w:r>
        <w:t xml:space="preserve"> </w:t>
      </w:r>
      <w:r>
        <w:t xml:space="preserve">in the filename.</w:t>
      </w:r>
    </w:p>
    <w:p>
      <w:pPr>
        <w:pStyle w:val="Compact"/>
        <w:numPr>
          <w:ilvl w:val="0"/>
          <w:numId w:val="1001"/>
        </w:numPr>
      </w:pPr>
      <w:r>
        <w:t xml:space="preserve">First framework to separate cyclone storm-surge from agronomic rice flooding in SAR</w:t>
      </w:r>
    </w:p>
    <w:p>
      <w:pPr>
        <w:pStyle w:val="Compact"/>
        <w:numPr>
          <w:ilvl w:val="0"/>
          <w:numId w:val="1001"/>
        </w:numPr>
      </w:pPr>
      <w:r>
        <w:t xml:space="preserve">Sentinel-1/2 fusion with random forest classifies saline inundation at 10-m scale</w:t>
      </w:r>
    </w:p>
    <w:p>
      <w:pPr>
        <w:pStyle w:val="Compact"/>
        <w:numPr>
          <w:ilvl w:val="0"/>
          <w:numId w:val="1001"/>
        </w:numPr>
      </w:pPr>
      <w:r>
        <w:t xml:space="preserve">BACI design across Cyclones Fani, Amphan, Yaas reveals systematic phenology bias</w:t>
      </w:r>
    </w:p>
    <w:p>
      <w:pPr>
        <w:pStyle w:val="Compact"/>
        <w:numPr>
          <w:ilvl w:val="0"/>
          <w:numId w:val="1001"/>
        </w:numPr>
      </w:pPr>
      <w:r>
        <w:t xml:space="preserve">Corrected SOS/POS/EOS dates reduce mean absolute error by [PLACEHOLDER] days</w:t>
      </w:r>
    </w:p>
    <w:p>
      <w:pPr>
        <w:pStyle w:val="Compact"/>
        <w:numPr>
          <w:ilvl w:val="0"/>
          <w:numId w:val="1001"/>
        </w:numPr>
      </w:pPr>
      <w:r>
        <w:t xml:space="preserve">Open-source RiceBaCI-GEE toolkit released for transfer to other Asian deltas</w:t>
      </w:r>
    </w:p>
    <w:p>
      <w:r>
        <w:pict>
          <v:rect style="width:0;height:1.5pt" o:hralign="center" o:hrstd="t" o:hr="t"/>
        </w:pict>
      </w:r>
    </w:p>
    <w:bookmarkStart w:id="20" w:name="character-count-check"/>
    <w:p>
      <w:pPr>
        <w:pStyle w:val="Heading2"/>
      </w:pPr>
      <w:r>
        <w:t xml:space="preserve">Character count check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framework to separate cyclone storm-surge from agronomic rice flooding in 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Sentinel-1/2 fusion with random forest classifies saline inundation at 10-m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BACI design across Cyclones Fani, Amphan, Yaas reveals systematic phenology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SOS/POS/EOS dates reduce mean absolute error by [PLACEHOLDER]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RiceBaCI-GEE toolkit released for transfer to other Asian deltas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</w:tr>
    </w:tbl>
    <w:p>
      <w:pPr>
        <w:pStyle w:val="BlockText"/>
      </w:pPr>
      <w:r>
        <w:t xml:space="preserve">All five are within the 85-character limit. Bullet 4’s character count depends on the placeholder fill (e.g.,</w:t>
      </w:r>
      <w:r>
        <w:t xml:space="preserve"> </w:t>
      </w:r>
      <w:r>
        <w:t xml:space="preserve">“</w:t>
      </w:r>
      <w:r>
        <w:t xml:space="preserve">by 8 days</w:t>
      </w:r>
      <w:r>
        <w:t xml:space="preserve">”</w:t>
      </w:r>
      <w:r>
        <w:t xml:space="preserve"> </w:t>
      </w:r>
      <w:r>
        <w:t xml:space="preserve">→ 75 chars;</w:t>
      </w:r>
      <w:r>
        <w:t xml:space="preserve"> </w:t>
      </w:r>
      <w:r>
        <w:t xml:space="preserve">“</w:t>
      </w:r>
      <w:r>
        <w:t xml:space="preserve">by 12 days</w:t>
      </w:r>
      <w:r>
        <w:t xml:space="preserve">”</w:t>
      </w:r>
      <w:r>
        <w:t xml:space="preserve"> </w:t>
      </w:r>
      <w:r>
        <w:t xml:space="preserve">→ 76 chars).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2026-05-04T14:22:59Z</dcterms:created>
  <dcterms:modified xsi:type="dcterms:W3CDTF">2026-05-04T14:22:59Z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