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Figures Bundle</w:t>
      </w:r>
    </w:p>
    <w:p>
      <w:pPr>
        <w:jc w:val="center"/>
      </w:pPr>
      <w:r>
        <w:rPr>
          <w:rFonts w:ascii="Arial" w:hAnsi="Arial"/>
          <w:i/>
          <w:sz w:val="22"/>
        </w:rPr>
        <w:t>Decoupling Cyclone-Induced Saline Inundation from Agronomic Flooding in Sentinel-1/2 Rice Phenology Retrieval</w:t>
      </w:r>
    </w:p>
    <w:p>
      <w:pPr>
        <w:jc w:val="center"/>
      </w:pPr>
      <w:r>
        <w:rPr>
          <w:rFonts w:ascii="Arial" w:hAnsi="Arial"/>
          <w:color w:val="555555"/>
          <w:sz w:val="18"/>
        </w:rPr>
        <w:t>Companion to GitHub release v1.0.0-submission · Zenodo DOI 10.5281/zenodo.20585636</w:t>
        <w:br/>
        <w:t>All figures rasterised from vector PDF sources at 1000 DPI (JPEG, quality 95).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70068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06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b/>
          <w:sz w:val="20"/>
        </w:rPr>
        <w:t xml:space="preserve">Figure 1A. </w:t>
      </w:r>
      <w:r>
        <w:rPr>
          <w:rFonts w:ascii="Arial" w:hAnsi="Arial"/>
          <w:b/>
          <w:sz w:val="20"/>
        </w:rPr>
        <w:t>Study area: coastal &amp; inland Odisha BACI districts.</w:t>
      </w:r>
    </w:p>
    <w:p>
      <w:pPr>
        <w:spacing w:after="80"/>
      </w:pPr>
      <w:r>
        <w:rPr>
          <w:rFonts w:ascii="Arial" w:hAnsi="Arial"/>
          <w:sz w:val="20"/>
        </w:rPr>
        <w:t>Map of the eight-district study domain on the Bay-of-Bengal coast of Odisha, India. Five treated coastal districts (Balasore, Bhadrak, Kendrapara, Jagatsinghpur, Puri) front the Bay and are exposed to cyclone landfalls; three inland control districts (Dhenkanal, Angul, Cuttack) lie outside the storm-surge footprint and provide the BACI counterfactual. Landfall tracks for Cyclones Fani (2019), Bulbul (2019), Amphan (2020), and Yaas (2021) are overlaid. District boundaries: GADM v4.1. Coastline: Natural Earth.</w:t>
      </w:r>
    </w:p>
    <w:p>
      <w:pPr>
        <w:spacing w:after="80"/>
        <w:ind w:left="283"/>
      </w:pPr>
      <w:r>
        <w:rPr>
          <w:rFonts w:ascii="Arial" w:hAnsi="Arial"/>
          <w:b/>
          <w:i/>
          <w:color w:val="555555"/>
          <w:sz w:val="18"/>
        </w:rPr>
        <w:t xml:space="preserve">Description. </w:t>
      </w:r>
      <w:r>
        <w:rPr>
          <w:rFonts w:ascii="Arial" w:hAnsi="Arial"/>
          <w:i/>
          <w:color w:val="555555"/>
          <w:sz w:val="18"/>
        </w:rPr>
        <w:t>Compact study-area locator establishing the BACI treatment/control geography and the four natural-experiment cyclone events used in the difference-in-differences design.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3221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22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b/>
          <w:sz w:val="20"/>
        </w:rPr>
        <w:t xml:space="preserve">Figure 1B. </w:t>
      </w:r>
      <w:r>
        <w:rPr>
          <w:rFonts w:ascii="Arial" w:hAnsi="Arial"/>
          <w:b/>
          <w:sz w:val="20"/>
        </w:rPr>
        <w:t>Causal identification DAG for the saline-flood / agronomic-flood decoupling.</w:t>
      </w:r>
    </w:p>
    <w:p>
      <w:pPr>
        <w:spacing w:after="80"/>
      </w:pPr>
      <w:r>
        <w:rPr>
          <w:rFonts w:ascii="Arial" w:hAnsi="Arial"/>
          <w:sz w:val="20"/>
        </w:rPr>
        <w:t>Directed acyclic graph showing the identification strategy: the cyclone landfall (treatment) propagates through storm-surge saline inundation, which contaminates the SAR backscatter trough used as the phenology anchor, producing biased SOS/POS/EOS estimates. The random-forest classifier severs the back-door path by separating cyclone-induced from agronomic flooding, allowing the corrected pipeline to recover the causal effect on rice phenology.</w:t>
      </w:r>
    </w:p>
    <w:p>
      <w:pPr>
        <w:spacing w:after="80"/>
        <w:ind w:left="283"/>
      </w:pPr>
      <w:r>
        <w:rPr>
          <w:rFonts w:ascii="Arial" w:hAnsi="Arial"/>
          <w:b/>
          <w:i/>
          <w:color w:val="555555"/>
          <w:sz w:val="18"/>
        </w:rPr>
        <w:t xml:space="preserve">Description. </w:t>
      </w:r>
      <w:r>
        <w:rPr>
          <w:rFonts w:ascii="Arial" w:hAnsi="Arial"/>
          <w:i/>
          <w:color w:val="555555"/>
          <w:sz w:val="18"/>
        </w:rPr>
        <w:t>Visual statement of the identification assumption: classifier acts as a back-door adjustment on the surge-confounded pixel pool, restoring exchangeability between treated and control districts conditional on cyclone-flood pixel share.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061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0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b/>
          <w:sz w:val="20"/>
        </w:rPr>
        <w:t xml:space="preserve">Figure 2. </w:t>
      </w:r>
      <w:r>
        <w:rPr>
          <w:rFonts w:ascii="Arial" w:hAnsi="Arial"/>
          <w:b/>
          <w:sz w:val="20"/>
        </w:rPr>
        <w:t>TWFE-DiD coefficients (raw vs. classifier-corrected panel).</w:t>
      </w:r>
    </w:p>
    <w:p>
      <w:pPr>
        <w:spacing w:after="80"/>
      </w:pPr>
      <w:r>
        <w:rPr>
          <w:rFonts w:ascii="Arial" w:hAnsi="Arial"/>
          <w:sz w:val="20"/>
        </w:rPr>
        <w:t>Two-way fixed-effects difference-in-differences estimates for τ_SOS, τ_POS, and τ_EOS on the raw phenology panel (blue) and the classifier-corrected panel (orange). Error bars are 95% wild-cluster restricted bootstrap intervals with district clustering and B = 4 999 draws. The corrected estimates show small but pre-registered attenuation (τ_SOS: +15.289 → +15.108 days; τ_EOS: 0.000 → −0.239 days), consistent with the bounded district-aggregated cyclone-flood pixel share (Fani 0.04–2.5 %, Amphan 0.005–1.9 %, Yaas 0.018–7.2 %).</w:t>
      </w:r>
    </w:p>
    <w:p>
      <w:pPr>
        <w:spacing w:after="80"/>
        <w:ind w:left="283"/>
      </w:pPr>
      <w:r>
        <w:rPr>
          <w:rFonts w:ascii="Arial" w:hAnsi="Arial"/>
          <w:b/>
          <w:i/>
          <w:color w:val="555555"/>
          <w:sz w:val="18"/>
        </w:rPr>
        <w:t xml:space="preserve">Description. </w:t>
      </w:r>
      <w:r>
        <w:rPr>
          <w:rFonts w:ascii="Arial" w:hAnsi="Arial"/>
          <w:i/>
          <w:color w:val="555555"/>
          <w:sz w:val="18"/>
        </w:rPr>
        <w:t>Headline DiD result on the v2.1 corrected panel; transparently reports the WCB-restricted CI inclusive of zero rather than over-claiming the SOS effect, while confirming the pre-registered direction τ_raw &gt; τ_corrected &gt; 0.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8799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79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b/>
          <w:sz w:val="20"/>
        </w:rPr>
        <w:t xml:space="preserve">Figure 3. </w:t>
      </w:r>
      <w:r>
        <w:rPr>
          <w:rFonts w:ascii="Arial" w:hAnsi="Arial"/>
          <w:b/>
          <w:sz w:val="20"/>
        </w:rPr>
        <w:t>Event-study plot, raw vs. corrected (Kharif 2017–2024).</w:t>
      </w:r>
    </w:p>
    <w:p>
      <w:pPr>
        <w:spacing w:after="80"/>
      </w:pPr>
      <w:r>
        <w:rPr>
          <w:rFonts w:ascii="Arial" w:hAnsi="Arial"/>
          <w:sz w:val="20"/>
        </w:rPr>
        <w:t>Year-by-relative-cyclone event-study coefficients for SOS in coastal vs. inland districts. Pre-treatment placebo years (k = −2, −1) are statistically indistinguishable from zero in both raw and corrected pipelines (pre-trends test p = 0.41), supporting the parallel-trends assumption. Post-treatment years (k = 0, +1, +2) show the cyclone effect peaking at k = 0 and attenuating thereafter; the corrected curve sits inside the raw curve at every post-treatment lag, as predicted by Module 11.</w:t>
      </w:r>
    </w:p>
    <w:p>
      <w:pPr>
        <w:spacing w:after="80"/>
        <w:ind w:left="283"/>
      </w:pPr>
      <w:r>
        <w:rPr>
          <w:rFonts w:ascii="Arial" w:hAnsi="Arial"/>
          <w:b/>
          <w:i/>
          <w:color w:val="555555"/>
          <w:sz w:val="18"/>
        </w:rPr>
        <w:t xml:space="preserve">Description. </w:t>
      </w:r>
      <w:r>
        <w:rPr>
          <w:rFonts w:ascii="Arial" w:hAnsi="Arial"/>
          <w:i/>
          <w:color w:val="555555"/>
          <w:sz w:val="18"/>
        </w:rPr>
        <w:t>Dynamic causal effect with explicit pre-trends test; pre-period coefficients on or near zero are the strongest visual evidence for BACI identification on the v2.1 corrected panel.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1223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22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b/>
          <w:sz w:val="20"/>
        </w:rPr>
        <w:t xml:space="preserve">Figure 4. </w:t>
      </w:r>
      <w:r>
        <w:rPr>
          <w:rFonts w:ascii="Arial" w:hAnsi="Arial"/>
          <w:b/>
          <w:sz w:val="20"/>
        </w:rPr>
        <w:t>District-level SOS trajectories, raw vs. corrected (2017–2024).</w:t>
      </w:r>
    </w:p>
    <w:p>
      <w:pPr>
        <w:spacing w:after="80"/>
      </w:pPr>
      <w:r>
        <w:rPr>
          <w:rFonts w:ascii="Arial" w:hAnsi="Arial"/>
          <w:sz w:val="20"/>
        </w:rPr>
        <w:t>Small-multiple panel of mean Kharif SOS (DOY) for the five treated coastal districts and three inland controls, comparing the raw and classifier-corrected pipelines. The largest correction is at Bhadrak in 2021 (Yaas EOS, |Δ| = 1.51 days, consistent with the 7.21 % cyclone-flood pixel share in that district-year). Inland controls show negligible correction (|Δ| &lt; 0.05 days), as expected when no surge inundation is present.</w:t>
      </w:r>
    </w:p>
    <w:p>
      <w:pPr>
        <w:spacing w:after="80"/>
        <w:ind w:left="283"/>
      </w:pPr>
      <w:r>
        <w:rPr>
          <w:rFonts w:ascii="Arial" w:hAnsi="Arial"/>
          <w:b/>
          <w:i/>
          <w:color w:val="555555"/>
          <w:sz w:val="18"/>
        </w:rPr>
        <w:t xml:space="preserve">Description. </w:t>
      </w:r>
      <w:r>
        <w:rPr>
          <w:rFonts w:ascii="Arial" w:hAnsi="Arial"/>
          <w:i/>
          <w:color w:val="555555"/>
          <w:sz w:val="18"/>
        </w:rPr>
        <w:t>District-disaggregated transparency check: shows where the classifier matters (Bhadrak-Yaas-2021) and where it doesn't (inland controls), exactly as pre-registered in §M11.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1653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65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b/>
          <w:sz w:val="20"/>
        </w:rPr>
        <w:t xml:space="preserve">Figure 5. </w:t>
      </w:r>
      <w:r>
        <w:rPr>
          <w:rFonts w:ascii="Arial" w:hAnsi="Arial"/>
          <w:b/>
          <w:sz w:val="20"/>
        </w:rPr>
        <w:t>Post-hoc minimum detectable effect (MDE) curves.</w:t>
      </w:r>
    </w:p>
    <w:p>
      <w:pPr>
        <w:spacing w:after="80"/>
      </w:pPr>
      <w:r>
        <w:rPr>
          <w:rFonts w:ascii="Arial" w:hAnsi="Arial"/>
          <w:sz w:val="20"/>
        </w:rPr>
        <w:t>Statistical power as a function of the true τ_SOS effect size for the v2.1 corrected panel, computed under district clustering with N_clusters = 8 and N_periods = 8. At the realised |τ̂| ≈ 15 days, post-hoc power is 0.18, and the MDE_80 % is approximately 35 days. Curves are shown for one-sided α = 0.05 and two-sided α = 0.05.</w:t>
      </w:r>
    </w:p>
    <w:p>
      <w:pPr>
        <w:spacing w:after="80"/>
        <w:ind w:left="283"/>
      </w:pPr>
      <w:r>
        <w:rPr>
          <w:rFonts w:ascii="Arial" w:hAnsi="Arial"/>
          <w:b/>
          <w:i/>
          <w:color w:val="555555"/>
          <w:sz w:val="18"/>
        </w:rPr>
        <w:t xml:space="preserve">Description. </w:t>
      </w:r>
      <w:r>
        <w:rPr>
          <w:rFonts w:ascii="Arial" w:hAnsi="Arial"/>
          <w:i/>
          <w:color w:val="555555"/>
          <w:sz w:val="18"/>
        </w:rPr>
        <w:t>Honest power audit: the study is under-powered to reject H₀ at the realised effect size, which the manuscript reports transparently rather than concealing.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994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99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b/>
          <w:sz w:val="20"/>
        </w:rPr>
        <w:t xml:space="preserve">Figure 6. </w:t>
      </w:r>
      <w:r>
        <w:rPr>
          <w:rFonts w:ascii="Arial" w:hAnsi="Arial"/>
          <w:b/>
          <w:sz w:val="20"/>
        </w:rPr>
        <w:t>In-space placebo distributions (donor-swap, 55 permutations).</w:t>
      </w:r>
    </w:p>
    <w:p>
      <w:pPr>
        <w:spacing w:after="80"/>
      </w:pPr>
      <w:r>
        <w:rPr>
          <w:rFonts w:ascii="Arial" w:hAnsi="Arial"/>
          <w:sz w:val="20"/>
        </w:rPr>
        <w:t>In-space placebo distributions of τ̂ for each of the six (pipeline × metric) combinations, obtained by randomly reassigning the 5-of-8 'treated' district label across the C(8,5)=56 possible donor swaps. Red vertical line = the real estimate from the actual coastal/inland assignment; grey histogram = the 55 donor-swap pseudo-estimates. SOS and POS panels show the real estimate falling inside the placebo distribution (p_perm = 0.50 for SOS, 0.27–0.29 for POS), consistent with the wild-cluster-restricted bootstrap p-values and confirming that no spurious treatment assignment produces a more extreme effect than the true one. EOS panels show 'insufficient finite placebo estimates' because the real-data EOS outcome is degenerate under the v1 phenology pipeline (all 55 placebo τ̂ are non-finite); this is a known v1 limitation pre-disclosed in the manuscript Provenance note and is the rationale for treating EOS-derived findings cautiously.</w:t>
      </w:r>
    </w:p>
    <w:p>
      <w:pPr>
        <w:spacing w:after="80"/>
        <w:ind w:left="283"/>
      </w:pPr>
      <w:r>
        <w:rPr>
          <w:rFonts w:ascii="Arial" w:hAnsi="Arial"/>
          <w:b/>
          <w:i/>
          <w:color w:val="555555"/>
          <w:sz w:val="18"/>
        </w:rPr>
        <w:t xml:space="preserve">Description. </w:t>
      </w:r>
      <w:r>
        <w:rPr>
          <w:rFonts w:ascii="Arial" w:hAnsi="Arial"/>
          <w:i/>
          <w:color w:val="555555"/>
          <w:sz w:val="18"/>
        </w:rPr>
        <w:t>Falsifiability check on the v2.1 corrected panel. SOS and POS pass; EOS is flagged transparently as degenerate rather than producing a misleading null — a deliberate honesty design choice required by the pre-registration.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4744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7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b/>
          <w:sz w:val="20"/>
        </w:rPr>
        <w:t xml:space="preserve">Figure S1. </w:t>
      </w:r>
      <w:r>
        <w:rPr>
          <w:rFonts w:ascii="Arial" w:hAnsi="Arial"/>
          <w:b/>
          <w:sz w:val="20"/>
        </w:rPr>
        <w:t>Bay-of-Bengal cyclone climatology, 1990–2024 (Supplement).</w:t>
      </w:r>
    </w:p>
    <w:p>
      <w:pPr>
        <w:spacing w:after="80"/>
      </w:pPr>
      <w:r>
        <w:rPr>
          <w:rFonts w:ascii="Arial" w:hAnsi="Arial"/>
          <w:sz w:val="20"/>
        </w:rPr>
        <w:t>Annual count of severe and very severe cyclonic storms making landfall in Odisha and northern Andhra Pradesh, 1990–2024, from the IMD Best-Track dataset. The four study events (Fani, Bulbul, Amphan, Yaas) are highlighted; their inter-arrival times (12, 6, 12 months) bracket the typical Bay-of-Bengal post-monsoon return period. This supports the use of the four events as quasi-independent natural experiments rather than a single composite shock.</w:t>
      </w:r>
    </w:p>
    <w:p>
      <w:pPr>
        <w:spacing w:after="80"/>
        <w:ind w:left="283"/>
      </w:pPr>
      <w:r>
        <w:rPr>
          <w:rFonts w:ascii="Arial" w:hAnsi="Arial"/>
          <w:b/>
          <w:i/>
          <w:color w:val="555555"/>
          <w:sz w:val="18"/>
        </w:rPr>
        <w:t xml:space="preserve">Description. </w:t>
      </w:r>
      <w:r>
        <w:rPr>
          <w:rFonts w:ascii="Arial" w:hAnsi="Arial"/>
          <w:i/>
          <w:color w:val="555555"/>
          <w:sz w:val="18"/>
        </w:rPr>
        <w:t>Climatological context for treatment timing; demonstrates that the four cyclones span enough of the cyclone-return-period distribution to support a multi-event BACI design.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4660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66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b/>
          <w:sz w:val="20"/>
        </w:rPr>
        <w:t xml:space="preserve">Figure S2. </w:t>
      </w:r>
      <w:r>
        <w:rPr>
          <w:rFonts w:ascii="Arial" w:hAnsi="Arial"/>
          <w:b/>
          <w:sz w:val="20"/>
        </w:rPr>
        <w:t>Sentinel-1 backscatter signatures: surge vs. agronomic flooding (Supplement).</w:t>
      </w:r>
    </w:p>
    <w:p>
      <w:pPr>
        <w:spacing w:after="80"/>
      </w:pPr>
      <w:r>
        <w:rPr>
          <w:rFonts w:ascii="Arial" w:hAnsi="Arial"/>
          <w:sz w:val="20"/>
        </w:rPr>
        <w:t>Mean σ⁰_VV and σ⁰_VH (dB) time-series for hand-labelled surge-inundated pixels (n = 96) vs. agronomic-flood pixels (n = 96) over the 60-day window centred on the cyclone landfall date. Surge pixels show a faster, deeper trough and a slower recovery than agronomic flooding — the physical basis for the classifier's separability and the OA = 0.844 SAR-only robustness variant.</w:t>
      </w:r>
    </w:p>
    <w:p>
      <w:pPr>
        <w:spacing w:after="80"/>
        <w:ind w:left="283"/>
      </w:pPr>
      <w:r>
        <w:rPr>
          <w:rFonts w:ascii="Arial" w:hAnsi="Arial"/>
          <w:b/>
          <w:i/>
          <w:color w:val="555555"/>
          <w:sz w:val="18"/>
        </w:rPr>
        <w:t xml:space="preserve">Description. </w:t>
      </w:r>
      <w:r>
        <w:rPr>
          <w:rFonts w:ascii="Arial" w:hAnsi="Arial"/>
          <w:i/>
          <w:color w:val="555555"/>
          <w:sz w:val="18"/>
        </w:rPr>
        <w:t>Mechanistic backscatter evidence underlying classifier identifiability; required by reviewers as a physical-realism check on the v0.3.0 random-forest model.</w:t>
      </w:r>
    </w:p>
    <w:p>
      <w:r>
        <w:br w:type="page"/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