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an automated n = 480 reference-label set sourced from the Copernicus Emergency Management Service master delineation of Cyclone Fani (EMSR357), Sentinel-1 SAR pre/post change-detection on Cyclones Amphan and Yaas following the UN-SPIDER (2019) Recommended Practice, and the intersection of Sentinel-1 VH, ESA WorldCover cropland, and JRC Global Surface Water masks for agronomic-flood negative samples — a fully programmatic label provenance that requires no analyst visual interpretation.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τ_POS: −3.587 → −3.677 d; τ_EOS: 0 → −0.239 d after restoring 20 right-censored cells), with raw-vs-corrected per-cell shifts averaging 0.245 ± 0.272 d for SOS (range 0.04–1.01 d), 0.122 ± 0.134 d for POS, and 0.337 ± 0.462 d for EOS (max 1.51 d, Bhadrak/Yaas 2021). The small magnitude reflects the bounded cyclone-flood pixel share at the district scale (Fani 0.29–2.52%, Amphan 0.33–1.92%, Yaas 0.42–7.21% per district), demonstrating that the surge confound is real and detectable at the pixel scale (Module 02 classifier OA = 0.844 SAR-only) but partially diluted at the district-aggregation scale used for the BACI panel — directionally confirming the pre-registered prediction τ_raw &gt; τ_corrected &gt; 0 for SOS while leaving the WCR-restricted 95% CI inclusive of zero (a transparent null finding rather than over-claimed attenuation).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+15.289 days (cluster-robust SE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CI [−54.0, +84.6]), attenuating to +15.108 days (cluster-robust SE 17.312,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in the v2.1 classifier-corrected series. The EOS DiD coefficient is reported as null+censored: the raw pipeline returns −0.000 d because 20 of 64 district-year EOS cells are right-censored by the season-end harvest cutoff (n_estimable = 44 rows), while the v2.1 correction restores the censored cells to yield</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(SE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statistically indistinguishable from zero.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3.6.1; Limitation 6, Section 5).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reference-label set described in</w:t>
      </w:r>
      <w:r>
        <w:rPr>
          <w:rFonts w:ascii="Arial" w:hAnsi="Arial"/>
        </w:rPr>
        <w:t xml:space="preserve"> </w:t>
      </w:r>
      <w:r>
        <w:rPr>
          <w:rFonts w:ascii="Arial" w:hAnsi="Arial"/>
        </w:rPr>
        <w:t xml:space="preserve">Section 2.4 is generated entirely by automated multi-source provenance</w:t>
      </w:r>
      <w:r>
        <w:rPr>
          <w:rFonts w:ascii="Arial" w:hAnsi="Arial"/>
        </w:rPr>
        <w:t xml:space="preserve"> </w:t>
      </w:r>
      <w:r>
        <w:rPr>
          <w:rFonts w:ascii="Arial" w:hAnsi="Arial"/>
        </w:rPr>
        <w:t xml:space="preserve">(Copernicus EMS EMSR357 for Fani; UN-SPIDER (2019) Sentinel-1 pre/post</w:t>
      </w:r>
      <w:r>
        <w:rPr>
          <w:rFonts w:ascii="Arial" w:hAnsi="Arial"/>
        </w:rPr>
        <w:t xml:space="preserve"> </w:t>
      </w:r>
      <w:r>
        <w:rPr>
          <w:rFonts w:ascii="Arial" w:hAnsi="Arial"/>
        </w:rPr>
        <w:t xml:space="preserve">change-detection for Amphan and Yaas; Sentinel-1∩WorldCover∩JRC mask for</w:t>
      </w:r>
      <w:r>
        <w:rPr>
          <w:rFonts w:ascii="Arial" w:hAnsi="Arial"/>
        </w:rPr>
        <w:t xml:space="preserve"> </w:t>
      </w:r>
      <w:r>
        <w:rPr>
          <w:rFonts w:ascii="Arial" w:hAnsi="Arial"/>
        </w:rPr>
        <w:t xml:space="preserve">the agronomic-flood negative class), with no analyst visual</w:t>
      </w:r>
      <w:r>
        <w:rPr>
          <w:rFonts w:ascii="Arial" w:hAnsi="Arial"/>
        </w:rPr>
        <w:t xml:space="preserve"> </w:t>
      </w:r>
      <w:r>
        <w:rPr>
          <w:rFonts w:ascii="Arial" w:hAnsi="Arial"/>
        </w:rPr>
        <w:t xml:space="preserve">interpretation involved. The originally pre-registered PlanetScope</w:t>
      </w:r>
      <w:r>
        <w:rPr>
          <w:rFonts w:ascii="Arial" w:hAnsi="Arial"/>
        </w:rPr>
        <w:t xml:space="preserve"> </w:t>
      </w:r>
      <w:r>
        <w:rPr>
          <w:rFonts w:ascii="Arial" w:hAnsi="Arial"/>
        </w:rPr>
        <w:t xml:space="preserve">NICFI / §E5 Sentinel-2 visual-interpretation fallback path (OSF c4mp8)</w:t>
      </w:r>
      <w:r>
        <w:rPr>
          <w:rFonts w:ascii="Arial" w:hAnsi="Arial"/>
        </w:rPr>
        <w:t xml:space="preserve"> </w:t>
      </w:r>
      <w:r>
        <w:rPr>
          <w:rFonts w:ascii="Arial" w:hAnsi="Arial"/>
        </w:rPr>
        <w:t xml:space="preserve">was not exercised; the team chose to deliver the present automated,</w:t>
      </w:r>
      <w:r>
        <w:rPr>
          <w:rFonts w:ascii="Arial" w:hAnsi="Arial"/>
        </w:rPr>
        <w:t xml:space="preserve"> </w:t>
      </w:r>
      <w:r>
        <w:rPr>
          <w:rFonts w:ascii="Arial" w:hAnsi="Arial"/>
        </w:rPr>
        <w:t xml:space="preserve">reproducible, analyst-independent label provenance instead, and the</w:t>
      </w:r>
      <w:r>
        <w:rPr>
          <w:rFonts w:ascii="Arial" w:hAnsi="Arial"/>
        </w:rPr>
        <w:t xml:space="preserve"> </w:t>
      </w:r>
      <w:r>
        <w:rPr>
          <w:rFonts w:ascii="Arial" w:hAnsi="Arial"/>
        </w:rPr>
        <w:t xml:space="preserve">deviation is logged transparently in the OSF wiki and in §2.4 and §5.4</w:t>
      </w:r>
      <w:r>
        <w:rPr>
          <w:rFonts w:ascii="Arial" w:hAnsi="Arial"/>
        </w:rPr>
        <w:t xml:space="preserve"> </w:t>
      </w:r>
      <w:r>
        <w:rPr>
          <w:rFonts w:ascii="Arial" w:hAnsi="Arial"/>
        </w:rPr>
        <w:t xml:space="preserve">of this manuscript. The full label set is documented in the Mendeley</w:t>
      </w:r>
      <w:r>
        <w:rPr>
          <w:rFonts w:ascii="Arial" w:hAnsi="Arial"/>
        </w:rPr>
        <w:t xml:space="preserve"> </w:t>
      </w:r>
      <w:r>
        <w:rPr>
          <w:rFonts w:ascii="Arial" w:hAnsi="Arial"/>
        </w:rPr>
        <w:t xml:space="preserve">Data deposit (file:</w:t>
      </w:r>
      <w:r>
        <w:rPr>
          <w:rFonts w:ascii="Arial" w:hAnsi="Arial"/>
        </w:rPr>
        <w:t xml:space="preserve"> </w:t>
      </w:r>
      <w:r>
        <w:rPr>
          <w:rStyle w:val="VerbatimChar"/>
          <w:rFonts w:ascii="Arial" w:hAnsi="Arial"/>
        </w:rPr>
        <w:t xml:space="preserve">labels_panel_n480.csv</w:t>
      </w:r>
      <w:r>
        <w:rPr>
          <w:rFonts w:ascii="Arial" w:hAnsi="Arial"/>
        </w:rPr>
        <w:t xml:space="preserve">).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by ≥7 days in cyclone years; TWFE-DiD model with WCR-bootstrap inference quantifies and corrects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00000" cy="4737971"/>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00000" cy="4737971"/>
                    </a:xfrm>
                    <a:prstGeom prst="rect"/>
                  </pic:spPr>
                </pic:pic>
              </a:graphicData>
            </a:graphic>
          </wp:inline>
        </w:drawing>
      </w:r>
    </w:p>
    <w:p>
      <w:pPr>
        <w:jc w:val="center"/>
      </w:pPr>
      <w:r>
        <w:rPr>
          <w:rFonts w:ascii="Arial" w:hAnsi="Arial"/>
          <w:i/>
          <w:sz w:val="18"/>
        </w:rPr>
        <w:t>Figure 1. Study area — five coastal districts of Odisha (Balasore, Bhadrak, Kendrapara, Jagatsinghpur, Puri) with three control districts inland (Cuttack, Dhenkanal, Angul). Cyclone tracks for Fani (2019), Amphan (2020), and Yaas (2021) shown with 50-km IBTrACS buffers. ESA WorldCover v200 cropland mask overlay.</w:t>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reference labels — automated multi-source provenance:</w:t>
      </w:r>
      <w:r>
        <w:rPr>
          <w:rFonts w:ascii="Arial" w:hAnsi="Arial"/>
        </w:rPr>
        <w:t xml:space="preserve"> </w:t>
      </w:r>
      <w:r>
        <w:rPr>
          <w:rFonts w:ascii="Arial" w:hAnsi="Arial"/>
        </w:rPr>
        <w:t xml:space="preserve">A reference-label set of n = 480 binary labels (cyclone-flood vs. agronomic-flood) is generated entirely from public products, with no analyst visual interpretation involved. The label set is partitioned as follows. (i)</w:t>
      </w:r>
      <w:r>
        <w:rPr>
          <w:rFonts w:ascii="Arial" w:hAnsi="Arial"/>
        </w:rPr>
        <w:t xml:space="preserve"> </w:t>
      </w:r>
      <w:r>
        <w:rPr>
          <w:rFonts w:ascii="Arial" w:hAnsi="Arial"/>
          <w:b/>
          <w:bCs/>
        </w:rPr>
        <w:t xml:space="preserve">80 cyclone-flood labels for Fani (3 May 2019)</w:t>
      </w:r>
      <w:r>
        <w:rPr>
          <w:rFonts w:ascii="Arial" w:hAnsi="Arial"/>
        </w:rPr>
        <w:t xml:space="preserve"> </w:t>
      </w:r>
      <w:r>
        <w:rPr>
          <w:rFonts w:ascii="Arial" w:hAnsi="Arial"/>
        </w:rPr>
        <w:t xml:space="preserve">are sampled from the Copernicus Emergency Management Service master delineation EMSR357 (</w:t>
      </w:r>
      <w:r>
        <w:rPr>
          <w:rStyle w:val="VerbatimChar"/>
          <w:rFonts w:ascii="Arial" w:hAnsi="Arial"/>
        </w:rPr>
        <w:t xml:space="preserve">emergency.copernicus.eu/mapping/list-of-components/EMSR357</w:t>
      </w:r>
      <w:r>
        <w:rPr>
          <w:rFonts w:ascii="Arial" w:hAnsi="Arial"/>
        </w:rPr>
        <w:t xml:space="preserve">), the operational reference for the Fani landfall footprint. (ii)</w:t>
      </w:r>
      <w:r>
        <w:rPr>
          <w:rFonts w:ascii="Arial" w:hAnsi="Arial"/>
        </w:rPr>
        <w:t xml:space="preserve"> </w:t>
      </w:r>
      <w:r>
        <w:rPr>
          <w:rFonts w:ascii="Arial" w:hAnsi="Arial"/>
          <w:b/>
          <w:bCs/>
        </w:rPr>
        <w:t xml:space="preserve">80 cyclone-flood labels each for Amphan (20 May 2020) and Yaas (26 May 2021)</w:t>
      </w:r>
      <w:r>
        <w:rPr>
          <w:rFonts w:ascii="Arial" w:hAnsi="Arial"/>
        </w:rPr>
        <w:t xml:space="preserve"> </w:t>
      </w:r>
      <w:r>
        <w:rPr>
          <w:rFonts w:ascii="Arial" w:hAnsi="Arial"/>
        </w:rPr>
        <w:t xml:space="preserve">are generated automatically by Sentinel-1 SAR pre/post change-detection following the methodology of Voigt et al. (2007) and Twele et al. (2016), as standardised by the UN-SPIDER (2019) Recommended Practice for SAR-based flood mapping (Module 08,</w:t>
      </w:r>
      <w:r>
        <w:rPr>
          <w:rFonts w:ascii="Arial" w:hAnsi="Arial"/>
        </w:rPr>
        <w:t xml:space="preserve"> </w:t>
      </w:r>
      <w:r>
        <w:rPr>
          <w:rStyle w:val="VerbatimChar"/>
          <w:rFonts w:ascii="Arial" w:hAnsi="Arial"/>
        </w:rPr>
        <w:t xml:space="preserve">gee/08_S1_flood_detection.js</w:t>
      </w:r>
      <w:r>
        <w:rPr>
          <w:rFonts w:ascii="Arial" w:hAnsi="Arial"/>
        </w:rPr>
        <w:t xml:space="preserve">): pre-event median VH (3 weeks before landfall) minus post-event median VH (within 7 days of landfall), with the empirical −3 dB threshold for inundated cropland anchored to the IBTrACS landfall buffer. (iii)</w:t>
      </w:r>
      <w:r>
        <w:rPr>
          <w:rFonts w:ascii="Arial" w:hAnsi="Arial"/>
        </w:rPr>
        <w:t xml:space="preserve"> </w:t>
      </w:r>
      <w:r>
        <w:rPr>
          <w:rFonts w:ascii="Arial" w:hAnsi="Arial"/>
          <w:b/>
          <w:bCs/>
        </w:rPr>
        <w:t xml:space="preserve">240 agronomic-flood negative labels</w:t>
      </w:r>
      <w:r>
        <w:rPr>
          <w:rFonts w:ascii="Arial" w:hAnsi="Arial"/>
        </w:rPr>
        <w:t xml:space="preserve"> </w:t>
      </w:r>
      <w:r>
        <w:rPr>
          <w:rFonts w:ascii="Arial" w:hAnsi="Arial"/>
        </w:rP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rPr>
          <w:rFonts w:ascii="Arial" w:hAnsi="Arial"/>
        </w:rPr>
        <w:t xml:space="preserve"> </w:t>
      </w:r>
      <w:r>
        <w:rPr>
          <w:rStyle w:val="VerbatimChar"/>
          <w:rFonts w:ascii="Arial" w:hAnsi="Arial"/>
        </w:rPr>
        <w:t xml:space="preserve">labels_panel_n480.csv</w:t>
      </w:r>
      <w:r>
        <w:rPr>
          <w:rFonts w:ascii="Arial" w:hAnsi="Arial"/>
        </w:rPr>
        <w:t xml:space="preserve">).</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760000" cy="3561095"/>
            <wp:docPr id="3" name="Picture 3"/>
            <wp:cNvGraphicFramePr>
              <a:graphicFrameLocks noChangeAspect="1"/>
            </wp:cNvGraphicFramePr>
            <a:graphic>
              <a:graphicData uri="http://schemas.openxmlformats.org/drawingml/2006/picture">
                <pic:pic>
                  <pic:nvPicPr>
                    <pic:cNvPr id="0" name="Fig02_workflow.png"/>
                    <pic:cNvPicPr/>
                  </pic:nvPicPr>
                  <pic:blipFill>
                    <a:blip r:embed="rId11"/>
                    <a:stretch>
                      <a:fillRect/>
                    </a:stretch>
                  </pic:blipFill>
                  <pic:spPr>
                    <a:xfrm>
                      <a:off x="0" y="0"/>
                      <a:ext cx="5760000" cy="3561095"/>
                    </a:xfrm>
                    <a:prstGeom prst="rect"/>
                  </pic:spPr>
                </pic:pic>
              </a:graphicData>
            </a:graphic>
          </wp:inline>
        </w:drawing>
      </w:r>
    </w:p>
    <w:p>
      <w:pPr>
        <w:jc w:val="center"/>
      </w:pPr>
      <w:r>
        <w:rPr>
          <w:rFonts w:ascii="Arial" w:hAnsi="Arial"/>
          <w:i/>
          <w:sz w:val="18"/>
        </w:rPr>
        <w:t>Figure 2. Analytical workflow. Six sequential stages: (i) GEE pre-processing and monthly stack assembly; (ii) saline-flood classifier training and application; (iii) phenology extraction via Whittaker-smoothed double-logistic fitting; (iv) parallel raw vs. corrected pipeline runs; (v) TWFE-DiD estimation with district-clustered inference; (vi) five-instrument robustness suite.</w:t>
      </w:r>
    </w:p>
    <w:p>
      <w:pPr>
        <w:jc w:val="center"/>
      </w:pPr>
      <w:r>
        <w:drawing>
          <wp:inline>
            <wp:extent cx="5040000" cy="4375267"/>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040000" cy="4375267"/>
                    </a:xfrm>
                    <a:prstGeom prst="rect"/>
                  </pic:spPr>
                </pic:pic>
              </a:graphicData>
            </a:graphic>
          </wp:inline>
        </w:drawing>
      </w:r>
    </w:p>
    <w:p>
      <w:pPr>
        <w:jc w:val="center"/>
      </w:pPr>
      <w:r>
        <w:rPr>
          <w:rFonts w:ascii="Arial" w:hAnsi="Arial"/>
          <w:i/>
          <w:sz w:val="18"/>
        </w:rPr>
        <w:t>Figure 1B. Pearl-style identification DAG. Cyclone landfall (T) opens two pathways into the SAR backscatter trough: a legitimate transplanting-flood pathway and a confounding saline-surge pathway. Module 02 (the saline-flood classifier) intercepts the confounding pathway; the remaining backscatter trough identifies the agronomic SOS.</w:t>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effect (§3.7.5).</w:t>
      </w:r>
    </w:p>
    <w:p>
      <w:pPr>
        <w:jc w:val="center"/>
      </w:pPr>
      <w:r>
        <w:drawing>
          <wp:inline>
            <wp:extent cx="5760000" cy="2218590"/>
            <wp:docPr id="7" name="Picture 7"/>
            <wp:cNvGraphicFramePr>
              <a:graphicFrameLocks noChangeAspect="1"/>
            </wp:cNvGraphicFramePr>
            <a:graphic>
              <a:graphicData uri="http://schemas.openxmlformats.org/drawingml/2006/picture">
                <pic:pic>
                  <pic:nvPicPr>
                    <pic:cNvPr id="0" name="Fig09_uncertainty.png"/>
                    <pic:cNvPicPr/>
                  </pic:nvPicPr>
                  <pic:blipFill>
                    <a:blip r:embed="rId15"/>
                    <a:stretch>
                      <a:fillRect/>
                    </a:stretch>
                  </pic:blipFill>
                  <pic:spPr>
                    <a:xfrm>
                      <a:off x="0" y="0"/>
                      <a:ext cx="5760000" cy="2218590"/>
                    </a:xfrm>
                    <a:prstGeom prst="rect"/>
                  </pic:spPr>
                </pic:pic>
              </a:graphicData>
            </a:graphic>
          </wp:inline>
        </w:drawing>
      </w:r>
    </w:p>
    <w:p>
      <w:pPr>
        <w:jc w:val="center"/>
      </w:pPr>
      <w:r>
        <w:rPr>
          <w:rFonts w:ascii="Arial" w:hAnsi="Arial"/>
          <w:i/>
          <w:sz w:val="18"/>
        </w:rPr>
        <w:t>Figure 9. Pixel-level bootstrap 95% CI half-width for corrected SOS dates. Uncertainty highest in coastal shoreline pixels (cloud-gap-affected) and pixels with classifier marginal probability 0.4–0.6.</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jc w:val="center"/>
      </w:pPr>
      <w:r>
        <w:drawing>
          <wp:inline>
            <wp:extent cx="5760000" cy="2729087"/>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760000" cy="2729087"/>
                    </a:xfrm>
                    <a:prstGeom prst="rect"/>
                  </pic:spPr>
                </pic:pic>
              </a:graphicData>
            </a:graphic>
          </wp:inline>
        </w:drawing>
      </w:r>
    </w:p>
    <w:p>
      <w:pPr>
        <w:jc w:val="center"/>
      </w:pPr>
      <w:r>
        <w:rPr>
          <w:rFonts w:ascii="Arial" w:hAnsi="Arial"/>
          <w:i/>
          <w:sz w:val="18"/>
        </w:rPr>
        <w:t>Figure 3. Event-study coefficients (Eq. 5) for the three phenometrics under raw and corrected pipelines, with k = −1 (2018) the omitted reference. Pre-treatment leads (k = −2) lie within ±2 d of zero, supporting no-anticipation. CR1-clustered 95% CIs shown.</w:t>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real v2.1 panel the in-space permutation test (Table S7)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reassignments only for the EOS cells (raw/EOS and corrected/EOS at the design floor</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0.018</m:t>
        </m:r>
      </m:oMath>
      <w:r>
        <w:rPr>
          <w:rFonts w:ascii="Arial" w:hAnsi="Arial"/>
        </w:rPr>
        <w:t xml:space="preserve">); SOS and POS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and yield</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0.50</m:t>
        </m:r>
      </m:oMath>
      <w:r>
        <w:rPr>
          <w:rFonts w:ascii="Arial" w:hAnsi="Arial"/>
        </w:rPr>
        <w:t xml:space="preserve"> </w:t>
      </w:r>
      <w:r>
        <w:rPr>
          <w:rFonts w:ascii="Arial" w:hAnsi="Arial"/>
        </w:rPr>
        <w:t xml:space="preserve">(SOS) and 0.286 (POS), consistent with the small-G null result. The corrected/EOS cell — the smallest |</w:t>
      </w:r>
      <m:oMath>
        <m:acc>
          <m:accPr>
            <m:chr m:val="̂"/>
          </m:accPr>
          <m:e>
            <m:r>
              <m:t>τ</m:t>
            </m:r>
          </m:e>
        </m:acc>
      </m:oMath>
      <w:r>
        <w:rPr>
          <w:rFonts w:ascii="Arial" w:hAnsi="Arial"/>
        </w:rP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real v2.1 panel, MDE₂-sided ranges from 0.55 d (corrected/EOS) to 56.5 d (raw/SOS), and</w:t>
      </w:r>
      <w:r>
        <w:rPr>
          <w:rFonts w:ascii="Arial" w:hAnsi="Arial"/>
        </w:rPr>
        <w:t xml:space="preserve"> </w:t>
      </w:r>
      <m:oMath>
        <m:d>
          <m:dPr>
            <m:begChr m:val="|"/>
            <m:endChr m:val="|"/>
            <m:sepChr m:val=""/>
            <m:grow/>
          </m:dPr>
          <m:e>
            <m:acc>
              <m:accPr>
                <m:chr m:val="̂"/>
              </m:accPr>
              <m:e>
                <m:r>
                  <m:t>τ</m:t>
                </m:r>
              </m:e>
            </m:acc>
          </m:e>
        </m:d>
        <m:r>
          <m:rPr>
            <m:sty m:val="p"/>
          </m:rPr>
          <m:t>/</m:t>
        </m:r>
      </m:oMath>
      <w:r>
        <w:rPr>
          <w:rFonts w:ascii="Arial" w:hAnsi="Arial"/>
        </w:rPr>
        <w:t xml:space="preserve">MDE ranges from 0.27 (raw/SOS) to 0.43 (corrected/EOS); none of the six observed effects exceeds its MDE at</w:t>
      </w:r>
      <w:r>
        <w:rPr>
          <w:rFonts w:ascii="Arial" w:hAnsi="Arial"/>
        </w:rPr>
        <w:t xml:space="preserve"> </w:t>
      </w:r>
      <m:oMath>
        <m:r>
          <m:t>α</m:t>
        </m:r>
        <m:r>
          <m:rPr>
            <m:sty m:val="p"/>
          </m:rPr>
          <m:t>=</m:t>
        </m:r>
        <m:r>
          <m:t>0.05</m:t>
        </m:r>
      </m:oMath>
      <w:r>
        <w:rPr>
          <w:rFonts w:ascii="Arial" w:hAnsi="Arial"/>
        </w:rP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3c and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p>
      <w:pPr>
        <w:jc w:val="center"/>
      </w:pPr>
      <w:r>
        <w:drawing>
          <wp:inline>
            <wp:extent cx="5760000" cy="387431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760000" cy="3874318"/>
                    </a:xfrm>
                    <a:prstGeom prst="rect"/>
                  </pic:spPr>
                </pic:pic>
              </a:graphicData>
            </a:graphic>
          </wp:inline>
        </w:drawing>
      </w:r>
    </w:p>
    <w:p>
      <w:pPr>
        <w:jc w:val="center"/>
      </w:pPr>
      <w:r>
        <w:rPr>
          <w:rFonts w:ascii="Arial" w:hAnsi="Arial"/>
          <w:i/>
          <w:sz w:val="18"/>
        </w:rPr>
        <w:t>Figure 4. Per-district SOS time-series (2017–2022) for the five coastal-treated districts and three inland-control districts under the v2.1-corrected pipeline. Treatment-year SOS shifts visible at Bhadrak (Yaas 2021) and Kendrapara (Amphan 2020).</w:t>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(Figures 5–6; per-(district, year, metric) values in Table S13a). Across the 13 cyclone-affected district-year cells in the v2.1 correction summary (4 Fani 2019, 4 Amphan 2020, 5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3.6.1, Limitation 6).</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Figure 2).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a Δτ̂ =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Δτ̂ =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0.4065,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0.2293,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0.2047,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 τ̂ by 76.1 % and corrected/SOS τ̂ by 76.7 %; Cuttack removal shifts raw/POS τ̂ by 55.8 % and corrected/POS τ̂ by 54.7 %; Bhadrak removal shifts corrected/EOS τ̂ 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 within ±76.5 d of zero across all six cells — the largest in absolute value being raw/SOS at +1.68 d, less than one-third of the real coefficient; (v) the post-hoc minimum detectable effect analysis (Table S6) shows that</w:t>
      </w:r>
      <w:r>
        <w:rPr>
          <w:rFonts w:ascii="Arial" w:hAnsi="Arial"/>
        </w:rPr>
        <w:t xml:space="preserve"> </w:t>
      </w:r>
      <w:r>
        <w:rPr>
          <w:rFonts w:ascii="Arial" w:hAnsi="Arial"/>
          <w:i/>
          <w:iCs/>
        </w:rPr>
        <w:t xml:space="preserve">no</w:t>
      </w:r>
      <w:r>
        <w:rPr>
          <w:rFonts w:ascii="Arial" w:hAnsi="Arial"/>
        </w:rPr>
        <w:t xml:space="preserve"> </w:t>
      </w:r>
      <w:r>
        <w:rPr>
          <w:rFonts w:ascii="Arial" w:hAnsi="Arial"/>
        </w:rPr>
        <w:t xml:space="preserve">observed effect exceeds its MDE under the small-G regime (G = 8, df = 7,</w:t>
      </w:r>
      <w:r>
        <w:rPr>
          <w:rFonts w:ascii="Arial" w:hAnsi="Arial"/>
        </w:rPr>
        <w:t xml:space="preserve"> </w:t>
      </w:r>
      <m:oMath>
        <m:r>
          <m:t>α</m:t>
        </m:r>
      </m:oMath>
      <w:r>
        <w:rPr>
          <w:rFonts w:ascii="Arial" w:hAnsi="Arial"/>
        </w:rPr>
        <w:t xml:space="preserve"> </w:t>
      </w:r>
      <w:r>
        <w:rPr>
          <w:rFonts w:ascii="Arial" w:hAnsi="Arial"/>
        </w:rPr>
        <w:t xml:space="preserve">= 0.05, power = 0.80): MDE₂-sided ranges from 0.55 d (corrected/EOS) to 56.5 d (raw/SOS), and the largest |τ̂|/MDE ratio across the six cells is 0.43 (corrected/EOS) — i.e. every observed effect is smaller than the effect size the design can detect with 80 % power at α = 0.05. This is the formal small-G underpowering result that mirrors the WCR null conclusions in (i): the study is</w:t>
      </w:r>
      <w:r>
        <w:rPr>
          <w:rFonts w:ascii="Arial" w:hAnsi="Arial"/>
        </w:rPr>
        <w:t xml:space="preserve"> </w:t>
      </w:r>
      <w:r>
        <w:rPr>
          <w:rFonts w:ascii="Arial" w:hAnsi="Arial"/>
          <w:i/>
          <w:iCs/>
        </w:rPr>
        <w:t xml:space="preserve">underpowered to detect</w:t>
      </w:r>
      <w:r>
        <w:rPr>
          <w:rFonts w:ascii="Arial" w:hAnsi="Arial"/>
        </w:rPr>
        <w:t xml:space="preserve"> </w:t>
      </w:r>
      <w:r>
        <w:rPr>
          <w:rFonts w:ascii="Arial" w:hAnsi="Arial"/>
        </w:rPr>
        <w:t xml:space="preserve">any of the observed effects at conventional thresholds, not that the effects are absent. The corrected/EOS cell — the smallest |τ̂|/MDE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jc w:val="center"/>
      </w:pPr>
      <w:r>
        <w:drawing>
          <wp:inline>
            <wp:extent cx="5400000" cy="3205273"/>
            <wp:docPr id="6" name="Picture 6"/>
            <wp:cNvGraphicFramePr>
              <a:graphicFrameLocks noChangeAspect="1"/>
            </wp:cNvGraphicFramePr>
            <a:graphic>
              <a:graphicData uri="http://schemas.openxmlformats.org/drawingml/2006/picture">
                <pic:pic>
                  <pic:nvPicPr>
                    <pic:cNvPr id="0" name="fig6_placebo_distribution.png"/>
                    <pic:cNvPicPr/>
                  </pic:nvPicPr>
                  <pic:blipFill>
                    <a:blip r:embed="rId14"/>
                    <a:stretch>
                      <a:fillRect/>
                    </a:stretch>
                  </pic:blipFill>
                  <pic:spPr>
                    <a:xfrm>
                      <a:off x="0" y="0"/>
                      <a:ext cx="5400000" cy="3205273"/>
                    </a:xfrm>
                    <a:prstGeom prst="rect"/>
                  </pic:spPr>
                </pic:pic>
              </a:graphicData>
            </a:graphic>
          </wp:inline>
        </w:drawing>
      </w:r>
    </w:p>
    <w:p>
      <w:pPr>
        <w:jc w:val="center"/>
      </w:pPr>
      <w:r>
        <w:rPr>
          <w:rFonts w:ascii="Arial" w:hAnsi="Arial"/>
          <w:i/>
          <w:sz w:val="18"/>
        </w:rPr>
        <w:t>Figure 6. In-space placebo distribution from donor-swap permutation (56 reassignments of treatment status to inland-control districts). Real τ̂ marked by red dashed line. Corrected/EOS cell hits the design-floor p_perm = 0.018 at G = 8.</w:t>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six Bulbul-rainfall districts (West Bengal coast, November 2019) yields per-district residuals against the trained τ̂_corrected_SOS = +15.11 d that are predominantly negative (Boudh −2.09 d, Ganjam −5.85 d, Kandhamal −1.44 d, Khordha −3.02 d, Mayurbhanj −0.39 d, Nayagarh +1.34 d; mean residual −2.08 d; 5 of 6 districts &lt; 0). This pattern — directionally inconsistent with positive transfer — is itself a meaningful, falsifiable result: it indicates that the surge-trained v2.1 correction does not extrapolate to a post-monsoon rainfall-dominated event, providing evidence that the correction mechanism is</w:t>
      </w:r>
      <w:r>
        <w:rPr>
          <w:rFonts w:ascii="Arial" w:hAnsi="Arial"/>
        </w:rPr>
        <w:t xml:space="preserve"> </w:t>
      </w:r>
      <w:r>
        <w:rPr>
          <w:rFonts w:ascii="Arial" w:hAnsi="Arial"/>
          <w:i/>
          <w:iCs/>
        </w:rPr>
        <w:t xml:space="preserve">cyclone-class-specific</w:t>
      </w:r>
      <w:r>
        <w:rPr>
          <w:rFonts w:ascii="Arial" w:hAnsi="Arial"/>
        </w:rPr>
        <w:t xml:space="preserve"> </w:t>
      </w:r>
      <w:r>
        <w:rPr>
          <w:rFonts w:ascii="Arial" w:hAnsi="Arial"/>
        </w:rPr>
        <w:t xml:space="preserve">rather than a universal SAR-flood adjustment. The pixel-share weighting that drives the v2.1 correction depends on the trained classifier’s mask, which was learnt on summer-monsoon surge events; the Bulbul probe shows that this mask does not capture the spatial-temporal signature of post-monsoon freshwater rainfall.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 and is reported as a falsifiability check, not as support for blanket transferability.</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Contribution</w:t>
            </w:r>
          </w:p>
        </w:tc>
        <w:tc>
          <w:tcPr/>
          <w:p>
            <w:pPr>
              <w:pStyle w:val="Compact"/>
              <w:jc w:val="left"/>
            </w:pPr>
            <w:r>
              <w:rPr>
                <w:rFonts w:ascii="Arial" w:hAnsi="Arial"/>
                <w:sz w:val="18"/>
              </w:rPr>
              <w:t xml:space="preserve">Supranab Panda (Lead)</w:t>
            </w:r>
          </w:p>
        </w:tc>
        <w:tc>
          <w:tcPr/>
          <w:p>
            <w:pPr>
              <w:pStyle w:val="Compact"/>
              <w:jc w:val="left"/>
            </w:pPr>
            <w:r>
              <w:rPr>
                <w:rFonts w:ascii="Arial" w:hAnsi="Arial"/>
                <w:sz w:val="18"/>
              </w:rPr>
              <w:t xml:space="preserve">Sarat Chandra Sahu</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Software (GEE code)</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bl>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Fonts w:ascii="Arial" w:hAnsi="Arial"/>
        </w:rPr>
        <w:t xml:space="preserve">labels_panel_n480.csv</w:t>
      </w:r>
      <w:r>
        <w:rPr>
          <w:rFonts w:ascii="Arial" w:hAnsi="Arial"/>
        </w:rPr>
        <w:t xml:space="preserve">,</w:t>
      </w:r>
      <w:r>
        <w:rPr>
          <w:rFonts w:ascii="Arial" w:hAnsi="Arial"/>
        </w:rPr>
        <w:t xml:space="preserve"> </w:t>
      </w:r>
      <w:r>
        <w:rPr>
          <w:rStyle w:val="VerbatimChar"/>
          <w:rFonts w:ascii="Arial" w:hAnsi="Arial"/>
        </w:rPr>
        <w:t xml:space="preserve">labels_features_n480.csv</w:t>
      </w:r>
      <w:r>
        <w:rPr>
          <w:rFonts w:ascii="Arial" w:hAnsi="Arial"/>
        </w:rPr>
        <w:t xml:space="preserve">)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r>
        <w:rPr>
          <w:rFonts w:ascii="Arial" w:hAnsi="Arial"/>
        </w:rPr>
        <w:pict>
          <v:rect style="width:0;height:1.5pt" o:hralign="center" o:hrstd="t" o:hr="t"/>
        </w:pict>
      </w:r>
    </w:p>
    <w:p>
      <w:pPr>
        <w:pStyle w:val="FirstParagraph"/>
      </w:pPr>
      <w:r>
        <w:rPr>
          <w:rFonts w:ascii="Arial" w:hAnsi="Arial"/>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(τ̂_SOS: 15.289 → 15.108 d, Δτ̂ = −0.181 d; τ̂_POS: −3.587 → −3.677 d, Δτ̂ = −0.090 d; τ̂_EOS: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2026-06-08T12:34:40Z</dcterms:created>
  <dcterms:modified xsi:type="dcterms:W3CDTF">2026-06-08T12:34:40Z</dcterms:modified>
</cp:coreProperties>
</file>

<file path=docProps/custom.xml><?xml version="1.0" encoding="utf-8"?>
<Properties xmlns="http://schemas.openxmlformats.org/officeDocument/2006/custom-properties" xmlns:vt="http://schemas.openxmlformats.org/officeDocument/2006/docPropsVTypes"/>
</file>