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3A5F"/>
          <w:sz w:val="52"/>
        </w:rPr>
        <w:t>Supplementary Material</w:t>
      </w:r>
    </w:p>
    <w:p>
      <w:pPr>
        <w:spacing w:before="160"/>
        <w:jc w:val="center"/>
      </w:pPr>
      <w:r>
        <w:rPr>
          <w:rFonts w:ascii="Arial" w:hAnsi="Arial"/>
          <w:i/>
          <w:color w:val="404040"/>
          <w:sz w:val="28"/>
        </w:rPr>
        <w:t>Cyclonic damage to coastal Odisha rice systems:</w:t>
        <w:br/>
        <w:t>a Sentinel-driven Before–After / Control–Impact (BACI) design with pre-registered identification</w:t>
      </w:r>
    </w:p>
    <w:p>
      <w:pPr>
        <w:spacing w:before="800"/>
        <w:jc w:val="center"/>
      </w:pPr>
      <w:r>
        <w:rPr>
          <w:rFonts w:ascii="Arial" w:hAnsi="Arial"/>
          <w:b/>
          <w:sz w:val="24"/>
        </w:rPr>
        <w:t>Supranab Panda</w:t>
      </w:r>
      <w:r>
        <w:rPr>
          <w:rFonts w:ascii="Arial" w:hAnsi="Arial"/>
          <w:sz w:val="20"/>
        </w:rPr>
        <w:br/>
      </w:r>
      <w:r>
        <w:rPr>
          <w:rFonts w:ascii="Arial" w:hAnsi="Arial"/>
          <w:sz w:val="20"/>
        </w:rPr>
        <w:t>ORCID 0009-0009-6496-6545</w:t>
      </w:r>
      <w:r>
        <w:rPr>
          <w:rFonts w:ascii="Arial" w:hAnsi="Arial"/>
          <w:sz w:val="20"/>
        </w:rPr>
        <w:br/>
      </w:r>
      <w:r>
        <w:rPr>
          <w:rFonts w:ascii="Arial" w:hAnsi="Arial"/>
          <w:sz w:val="20"/>
        </w:rPr>
        <w:t>Corresponding author: pandasupranab@gmail.com</w:t>
      </w:r>
    </w:p>
    <w:p>
      <w:pPr>
        <w:spacing w:before="800"/>
        <w:jc w:val="center"/>
      </w:pPr>
      <w:r>
        <w:rPr>
          <w:rFonts w:ascii="Arial" w:hAnsi="Arial"/>
          <w:color w:val="404040"/>
          <w:sz w:val="20"/>
        </w:rPr>
        <w:t>Pre-registration: OSF c4mp8 (DOI 10.17605/OSF.IO/C4MP8)</w:t>
        <w:br/>
      </w:r>
      <w:r>
        <w:rPr>
          <w:rFonts w:ascii="Arial" w:hAnsi="Arial"/>
          <w:color w:val="404040"/>
          <w:sz w:val="20"/>
        </w:rPr>
        <w:t>Code: github.com/pandasupranab/RiceBaCI-GEE (release v1.0.1-submission)</w:t>
        <w:br/>
      </w:r>
      <w:r>
        <w:rPr>
          <w:rFonts w:ascii="Arial" w:hAnsi="Arial"/>
          <w:color w:val="404040"/>
          <w:sz w:val="20"/>
        </w:rPr>
        <w:t>Concept DOI: 10.5281/zenodo.20024578 · This-version DOI: 10.5281/zenodo.20587316</w:t>
        <w:br/>
      </w:r>
      <w:r>
        <w:rPr>
          <w:rFonts w:ascii="Arial" w:hAnsi="Arial"/>
          <w:color w:val="404040"/>
          <w:sz w:val="20"/>
        </w:rPr>
        <w:t>Mendeley Data: 10.17632/z3zxk4xy3c.1</w:t>
        <w:br/>
      </w:r>
      <w:r>
        <w:rPr>
          <w:rFonts w:ascii="Arial" w:hAnsi="Arial"/>
          <w:color w:val="404040"/>
          <w:sz w:val="20"/>
        </w:rPr>
        <w:t>Compiled: 2026-06-09 (v2.1 real-data build)</w:t>
        <w:br/>
      </w:r>
    </w:p>
    <w:p>
      <w:r>
        <w:rPr>
          <w:rFonts w:ascii="Arial" w:hAnsi="Arial"/>
          <w:sz w:val="20"/>
        </w:rPr>
        <w:br w:type="page"/>
      </w:r>
    </w:p>
    <w:p>
      <w:pPr>
        <w:keepNext/>
        <w:spacing w:before="240" w:after="120"/>
      </w:pPr>
      <w:bookmarkStart w:id="69369" w:name="provenance"/>
      <w:r>
        <w:rPr>
          <w:rFonts w:ascii="Arial" w:hAnsi="Arial"/>
          <w:b/>
          <w:color w:val="A12C7B"/>
          <w:sz w:val="32"/>
        </w:rPr>
        <w:t>Data provenance declaration</w:t>
      </w:r>
      <w:bookmarkEnd w:id="69369"/>
    </w:p>
    <w:p>
      <w:r>
        <w:rPr>
          <w:rFonts w:ascii="Arial" w:hAnsi="Arial"/>
          <w:sz w:val="20"/>
        </w:rPr>
        <w:t>This supplement reports the v2.1 real-data build of the RiceBaCI-GEE analysis (release v1.0.1-submission). All numerical results in Tables S1–S9 and Figures S1–S2 are produced from observational data sources; no synthetic or placeholder values remain. Inputs are:</w:t>
      </w:r>
    </w:p>
    <w:p>
      <w:pPr>
        <w:pStyle w:val="ListBullet"/>
      </w:pPr>
      <w:r>
        <w:rPr>
          <w:rFonts w:ascii="Arial" w:hAnsi="Arial"/>
          <w:sz w:val="20"/>
        </w:rPr>
        <w:t>Sentinel-2 L2A phenology panel — SOS / POS / EOS retrieved from district-mean monthly NDVI (double-logistic fit with 30% amplitude threshold fallback) via the Microsoft Planetary Computer STAC API. Drives Tables S1, S2, S4, S5, S6, S7 and Modules 05 / 05a / 05d / 05e / 06 / 07 / 09. v2.1 corrected-SOS τ̂ = +15.108 d (SE 17.312 d).</w:t>
      </w:r>
    </w:p>
    <w:p>
      <w:pPr>
        <w:pStyle w:val="ListBullet"/>
      </w:pPr>
      <w:r>
        <w:rPr>
          <w:rFonts w:ascii="Arial" w:hAnsi="Arial"/>
          <w:sz w:val="20"/>
        </w:rPr>
        <w:t>Cyclone landfall climatology — IBTrACS NI v04r01 pre-Kharif Bay-of-Bengal landfalls 1981–2018 (n = 26, lifetime V_max). Fani 2019, Amphan 2020, Yaas 2021, Bulbul 2019 parameters from IMD best-track. Table S8 / Figure S1 use real points on a Natural Earth coastline.</w:t>
      </w:r>
    </w:p>
    <w:p>
      <w:pPr>
        <w:pStyle w:val="ListBullet"/>
      </w:pPr>
      <w:r>
        <w:rPr>
          <w:rFonts w:ascii="Arial" w:hAnsi="Arial"/>
          <w:sz w:val="20"/>
        </w:rPr>
        <w:t>Bulbul (2019) transferability probe (Note S1 / Table S3) — real Sentinel-2 SOS retrieval for six probe districts (Boudh, Ganjam, Khordha, Nayagarh paddy-dominant; Mayurbhanj, Kandhamal forest-dominated AOIs flagged on April-baseline NDVI &gt; 0.40). 4 / 4 paddy probes inside the v2.1 95% prediction interval [−36.57, +66.78] d.</w:t>
      </w:r>
    </w:p>
    <w:p>
      <w:pPr>
        <w:pStyle w:val="ListBullet"/>
      </w:pPr>
      <w:r>
        <w:rPr>
          <w:rFonts w:ascii="Arial" w:hAnsi="Arial"/>
          <w:sz w:val="20"/>
        </w:rPr>
        <w:t>Sentinel-1 dual-polarisation backscatter signatures (Module 12) — district-level ΔVH / ΔVV / ΔCR profiles from IW GRD time-series over the four 2019 Bulbul probe districts, anchored to Hoshikawa 2023, Wali 2020, Filipponi 2019, Konkathi 2024, Lee &amp; Pottier 2009. Table S9 / Figure S2.</w:t>
      </w:r>
    </w:p>
    <w:p>
      <w:pPr>
        <w:pStyle w:val="ListBullet"/>
      </w:pPr>
      <w:r>
        <w:rPr>
          <w:rFonts w:ascii="Arial" w:hAnsi="Arial"/>
          <w:sz w:val="20"/>
        </w:rPr>
        <w:t>Module 02 saline-flood random-forest baseline — retrained on Sentinel-1 labelled pixels collected via the Module 05/07/09 active-learning loop; model card RF_Model_Card_v0.3.0.json.</w:t>
      </w:r>
    </w:p>
    <w:p>
      <w:r>
        <w:rPr>
          <w:rFonts w:ascii="Arial" w:hAnsi="Arial"/>
          <w:i/>
          <w:sz w:val="20"/>
        </w:rPr>
        <w:t>All structural claims (study design, identification strategy, falsifiability conditions, mechanism physics, climatological framing, code organisation) were specified in the OSF pre-registration prior to observing the v2.1 estimates. No modelling decision in this document is post-hoc to the data.</w:t>
      </w:r>
    </w:p>
    <w:p>
      <w:r>
        <w:rPr>
          <w:rFonts w:ascii="Arial" w:hAnsi="Arial"/>
          <w:sz w:val="20"/>
        </w:rPr>
        <w:br w:type="page"/>
      </w:r>
    </w:p>
    <w:p>
      <w:pPr>
        <w:keepNext/>
        <w:spacing w:before="240" w:after="120"/>
      </w:pPr>
      <w:bookmarkStart w:id="98804" w:name="toc"/>
      <w:r>
        <w:rPr>
          <w:rFonts w:ascii="Arial" w:hAnsi="Arial"/>
          <w:b/>
          <w:color w:val="141414"/>
          <w:sz w:val="32"/>
        </w:rPr>
        <w:t>Contents</w:t>
      </w:r>
      <w:bookmarkEnd w:id="98804"/>
    </w:p>
    <w:p>
      <w:pPr>
        <w:tabs>
          <w:tab w:pos="2268" w:val="left"/>
        </w:tabs>
        <w:spacing w:after="40"/>
      </w:pPr>
      <w:r>
        <w:rPr>
          <w:rFonts w:ascii="Arial" w:hAnsi="Arial"/>
          <w:b/>
          <w:sz w:val="20"/>
        </w:rPr>
        <w:t>Note S1</w:t>
      </w:r>
      <w:r>
        <w:rPr>
          <w:rFonts w:ascii="Arial" w:hAnsi="Arial"/>
          <w:sz w:val="20"/>
        </w:rPr>
        <w:tab/>
        <w:t>Bulbul (2019) transferability probe</w:t>
      </w:r>
    </w:p>
    <w:p>
      <w:pPr>
        <w:tabs>
          <w:tab w:pos="2268" w:val="left"/>
        </w:tabs>
        <w:spacing w:after="40"/>
      </w:pPr>
      <w:r>
        <w:rPr>
          <w:rFonts w:ascii="Arial" w:hAnsi="Arial"/>
          <w:b/>
          <w:sz w:val="20"/>
        </w:rPr>
        <w:t>Note S2</w:t>
      </w:r>
      <w:r>
        <w:rPr>
          <w:rFonts w:ascii="Arial" w:hAnsi="Arial"/>
          <w:sz w:val="20"/>
        </w:rPr>
        <w:tab/>
        <w:t>Pre-Kharif Bay-of-Bengal cyclone climatology</w:t>
      </w:r>
    </w:p>
    <w:p>
      <w:pPr>
        <w:tabs>
          <w:tab w:pos="2268" w:val="left"/>
        </w:tabs>
        <w:spacing w:after="40"/>
      </w:pPr>
      <w:r>
        <w:rPr>
          <w:rFonts w:ascii="Arial" w:hAnsi="Arial"/>
          <w:b/>
          <w:sz w:val="20"/>
        </w:rPr>
        <w:t>Note S3</w:t>
      </w:r>
      <w:r>
        <w:rPr>
          <w:rFonts w:ascii="Arial" w:hAnsi="Arial"/>
          <w:sz w:val="20"/>
        </w:rPr>
        <w:tab/>
        <w:t>Sentinel-1 dual-polarisation backscatter signatures</w:t>
      </w:r>
    </w:p>
    <w:p>
      <w:pPr>
        <w:tabs>
          <w:tab w:pos="2268" w:val="left"/>
        </w:tabs>
        <w:spacing w:after="40"/>
      </w:pPr>
      <w:r>
        <w:rPr>
          <w:rFonts w:ascii="Arial" w:hAnsi="Arial"/>
          <w:b/>
          <w:sz w:val="20"/>
        </w:rPr>
        <w:t>Note S4</w:t>
      </w:r>
      <w:r>
        <w:rPr>
          <w:rFonts w:ascii="Arial" w:hAnsi="Arial"/>
          <w:sz w:val="20"/>
        </w:rPr>
        <w:tab/>
        <w:t>Small-G power / minimum detectable effect simulator</w:t>
      </w:r>
    </w:p>
    <w:p>
      <w:pPr>
        <w:tabs>
          <w:tab w:pos="2268" w:val="left"/>
        </w:tabs>
        <w:spacing w:after="40"/>
      </w:pPr>
      <w:r>
        <w:rPr>
          <w:rFonts w:ascii="Arial" w:hAnsi="Arial"/>
          <w:b/>
          <w:sz w:val="20"/>
        </w:rPr>
        <w:t>Table S1</w:t>
      </w:r>
      <w:r>
        <w:rPr>
          <w:rFonts w:ascii="Arial" w:hAnsi="Arial"/>
          <w:sz w:val="20"/>
        </w:rPr>
        <w:tab/>
        <w:t>Static TWFE-DiD point estimates (SOS, POS, EOS)</w:t>
      </w:r>
    </w:p>
    <w:p>
      <w:pPr>
        <w:tabs>
          <w:tab w:pos="2268" w:val="left"/>
        </w:tabs>
        <w:spacing w:after="40"/>
      </w:pPr>
      <w:r>
        <w:rPr>
          <w:rFonts w:ascii="Arial" w:hAnsi="Arial"/>
          <w:b/>
          <w:sz w:val="20"/>
        </w:rPr>
        <w:t>Table S2</w:t>
      </w:r>
      <w:r>
        <w:rPr>
          <w:rFonts w:ascii="Arial" w:hAnsi="Arial"/>
          <w:sz w:val="20"/>
        </w:rPr>
        <w:tab/>
        <w:t>Pre-trend tests on the BACI panel</w:t>
      </w:r>
    </w:p>
    <w:p>
      <w:pPr>
        <w:tabs>
          <w:tab w:pos="2268" w:val="left"/>
        </w:tabs>
        <w:spacing w:after="40"/>
      </w:pPr>
      <w:r>
        <w:rPr>
          <w:rFonts w:ascii="Arial" w:hAnsi="Arial"/>
          <w:b/>
          <w:sz w:val="20"/>
        </w:rPr>
        <w:t>Table S3</w:t>
      </w:r>
      <w:r>
        <w:rPr>
          <w:rFonts w:ascii="Arial" w:hAnsi="Arial"/>
          <w:sz w:val="20"/>
        </w:rPr>
        <w:tab/>
        <w:t>Bulbul transferability — district-level residuals</w:t>
      </w:r>
    </w:p>
    <w:p>
      <w:pPr>
        <w:tabs>
          <w:tab w:pos="2268" w:val="left"/>
        </w:tabs>
        <w:spacing w:after="40"/>
      </w:pPr>
      <w:r>
        <w:rPr>
          <w:rFonts w:ascii="Arial" w:hAnsi="Arial"/>
          <w:b/>
          <w:sz w:val="20"/>
        </w:rPr>
        <w:t>Table S4</w:t>
      </w:r>
      <w:r>
        <w:rPr>
          <w:rFonts w:ascii="Arial" w:hAnsi="Arial"/>
          <w:sz w:val="20"/>
        </w:rPr>
        <w:tab/>
        <w:t>Wild-cluster bootstrap 95% CIs (G = 8)</w:t>
      </w:r>
    </w:p>
    <w:p>
      <w:pPr>
        <w:tabs>
          <w:tab w:pos="2268" w:val="left"/>
        </w:tabs>
        <w:spacing w:after="40"/>
      </w:pPr>
      <w:r>
        <w:rPr>
          <w:rFonts w:ascii="Arial" w:hAnsi="Arial"/>
          <w:b/>
          <w:sz w:val="20"/>
        </w:rPr>
        <w:t>Table S5</w:t>
      </w:r>
      <w:r>
        <w:rPr>
          <w:rFonts w:ascii="Arial" w:hAnsi="Arial"/>
          <w:sz w:val="20"/>
        </w:rPr>
        <w:tab/>
        <w:t>Jackknife leave-one-out (district + year)</w:t>
      </w:r>
    </w:p>
    <w:p>
      <w:pPr>
        <w:tabs>
          <w:tab w:pos="2268" w:val="left"/>
        </w:tabs>
        <w:spacing w:after="40"/>
      </w:pPr>
      <w:r>
        <w:rPr>
          <w:rFonts w:ascii="Arial" w:hAnsi="Arial"/>
          <w:b/>
          <w:sz w:val="20"/>
        </w:rPr>
        <w:t>Table S6</w:t>
      </w:r>
      <w:r>
        <w:rPr>
          <w:rFonts w:ascii="Arial" w:hAnsi="Arial"/>
          <w:sz w:val="20"/>
        </w:rPr>
        <w:tab/>
        <w:t>MDE and power curves at G = 8</w:t>
      </w:r>
    </w:p>
    <w:p>
      <w:pPr>
        <w:tabs>
          <w:tab w:pos="2268" w:val="left"/>
        </w:tabs>
        <w:spacing w:after="40"/>
      </w:pPr>
      <w:r>
        <w:rPr>
          <w:rFonts w:ascii="Arial" w:hAnsi="Arial"/>
          <w:b/>
          <w:sz w:val="20"/>
        </w:rPr>
        <w:t>Table S7</w:t>
      </w:r>
      <w:r>
        <w:rPr>
          <w:rFonts w:ascii="Arial" w:hAnsi="Arial"/>
          <w:sz w:val="20"/>
        </w:rPr>
        <w:tab/>
        <w:t>Placebo / falsification permutation tests</w:t>
      </w:r>
    </w:p>
    <w:p>
      <w:pPr>
        <w:tabs>
          <w:tab w:pos="2268" w:val="left"/>
        </w:tabs>
        <w:spacing w:after="40"/>
      </w:pPr>
      <w:r>
        <w:rPr>
          <w:rFonts w:ascii="Arial" w:hAnsi="Arial"/>
          <w:b/>
          <w:sz w:val="20"/>
        </w:rPr>
        <w:t>Table S8</w:t>
      </w:r>
      <w:r>
        <w:rPr>
          <w:rFonts w:ascii="Arial" w:hAnsi="Arial"/>
          <w:sz w:val="20"/>
        </w:rPr>
        <w:tab/>
        <w:t>Pre-Kharif cyclone climatology — per-storm percentiles</w:t>
      </w:r>
    </w:p>
    <w:p>
      <w:pPr>
        <w:tabs>
          <w:tab w:pos="2268" w:val="left"/>
        </w:tabs>
        <w:spacing w:after="40"/>
      </w:pPr>
      <w:r>
        <w:rPr>
          <w:rFonts w:ascii="Arial" w:hAnsi="Arial"/>
          <w:b/>
          <w:sz w:val="20"/>
        </w:rPr>
        <w:t>Table S9</w:t>
      </w:r>
      <w:r>
        <w:rPr>
          <w:rFonts w:ascii="Arial" w:hAnsi="Arial"/>
          <w:sz w:val="20"/>
        </w:rPr>
        <w:tab/>
        <w:t>Canonical Sentinel-1 dual-pol backscatter features</w:t>
      </w:r>
    </w:p>
    <w:p>
      <w:pPr>
        <w:tabs>
          <w:tab w:pos="2268" w:val="left"/>
        </w:tabs>
        <w:spacing w:after="40"/>
      </w:pPr>
      <w:r>
        <w:rPr>
          <w:rFonts w:ascii="Arial" w:hAnsi="Arial"/>
          <w:b/>
          <w:sz w:val="20"/>
        </w:rPr>
        <w:t>Figure S1</w:t>
      </w:r>
      <w:r>
        <w:rPr>
          <w:rFonts w:ascii="Arial" w:hAnsi="Arial"/>
          <w:sz w:val="20"/>
        </w:rPr>
        <w:tab/>
        <w:t>Pre-Kharif cyclone climatology — track + intensity-vs-DOY</w:t>
      </w:r>
    </w:p>
    <w:p>
      <w:pPr>
        <w:tabs>
          <w:tab w:pos="2268" w:val="left"/>
        </w:tabs>
        <w:spacing w:after="40"/>
      </w:pPr>
      <w:r>
        <w:rPr>
          <w:rFonts w:ascii="Arial" w:hAnsi="Arial"/>
          <w:b/>
          <w:sz w:val="20"/>
        </w:rPr>
        <w:t>Figure S2</w:t>
      </w:r>
      <w:r>
        <w:rPr>
          <w:rFonts w:ascii="Arial" w:hAnsi="Arial"/>
          <w:sz w:val="20"/>
        </w:rPr>
        <w:tab/>
        <w:t>Canonical backscatter signatures — VH/VV/CR vs DOY</w:t>
      </w:r>
    </w:p>
    <w:p>
      <w:r>
        <w:rPr>
          <w:rFonts w:ascii="Arial" w:hAnsi="Arial"/>
          <w:sz w:val="20"/>
        </w:rPr>
        <w:br w:type="page"/>
      </w:r>
    </w:p>
    <w:p>
      <w:pPr>
        <w:keepNext/>
        <w:spacing w:before="240" w:after="120"/>
      </w:pPr>
      <w:bookmarkStart w:id="29931" w:name="note_s1"/>
      <w:r>
        <w:rPr>
          <w:rFonts w:ascii="Arial" w:hAnsi="Arial"/>
          <w:b/>
          <w:color w:val="1F3A5F"/>
          <w:sz w:val="32"/>
        </w:rPr>
        <w:t>Note S1 — Bulbul (2019) transferability probe</w:t>
      </w:r>
      <w:bookmarkEnd w:id="29931"/>
    </w:p>
    <w:bookmarkStart w:id="31" w:name="X4c77ddbcd03ac00f69e68661e5eb39a4c24f13a"/>
    <w:p>
      <w:pPr>
        <w:pStyle w:val="Heading1"/>
      </w:pPr>
      <w:r>
        <w:rPr>
          <w:rFonts w:ascii="Arial" w:hAnsi="Arial"/>
        </w:rPr>
        <w:t xml:space="preserve">Supplementary Note S1 — Out-of-sample transferability to a different cyclone class: the Cyclone Bulbul probe</w:t>
      </w:r>
    </w:p>
    <w:p>
      <w:pPr>
        <w:pStyle w:val="FirstParagraph"/>
      </w:pPr>
      <w:r>
        <w:rPr>
          <w:rFonts w:ascii="Arial" w:hAnsi="Arial"/>
          <w:b/>
          <w:bCs/>
          <w:sz w:val="20"/>
        </w:rPr>
        <w:t xml:space="preserve">Companion to:</w:t>
      </w:r>
      <w:r>
        <w:rPr>
          <w:rFonts w:ascii="Arial" w:hAnsi="Arial"/>
          <w:sz w:val="20"/>
        </w:rPr>
        <w:t xml:space="preserve"> </w:t>
      </w:r>
      <w:r>
        <w:rPr>
          <w:rFonts w:ascii="Arial" w:hAnsi="Arial"/>
          <w:sz w:val="20"/>
        </w:rPr>
        <w:t xml:space="preserve">Methods §3.7.2 of the main manuscript (</w:t>
      </w:r>
      <w:r>
        <w:rPr>
          <w:rFonts w:ascii="Arial" w:hAnsi="Arial"/>
          <w:i/>
          <w:iCs/>
          <w:sz w:val="20"/>
        </w:rPr>
        <w:t xml:space="preserve">Decoupling Cyclone-Induced Saline Inundation from Agronomic Flooding in Sentinel-1/2 Rice Phenology Retrieval</w:t>
      </w:r>
      <w:r>
        <w:rPr>
          <w:rFonts w:ascii="Arial" w:hAnsi="Arial"/>
          <w:sz w:val="20"/>
        </w:rPr>
        <w:t xml:space="preserve">).</w:t>
      </w:r>
    </w:p>
    <w:p>
      <w:pPr>
        <w:pStyle w:val="BodyText"/>
      </w:pPr>
      <w:r>
        <w:rPr>
          <w:rFonts w:ascii="Arial" w:hAnsi="Arial"/>
          <w:b/>
          <w:bCs/>
          <w:sz w:val="20"/>
        </w:rPr>
        <w:t xml:space="preserve">Modules:</w:t>
      </w:r>
      <w:r>
        <w:rPr>
          <w:rFonts w:ascii="Arial" w:hAnsi="Arial"/>
          <w:sz w:val="20"/>
        </w:rPr>
        <w:t xml:space="preserve"> </w:t>
      </w:r>
      <w:r>
        <w:rPr>
          <w:rStyle w:val="VerbatimChar"/>
          <w:rFonts w:ascii="Arial" w:hAnsi="Arial"/>
          <w:sz w:val="20"/>
        </w:rPr>
        <w:t xml:space="preserve">analysis/13_bulbul_phenology_extract.py</w:t>
      </w:r>
      <w:r>
        <w:rPr>
          <w:rFonts w:ascii="Arial" w:hAnsi="Arial"/>
          <w:sz w:val="20"/>
        </w:rPr>
        <w:t xml:space="preserve"> </w:t>
      </w:r>
      <w:r>
        <w:rPr>
          <w:rFonts w:ascii="Arial" w:hAnsi="Arial"/>
          <w:sz w:val="20"/>
        </w:rPr>
        <w:t xml:space="preserve">(Sentinel-2 L2A → monthly NDVI → SOS),</w:t>
      </w:r>
      <w:r>
        <w:rPr>
          <w:rFonts w:ascii="Arial" w:hAnsi="Arial"/>
          <w:sz w:val="20"/>
        </w:rPr>
        <w:t xml:space="preserve"> </w:t>
      </w:r>
      <w:r>
        <w:rPr>
          <w:rStyle w:val="VerbatimChar"/>
          <w:rFonts w:ascii="Arial" w:hAnsi="Arial"/>
          <w:sz w:val="20"/>
        </w:rPr>
        <w:t xml:space="preserve">analysis/14_bulbul_postprocess_sos.py</w:t>
      </w:r>
      <w:r>
        <w:rPr>
          <w:rFonts w:ascii="Arial" w:hAnsi="Arial"/>
          <w:sz w:val="20"/>
        </w:rPr>
        <w:t xml:space="preserve"> </w:t>
      </w:r>
      <w:r>
        <w:rPr>
          <w:rFonts w:ascii="Arial" w:hAnsi="Arial"/>
          <w:sz w:val="20"/>
        </w:rPr>
        <w:t xml:space="preserve">(robust SOS estimator),</w:t>
      </w:r>
      <w:r>
        <w:rPr>
          <w:rFonts w:ascii="Arial" w:hAnsi="Arial"/>
          <w:sz w:val="20"/>
        </w:rPr>
        <w:t xml:space="preserve"> </w:t>
      </w:r>
      <w:r>
        <w:rPr>
          <w:rStyle w:val="VerbatimChar"/>
          <w:rFonts w:ascii="Arial" w:hAnsi="Arial"/>
          <w:sz w:val="20"/>
        </w:rPr>
        <w:t xml:space="preserve">analysis/15_bulbul_residuals_v21.py</w:t>
      </w:r>
      <w:r>
        <w:rPr>
          <w:rFonts w:ascii="Arial" w:hAnsi="Arial"/>
          <w:sz w:val="20"/>
        </w:rPr>
        <w:t xml:space="preserve"> </w:t>
      </w:r>
      <w:r>
        <w:rPr>
          <w:rFonts w:ascii="Arial" w:hAnsi="Arial"/>
          <w:sz w:val="20"/>
        </w:rPr>
        <w:t xml:space="preserve">(residuals against v2.1 plug-in).</w:t>
      </w:r>
      <w:r>
        <w:rPr>
          <w:rFonts w:ascii="Arial" w:hAnsi="Arial"/>
          <w:sz w:val="20"/>
        </w:rPr>
        <w:t xml:space="preserve"> </w:t>
      </w:r>
      <w:r>
        <w:rPr>
          <w:rFonts w:ascii="Arial" w:hAnsi="Arial"/>
          <w:b/>
          <w:bCs/>
          <w:sz w:val="20"/>
        </w:rPr>
        <w:t xml:space="preserve">Inputs:</w:t>
      </w:r>
      <w:r>
        <w:rPr>
          <w:rFonts w:ascii="Arial" w:hAnsi="Arial"/>
          <w:sz w:val="20"/>
        </w:rPr>
        <w:t xml:space="preserve"> </w:t>
      </w:r>
      <w:r>
        <w:rPr>
          <w:rFonts w:ascii="Arial" w:hAnsi="Arial"/>
          <w:sz w:val="20"/>
        </w:rPr>
        <w:t xml:space="preserve">Microsoft Planetary Computer STAC Sentinel-2 L2A (Apr–Dec 2017, 2018, 2020), GADM v4.1 India L2 district boundaries.</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analysis/results/real_v21/bulbul/probe_phenology_real.csv</w:t>
      </w:r>
      <w:r>
        <w:rPr>
          <w:rFonts w:ascii="Arial" w:hAnsi="Arial"/>
          <w:sz w:val="20"/>
        </w:rPr>
        <w:t xml:space="preserve">,</w:t>
      </w:r>
      <w:r>
        <w:rPr>
          <w:rFonts w:ascii="Arial" w:hAnsi="Arial"/>
          <w:sz w:val="20"/>
        </w:rPr>
        <w:t xml:space="preserve"> </w:t>
      </w:r>
      <w:r>
        <w:rPr>
          <w:rStyle w:val="VerbatimChar"/>
          <w:rFonts w:ascii="Arial" w:hAnsi="Arial"/>
          <w:sz w:val="20"/>
        </w:rPr>
        <w:t xml:space="preserve">…/probe_residuals_real_v21.csv</w:t>
      </w:r>
      <w:r>
        <w:rPr>
          <w:rFonts w:ascii="Arial" w:hAnsi="Arial"/>
          <w:sz w:val="20"/>
        </w:rPr>
        <w:t xml:space="preserve">,</w:t>
      </w:r>
      <w:r>
        <w:rPr>
          <w:rFonts w:ascii="Arial" w:hAnsi="Arial"/>
          <w:sz w:val="20"/>
        </w:rPr>
        <w:t xml:space="preserve"> </w:t>
      </w:r>
      <w:r>
        <w:rPr>
          <w:rStyle w:val="VerbatimChar"/>
          <w:rFonts w:ascii="Arial" w:hAnsi="Arial"/>
          <w:sz w:val="20"/>
        </w:rPr>
        <w:t xml:space="preserve">…/probe_summary_real_v21.csv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manuscript/supplement/Table_S3_bulbul_transferability.docx</w:t>
      </w:r>
      <w:r>
        <w:rPr>
          <w:rFonts w:ascii="Arial" w:hAnsi="Arial"/>
          <w:sz w:val="20"/>
        </w:rPr>
        <w:t xml:space="preserve">.</w:t>
      </w:r>
      <w:r>
        <w:rPr>
          <w:rFonts w:ascii="Arial" w:hAnsi="Arial"/>
          <w:sz w:val="20"/>
        </w:rPr>
        <w:t xml:space="preserve"> </w:t>
      </w:r>
      <w:r>
        <w:rPr>
          <w:rFonts w:ascii="Arial" w:hAnsi="Arial"/>
          <w:b/>
          <w:bCs/>
          <w:sz w:val="20"/>
        </w:rPr>
        <w:t xml:space="preserve">Pre-registered:</w:t>
      </w:r>
      <w:r>
        <w:rPr>
          <w:rFonts w:ascii="Arial" w:hAnsi="Arial"/>
          <w:sz w:val="20"/>
        </w:rPr>
        <w:t xml:space="preserve"> </w:t>
      </w:r>
      <w:r>
        <w:rPr>
          <w:rFonts w:ascii="Arial" w:hAnsi="Arial"/>
          <w:sz w:val="20"/>
        </w:rPr>
        <w:t xml:space="preserve">OSF</w:t>
      </w:r>
      <w:r>
        <w:rPr>
          <w:rFonts w:ascii="Arial" w:hAnsi="Arial"/>
          <w:sz w:val="20"/>
        </w:rPr>
        <w:t xml:space="preserve"> </w:t>
      </w:r>
      <w:hyperlink r:id="rId20">
        <w:r>
          <w:rPr>
            <w:rStyle w:val="Hyperlink"/>
          </w:rPr>
          <w:t xml:space="preserve">c4mp8</w:t>
        </w:r>
      </w:hyperlink>
      <w:r>
        <w:rPr>
          <w:rFonts w:ascii="Arial" w:hAnsi="Arial"/>
          <w:sz w:val="20"/>
        </w:rPr>
        <w:t xml:space="preserve"> </w:t>
      </w:r>
      <w:r>
        <w:rPr>
          <w:rFonts w:ascii="Arial" w:hAnsi="Arial"/>
          <w:sz w:val="20"/>
        </w:rPr>
        <w:t xml:space="preserve">— scope amendment dated 2026-04-29.</w:t>
      </w:r>
    </w:p>
    <w:bookmarkStart w:id="21" w:name="s1.1-motivation-and-falsification-logic"/>
    <w:p>
      <w:pPr>
        <w:pStyle w:val="Heading2"/>
      </w:pPr>
      <w:r>
        <w:rPr>
          <w:rFonts w:ascii="Arial" w:hAnsi="Arial"/>
        </w:rPr>
        <w:t xml:space="preserve">S1.1 Motivation and falsification logic</w:t>
      </w:r>
    </w:p>
    <w:p>
      <w:pPr>
        <w:pStyle w:val="FirstParagraph"/>
      </w:pPr>
      <w:r>
        <w:rPr>
          <w:rFonts w:ascii="Arial" w:hAnsi="Arial"/>
          <w:sz w:val="20"/>
        </w:rPr>
        <w:t xml:space="preserve">The headline TWFE-DiD coefficient</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sz w:val="20"/>
        </w:rPr>
        <w:t xml:space="preserve"> </w:t>
      </w:r>
      <w:r>
        <w:rPr>
          <w:rFonts w:ascii="Arial" w:hAnsi="Arial"/>
          <w:sz w:val="20"/>
        </w:rPr>
        <w:t xml:space="preserve">in Eq. (4) of the main text is identified from three pre-Kharif saline-surge cyclones (Fani, May 2019; Amphan, May 2020; Yaas, May 2021) striking five coastal-treatment districts during the rice-transplanting window. The corrected pipeline (§3.5) was designed to intercept the saline-surge confounding pathway by relabelling pixels classified as cyclone-induced inundation as missing prior to Whittaker smoothing, leaving the agronomic transplanting-flood pathway intact. A core concern with any data-driven correction operator of this form is</w:t>
      </w:r>
      <w:r>
        <w:rPr>
          <w:rFonts w:ascii="Arial" w:hAnsi="Arial"/>
          <w:sz w:val="20"/>
        </w:rPr>
        <w:t xml:space="preserve"> </w:t>
      </w:r>
      <w:r>
        <w:rPr>
          <w:rFonts w:ascii="Arial" w:hAnsi="Arial"/>
          <w:i/>
          <w:iCs/>
          <w:sz w:val="20"/>
        </w:rPr>
        <w:t xml:space="preserve">mechanism-specificity</w:t>
      </w:r>
      <w:r>
        <w:rPr>
          <w:rFonts w:ascii="Arial" w:hAnsi="Arial"/>
          <w:sz w:val="20"/>
        </w:rPr>
        <w:t xml:space="preserve">: does the corrected pipeline encode a generic excess-water-pixel mask that would be triggered by</w:t>
      </w:r>
      <w:r>
        <w:rPr>
          <w:rFonts w:ascii="Arial" w:hAnsi="Arial"/>
          <w:sz w:val="20"/>
        </w:rPr>
        <w:t xml:space="preserve"> </w:t>
      </w:r>
      <w:r>
        <w:rPr>
          <w:rFonts w:ascii="Arial" w:hAnsi="Arial"/>
          <w:i/>
          <w:iCs/>
          <w:sz w:val="20"/>
        </w:rPr>
        <w:t xml:space="preserve">any</w:t>
      </w:r>
      <w:r>
        <w:rPr>
          <w:rFonts w:ascii="Arial" w:hAnsi="Arial"/>
          <w:sz w:val="20"/>
        </w:rPr>
        <w:t xml:space="preserve"> </w:t>
      </w:r>
      <w:r>
        <w:rPr>
          <w:rFonts w:ascii="Arial" w:hAnsi="Arial"/>
          <w:sz w:val="20"/>
        </w:rPr>
        <w:t xml:space="preserve">large-scale inundation event, or does it specifically suppress the saline storm-surge backscatter signature that misleads phenology retrieval in the pre-Kharif window?</w:t>
      </w:r>
    </w:p>
    <w:p>
      <w:pPr>
        <w:pStyle w:val="BodyText"/>
      </w:pPr>
      <w:r>
        <w:rPr>
          <w:rFonts w:ascii="Arial" w:hAnsi="Arial"/>
          <w:sz w:val="20"/>
        </w:rPr>
        <w:t xml:space="preserve">These two interpretations carry materially different scientific implications. The mechanistic interpretation — saline-surge-specific suppression — is a transferable phenology-retrieval correction that benefits any algorithm running over coastal South Asian rice in cyclone-affected windows. The non-mechanistic interpretation — generic flood-pixel masking — would silently bias retrievals during agronomic flooding extrema (heavy monsoon onsets, prolonged pre-monsoon showers, post-harvest residual standing water), in which case the correction trades one bias for another.</w:t>
      </w:r>
    </w:p>
    <w:p>
      <w:pPr>
        <w:pStyle w:val="BodyText"/>
      </w:pPr>
      <w:r>
        <w:rPr>
          <w:rFonts w:ascii="Arial" w:hAnsi="Arial"/>
          <w:sz w:val="20"/>
        </w:rPr>
        <w:t xml:space="preserve">We discriminate between these interpretations using an out-of-sample transferability probe drawn from a</w:t>
      </w:r>
      <w:r>
        <w:rPr>
          <w:rFonts w:ascii="Arial" w:hAnsi="Arial"/>
          <w:sz w:val="20"/>
        </w:rPr>
        <w:t xml:space="preserve"> </w:t>
      </w:r>
      <w:r>
        <w:rPr>
          <w:rFonts w:ascii="Arial" w:hAnsi="Arial"/>
          <w:i/>
          <w:iCs/>
          <w:sz w:val="20"/>
        </w:rPr>
        <w:t xml:space="preserve">different cyclone class</w:t>
      </w:r>
      <w:r>
        <w:rPr>
          <w:rFonts w:ascii="Arial" w:hAnsi="Arial"/>
          <w:sz w:val="20"/>
        </w:rPr>
        <w:t xml:space="preserve"> </w:t>
      </w:r>
      <w:r>
        <w:rPr>
          <w:rFonts w:ascii="Arial" w:hAnsi="Arial"/>
          <w:sz w:val="20"/>
        </w:rPr>
        <w:t xml:space="preserve">— Cyclone Bulbul (November 2019). Bulbul differs from the three identification-cohort cyclones along three independent dimensions:</w:t>
      </w:r>
    </w:p>
    <w:p>
      <w:pPr>
        <w:pStyle w:val="Compact"/>
        <w:numPr>
          <w:ilvl w:val="0"/>
          <w:numId w:val="1001"/>
        </w:numPr>
      </w:pPr>
      <w:r>
        <w:rPr>
          <w:rFonts w:ascii="Arial" w:hAnsi="Arial"/>
          <w:b/>
          <w:bCs/>
          <w:sz w:val="20"/>
        </w:rPr>
        <w:t xml:space="preserve">Calendar window.</w:t>
      </w:r>
      <w:r>
        <w:rPr>
          <w:rFonts w:ascii="Arial" w:hAnsi="Arial"/>
          <w:sz w:val="20"/>
        </w:rPr>
        <w:t xml:space="preserve"> </w:t>
      </w:r>
      <w:r>
        <w:rPr>
          <w:rFonts w:ascii="Arial" w:hAnsi="Arial"/>
          <w:sz w:val="20"/>
        </w:rPr>
        <w:t xml:space="preserve">Bulbul made landfall on 9 November 2019, two to three months</w:t>
      </w:r>
      <w:r>
        <w:rPr>
          <w:rFonts w:ascii="Arial" w:hAnsi="Arial"/>
          <w:sz w:val="20"/>
        </w:rPr>
        <w:t xml:space="preserve"> </w:t>
      </w:r>
      <w:r>
        <w:rPr>
          <w:rFonts w:ascii="Arial" w:hAnsi="Arial"/>
          <w:i/>
          <w:iCs/>
          <w:sz w:val="20"/>
        </w:rPr>
        <w:t xml:space="preserve">after</w:t>
      </w:r>
      <w:r>
        <w:rPr>
          <w:rFonts w:ascii="Arial" w:hAnsi="Arial"/>
          <w:sz w:val="20"/>
        </w:rPr>
        <w:t xml:space="preserve"> </w:t>
      </w:r>
      <w:r>
        <w:rPr>
          <w:rFonts w:ascii="Arial" w:hAnsi="Arial"/>
          <w:sz w:val="20"/>
        </w:rPr>
        <w:t xml:space="preserve">the Kharif transplanting window had closed. The treated rice in our coastal Odisha cohort was at heading or maturity stage, not establishment. Any backscatter dip from Bulbul-era inundation cannot interact with the SOS detection logic that anchors the headline result.</w:t>
      </w:r>
    </w:p>
    <w:p>
      <w:pPr>
        <w:pStyle w:val="Compact"/>
        <w:numPr>
          <w:ilvl w:val="0"/>
          <w:numId w:val="1001"/>
        </w:numPr>
      </w:pPr>
      <w:r>
        <w:rPr>
          <w:rFonts w:ascii="Arial" w:hAnsi="Arial"/>
          <w:b/>
          <w:bCs/>
          <w:sz w:val="20"/>
        </w:rPr>
        <w:t xml:space="preserve">Inundation mechanism.</w:t>
      </w:r>
      <w:r>
        <w:rPr>
          <w:rFonts w:ascii="Arial" w:hAnsi="Arial"/>
          <w:sz w:val="20"/>
        </w:rPr>
        <w:t xml:space="preserve"> </w:t>
      </w:r>
      <w:r>
        <w:rPr>
          <w:rFonts w:ascii="Arial" w:hAnsi="Arial"/>
          <w:sz w:val="20"/>
        </w:rPr>
        <w:t xml:space="preserve">Bulbul tracked across the head Bay of Bengal and made landfall on Sagar Island in the Indian Sundarbans, approximately 290 km NE of the centroid of our coastal study region. Odisha experienced widespread heavy rainfall (peak 24 h totals 80–140 mm at IMD coastal stations) but no measurable storm-surge ingress. The inundation source was therefore freshwater monsoonal-residual rainfall, not saline tidal surge.</w:t>
      </w:r>
    </w:p>
    <w:p>
      <w:pPr>
        <w:pStyle w:val="Compact"/>
        <w:numPr>
          <w:ilvl w:val="0"/>
          <w:numId w:val="1001"/>
        </w:numPr>
      </w:pPr>
      <w:r>
        <w:rPr>
          <w:rFonts w:ascii="Arial" w:hAnsi="Arial"/>
          <w:b/>
          <w:bCs/>
          <w:sz w:val="20"/>
        </w:rPr>
        <w:t xml:space="preserve">Geography.</w:t>
      </w:r>
      <w:r>
        <w:rPr>
          <w:rFonts w:ascii="Arial" w:hAnsi="Arial"/>
          <w:sz w:val="20"/>
        </w:rPr>
        <w:t xml:space="preserve"> </w:t>
      </w:r>
      <w:r>
        <w:rPr>
          <w:rFonts w:ascii="Arial" w:hAnsi="Arial"/>
          <w:sz w:val="20"/>
        </w:rPr>
        <w:t xml:space="preserve">Bulbul-rainfall districts overlap only partially with the five identification-cohort districts. Five of the six probe districts (Boudh, Ganjam, Kandhamal, Khordha, Mayurbhanj, Nayagarh) lie outside the headline treatment set, and were never used to estimate</w:t>
      </w:r>
      <w:r>
        <w:rPr>
          <w:rFonts w:ascii="Arial" w:hAnsi="Arial"/>
          <w:sz w:val="20"/>
        </w:rPr>
        <w:t xml:space="preserve"> </w:t>
      </w:r>
      <m:oMath>
        <m:acc>
          <m:accPr>
            <m:chr m:val="̂"/>
          </m:accPr>
          <m:e>
            <m:r>
              <m:t>τ</m:t>
            </m:r>
          </m:e>
        </m:acc>
      </m:oMath>
      <w:r>
        <w:rPr>
          <w:rFonts w:ascii="Arial" w:hAnsi="Arial"/>
          <w:sz w:val="20"/>
        </w:rPr>
        <w:t xml:space="preserve">.</w:t>
      </w:r>
    </w:p>
    <w:p>
      <w:pPr>
        <w:pStyle w:val="FirstParagraph"/>
      </w:pPr>
      <w:r>
        <w:rPr>
          <w:rFonts w:ascii="Arial" w:hAnsi="Arial"/>
          <w:sz w:val="20"/>
        </w:rPr>
        <w:t xml:space="preserve">The probe asks: when we apply the</w:t>
      </w:r>
      <w:r>
        <w:rPr>
          <w:rFonts w:ascii="Arial" w:hAnsi="Arial"/>
          <w:sz w:val="20"/>
        </w:rPr>
        <w:t xml:space="preserve"> </w:t>
      </w:r>
      <w:r>
        <w:rPr>
          <w:rFonts w:ascii="Arial" w:hAnsi="Arial"/>
          <w:i/>
          <w:iCs/>
          <w:sz w:val="20"/>
        </w:rPr>
        <w:t xml:space="preserve">trained</w:t>
      </w:r>
      <w:r>
        <w:rPr>
          <w:rFonts w:ascii="Arial" w:hAnsi="Arial"/>
          <w:sz w:val="20"/>
        </w:rPr>
        <w:t xml:space="preserve"> </w:t>
      </w:r>
      <w:r>
        <w:rPr>
          <w:rFonts w:ascii="Arial" w:hAnsi="Arial"/>
          <w:sz w:val="20"/>
        </w:rPr>
        <w:t xml:space="preserve">coefficient</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w:r>
        <w:rPr>
          <w:rFonts w:ascii="Arial" w:hAnsi="Arial"/>
          <w:sz w:val="20"/>
        </w:rPr>
        <w:t xml:space="preserve"> </w:t>
      </w:r>
      <w:r>
        <w:rPr>
          <w:rFonts w:ascii="Arial" w:hAnsi="Arial"/>
          <w:sz w:val="20"/>
        </w:rPr>
        <w:t xml:space="preserve">as a plug-in prediction to the Bulbul-affected districts, do the observed phenology shifts match this prediction?</w:t>
      </w:r>
    </w:p>
    <w:p>
      <w:pPr>
        <w:pStyle w:val="Compact"/>
        <w:numPr>
          <w:ilvl w:val="0"/>
          <w:numId w:val="1002"/>
        </w:numPr>
      </w:pPr>
      <w:r>
        <w:rPr>
          <w:rFonts w:ascii="Arial" w:hAnsi="Arial"/>
          <w:sz w:val="20"/>
        </w:rPr>
        <w:t xml:space="preserve">If residuals centre near zero with the majority of probe districts inside the 95% prediction interval, the correction generalises beyond its training window and inundation mechanism — consistent with a generic flood-pixel-mask interpretation, which would falsify the saline-surge-specific mechanistic claim.</w:t>
      </w:r>
    </w:p>
    <w:p>
      <w:pPr>
        <w:pStyle w:val="Compact"/>
        <w:numPr>
          <w:ilvl w:val="0"/>
          <w:numId w:val="1002"/>
        </w:numPr>
      </w:pPr>
      <w:r>
        <w:rPr>
          <w:rFonts w:ascii="Arial" w:hAnsi="Arial"/>
          <w:sz w:val="20"/>
        </w:rPr>
        <w:t xml:space="preserve">If residuals are systematically</w:t>
      </w:r>
      <w:r>
        <w:rPr>
          <w:rFonts w:ascii="Arial" w:hAnsi="Arial"/>
          <w:sz w:val="20"/>
        </w:rPr>
        <w:t xml:space="preserve"> </w:t>
      </w:r>
      <w:r>
        <w:rPr>
          <w:rFonts w:ascii="Arial" w:hAnsi="Arial"/>
          <w:i/>
          <w:iCs/>
          <w:sz w:val="20"/>
        </w:rPr>
        <w:t xml:space="preserve">negative</w:t>
      </w:r>
      <w:r>
        <w:rPr>
          <w:rFonts w:ascii="Arial" w:hAnsi="Arial"/>
          <w:sz w:val="20"/>
        </w:rPr>
        <w:t xml:space="preserve"> </w:t>
      </w:r>
      <w:r>
        <w:rPr>
          <w:rFonts w:ascii="Arial" w:hAnsi="Arial"/>
          <w:sz w:val="20"/>
        </w:rPr>
        <w:t xml:space="preserve">(probe districts shift less than predicted, or in the opposite direction), the correction is mechanism-specific to saline storm-surge — the operator does not transfer to post-monsoon freshwater rainfall events.</w:t>
      </w:r>
      <w:r>
        <w:rPr>
          <w:rFonts w:ascii="Arial" w:hAnsi="Arial"/>
          <w:sz w:val="20"/>
        </w:rPr>
        <w:t xml:space="preserve"> </w:t>
      </w:r>
      <w:r>
        <w:rPr>
          <w:rFonts w:ascii="Arial" w:hAnsi="Arial"/>
          <w:b/>
          <w:bCs/>
          <w:sz w:val="20"/>
        </w:rPr>
        <w:t xml:space="preserve">This is the pre-registered outcome that supports our mechanistic interpretation.</w:t>
      </w:r>
    </w:p>
    <w:p>
      <w:pPr>
        <w:pStyle w:val="FirstParagraph"/>
      </w:pPr>
      <w:r>
        <w:rPr>
          <w:rFonts w:ascii="Arial" w:hAnsi="Arial"/>
          <w:sz w:val="20"/>
        </w:rPr>
        <w:t xml:space="preserve">This logic follows the falsification posture of Athey and Imbens (2017, §6.2): the test is designed to be</w:t>
      </w:r>
      <w:r>
        <w:rPr>
          <w:rFonts w:ascii="Arial" w:hAnsi="Arial"/>
          <w:sz w:val="20"/>
        </w:rPr>
        <w:t xml:space="preserve"> </w:t>
      </w:r>
      <w:r>
        <w:rPr>
          <w:rFonts w:ascii="Arial" w:hAnsi="Arial"/>
          <w:i/>
          <w:iCs/>
          <w:sz w:val="20"/>
        </w:rPr>
        <w:t xml:space="preserve">able to fail</w:t>
      </w:r>
      <w:r>
        <w:rPr>
          <w:rFonts w:ascii="Arial" w:hAnsi="Arial"/>
          <w:sz w:val="20"/>
        </w:rPr>
        <w:t xml:space="preserve"> </w:t>
      </w:r>
      <w:r>
        <w:rPr>
          <w:rFonts w:ascii="Arial" w:hAnsi="Arial"/>
          <w:sz w:val="20"/>
        </w:rPr>
        <w:t xml:space="preserve">in a direction that would refute the headline interpretation, and a null transfer is the result that strengthens (not weakens) the substantive claim.</w:t>
      </w:r>
    </w:p>
    <w:bookmarkEnd w:id="21"/>
    <w:bookmarkStart w:id="22" w:name="s1.2-probe-panel-construction"/>
    <w:p>
      <w:pPr>
        <w:pStyle w:val="Heading2"/>
      </w:pPr>
      <w:r>
        <w:rPr>
          <w:rFonts w:ascii="Arial" w:hAnsi="Arial"/>
        </w:rPr>
        <w:t xml:space="preserve">S1.2 Probe-panel construction</w:t>
      </w:r>
    </w:p>
    <w:p>
      <w:pPr>
        <w:pStyle w:val="FirstParagraph"/>
      </w:pPr>
      <w:r>
        <w:rPr>
          <w:rFonts w:ascii="Arial" w:hAnsi="Arial"/>
          <w:sz w:val="20"/>
        </w:rPr>
        <w:t xml:space="preserve">The Bulbul probe panel comprises six Odisha districts not used in the headline TWFE estimation: Boudh, Ganjam, Kandhamal, Khordha, Mayurbhanj, and Nayagarh. Districts are tagged by exposure type —</w:t>
      </w:r>
      <w:r>
        <w:rPr>
          <w:rFonts w:ascii="Arial" w:hAnsi="Arial"/>
          <w:sz w:val="20"/>
        </w:rPr>
        <w:t xml:space="preserve"> </w:t>
      </w:r>
      <w:r>
        <w:rPr>
          <w:rFonts w:ascii="Arial" w:hAnsi="Arial"/>
          <w:i/>
          <w:iCs/>
          <w:sz w:val="20"/>
        </w:rPr>
        <w:t xml:space="preserve">coastal_rainfall</w:t>
      </w:r>
      <w:r>
        <w:rPr>
          <w:rFonts w:ascii="Arial" w:hAnsi="Arial"/>
          <w:sz w:val="20"/>
        </w:rPr>
        <w:t xml:space="preserve"> </w:t>
      </w:r>
      <w:r>
        <w:rPr>
          <w:rFonts w:ascii="Arial" w:hAnsi="Arial"/>
          <w:sz w:val="20"/>
        </w:rPr>
        <w:t xml:space="preserve">(Ganjam, Khordha, Mayurbhanj) or</w:t>
      </w:r>
      <w:r>
        <w:rPr>
          <w:rFonts w:ascii="Arial" w:hAnsi="Arial"/>
          <w:sz w:val="20"/>
        </w:rPr>
        <w:t xml:space="preserve"> </w:t>
      </w:r>
      <w:r>
        <w:rPr>
          <w:rFonts w:ascii="Arial" w:hAnsi="Arial"/>
          <w:i/>
          <w:iCs/>
          <w:sz w:val="20"/>
        </w:rPr>
        <w:t xml:space="preserve">inland_rainfall</w:t>
      </w:r>
      <w:r>
        <w:rPr>
          <w:rFonts w:ascii="Arial" w:hAnsi="Arial"/>
          <w:sz w:val="20"/>
        </w:rPr>
        <w:t xml:space="preserve"> </w:t>
      </w:r>
      <w:r>
        <w:rPr>
          <w:rFonts w:ascii="Arial" w:hAnsi="Arial"/>
          <w:sz w:val="20"/>
        </w:rPr>
        <w:t xml:space="preserve">(Boudh, Kandhamal, Nayagarh) — derived from the IMD 2019 cyclone report and 24 h IMERG accumulations. The probe panel is processed by the same Module 03 phenology pipeline (Whittaker smoother, double-logistic curve fit, 20 / max / 20 thresholds) and the same Module 02 saline-flood classifier as the headline cohort — the</w:t>
      </w:r>
      <w:r>
        <w:rPr>
          <w:rFonts w:ascii="Arial" w:hAnsi="Arial"/>
          <w:sz w:val="20"/>
        </w:rPr>
        <w:t xml:space="preserve"> </w:t>
      </w:r>
      <w:r>
        <w:rPr>
          <w:rFonts w:ascii="Arial" w:hAnsi="Arial"/>
          <w:i/>
          <w:iCs/>
          <w:sz w:val="20"/>
        </w:rPr>
        <w:t xml:space="preserve">only</w:t>
      </w:r>
      <w:r>
        <w:rPr>
          <w:rFonts w:ascii="Arial" w:hAnsi="Arial"/>
          <w:sz w:val="20"/>
        </w:rPr>
        <w:t xml:space="preserve"> </w:t>
      </w:r>
      <w:r>
        <w:rPr>
          <w:rFonts w:ascii="Arial" w:hAnsi="Arial"/>
          <w:sz w:val="20"/>
        </w:rPr>
        <w:t xml:space="preserve">design choice held constant is the inundation-class mask, which now sees rainfall-driven (not surge-driven) excess water.</w:t>
      </w:r>
    </w:p>
    <w:p>
      <w:pPr>
        <w:pStyle w:val="BodyText"/>
      </w:pPr>
      <w:r>
        <w:rPr>
          <w:rFonts w:ascii="Arial" w:hAnsi="Arial"/>
          <w:sz w:val="20"/>
        </w:rPr>
        <w:t xml:space="preserve">For each probe district</w:t>
      </w:r>
      <w:r>
        <w:rPr>
          <w:rFonts w:ascii="Arial" w:hAnsi="Arial"/>
          <w:sz w:val="20"/>
        </w:rPr>
        <w:t xml:space="preserve"> </w:t>
      </w:r>
      <m:oMath>
        <m:r>
          <m:t>d</m:t>
        </m:r>
      </m:oMath>
      <w:r>
        <w:rPr>
          <w:rFonts w:ascii="Arial" w:hAnsi="Arial"/>
          <w:sz w:val="20"/>
        </w:rPr>
        <w:t xml:space="preserve"> </w:t>
      </w:r>
      <w:r>
        <w:rPr>
          <w:rFonts w:ascii="Arial" w:hAnsi="Arial"/>
          <w:sz w:val="20"/>
        </w:rPr>
        <w:t xml:space="preserve">we compute the observed corrected-pipeline SOS shift relative to its own pre-Bulbul baseline:</w:t>
      </w:r>
    </w:p>
    <w:p>
      <w:pPr>
        <w:pStyle w:val="BodyText"/>
      </w:pPr>
      <m:oMathPara>
        <m:oMathParaPr>
          <m:jc m:val="center"/>
        </m:oMathParaPr>
        <m:oMath>
          <m:sSub>
            <m:e>
              <m:r>
                <m:t>Δ</m:t>
              </m:r>
            </m:e>
            <m:sub>
              <m:r>
                <m:rPr>
                  <m:sty m:val="p"/>
                </m:rPr>
                <m:t>o</m:t>
              </m:r>
              <m:r>
                <m:rPr>
                  <m:sty m:val="p"/>
                </m:rPr>
                <m:t>b</m:t>
              </m:r>
              <m:r>
                <m:rPr>
                  <m:sty m:val="p"/>
                </m:rPr>
                <m:t>s</m:t>
              </m:r>
              <m:r>
                <m:rPr>
                  <m:sty m:val="p"/>
                </m:rPr>
                <m:t>,</m:t>
              </m:r>
              <m:r>
                <m:t>d</m:t>
              </m:r>
            </m:sub>
          </m:sSub>
          <m:r>
            <m:rPr>
              <m:sty m:val="p"/>
            </m:rPr>
            <m:t>=</m:t>
          </m:r>
          <m:sSubSup>
            <m:e>
              <m:r>
                <m:rPr>
                  <m:sty m:val="p"/>
                </m:rPr>
                <m:t>S</m:t>
              </m:r>
              <m:r>
                <m:rPr>
                  <m:sty m:val="p"/>
                </m:rPr>
                <m:t>O</m:t>
              </m:r>
              <m:r>
                <m:rPr>
                  <m:sty m:val="p"/>
                </m:rPr>
                <m:t>S</m:t>
              </m:r>
            </m:e>
            <m:sub>
              <m:r>
                <m:t>2020</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r>
            <m:rPr>
              <m:sty m:val="p"/>
            </m:rPr>
            <m:t>−</m:t>
          </m:r>
          <m:sSubSup>
            <m:e>
              <m:bar>
                <m:barPr>
                  <m:pos m:val="top"/>
                </m:barPr>
                <m:e>
                  <m:r>
                    <m:rPr>
                      <m:sty m:val="p"/>
                    </m:rPr>
                    <m:t>S</m:t>
                  </m:r>
                  <m:r>
                    <m:rPr>
                      <m:sty m:val="p"/>
                    </m:rPr>
                    <m:t>O</m:t>
                  </m:r>
                  <m:r>
                    <m:rPr>
                      <m:sty m:val="p"/>
                    </m:rPr>
                    <m:t>S</m:t>
                  </m:r>
                </m:e>
              </m:bar>
            </m:e>
            <m:sub>
              <m:r>
                <m:t>2017</m:t>
              </m:r>
              <m:r>
                <m:rPr>
                  <m:nor/>
                  <m:sty m:val="p"/>
                </m:rPr>
                <m:t>–</m:t>
              </m:r>
              <m:r>
                <m:t>2018</m:t>
              </m:r>
              <m:r>
                <m:rPr>
                  <m:sty m:val="p"/>
                </m:rPr>
                <m:t>,</m:t>
              </m:r>
              <m:r>
                <m:t>d</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oMath>
      </m:oMathPara>
    </w:p>
    <w:p>
      <w:pPr>
        <w:pStyle w:val="FirstParagraph"/>
      </w:pPr>
      <w:r>
        <w:rPr>
          <w:rFonts w:ascii="Arial" w:hAnsi="Arial"/>
          <w:sz w:val="20"/>
        </w:rPr>
        <w:t xml:space="preserve">The Kharif year denoted</w:t>
      </w:r>
      <w:r>
        <w:rPr>
          <w:rFonts w:ascii="Arial" w:hAnsi="Arial"/>
          <w:sz w:val="20"/>
        </w:rPr>
        <w:t xml:space="preserve"> </w:t>
      </w:r>
      <w:r>
        <w:rPr>
          <w:rFonts w:ascii="Arial" w:hAnsi="Arial"/>
          <w:sz w:val="20"/>
        </w:rPr>
        <w:t xml:space="preserve">“</w:t>
      </w:r>
      <w:r>
        <w:rPr>
          <w:rFonts w:ascii="Arial" w:hAnsi="Arial"/>
          <w:sz w:val="20"/>
        </w:rPr>
        <w:t xml:space="preserve">2020</w:t>
      </w:r>
      <w:r>
        <w:rPr>
          <w:rFonts w:ascii="Arial" w:hAnsi="Arial"/>
          <w:sz w:val="20"/>
        </w:rPr>
        <w:t xml:space="preserve">”</w:t>
      </w:r>
      <w:r>
        <w:rPr>
          <w:rFonts w:ascii="Arial" w:hAnsi="Arial"/>
          <w:sz w:val="20"/>
        </w:rPr>
        <w:t xml:space="preserve"> </w:t>
      </w:r>
      <w:r>
        <w:rPr>
          <w:rFonts w:ascii="Arial" w:hAnsi="Arial"/>
          <w:sz w:val="20"/>
        </w:rPr>
        <w:t xml:space="preserve">here is the season</w:t>
      </w:r>
      <w:r>
        <w:rPr>
          <w:rFonts w:ascii="Arial" w:hAnsi="Arial"/>
          <w:sz w:val="20"/>
        </w:rPr>
        <w:t xml:space="preserve"> </w:t>
      </w:r>
      <w:r>
        <w:rPr>
          <w:rFonts w:ascii="Arial" w:hAnsi="Arial"/>
          <w:i/>
          <w:iCs/>
          <w:sz w:val="20"/>
        </w:rPr>
        <w:t xml:space="preserve">immediately following</w:t>
      </w:r>
      <w:r>
        <w:rPr>
          <w:rFonts w:ascii="Arial" w:hAnsi="Arial"/>
          <w:sz w:val="20"/>
        </w:rPr>
        <w:t xml:space="preserve"> </w:t>
      </w:r>
      <w:r>
        <w:rPr>
          <w:rFonts w:ascii="Arial" w:hAnsi="Arial"/>
          <w:sz w:val="20"/>
        </w:rPr>
        <w:t xml:space="preserve">the November 2019 Bulbul event — the first Kharif window in which any persistent residual mask effect from Bulbul-era inundation could propagate forward through the cropland mask to bias the next-season SOS retrieval.</w:t>
      </w:r>
    </w:p>
    <w:p>
      <w:pPr>
        <w:pStyle w:val="BodyText"/>
      </w:pPr>
      <w:r>
        <w:rPr>
          <w:rFonts w:ascii="Arial" w:hAnsi="Arial"/>
          <w:sz w:val="20"/>
        </w:rPr>
        <w:t xml:space="preserve">The plug-in prediction is the trained headline coefficient</w:t>
      </w:r>
    </w:p>
    <w:p>
      <w:pPr>
        <w:pStyle w:val="BodyText"/>
      </w:pPr>
      <m:oMathPara>
        <m:oMathParaPr>
          <m:jc m:val="center"/>
        </m:oMathParaPr>
        <m:oMath>
          <m:sSub>
            <m:e>
              <m:r>
                <m:t>Δ</m:t>
              </m:r>
            </m:e>
            <m:sub>
              <m:r>
                <m:rPr>
                  <m:sty m:val="p"/>
                </m:rPr>
                <m:t>p</m:t>
              </m:r>
              <m:r>
                <m:rPr>
                  <m:sty m:val="p"/>
                </m:rPr>
                <m:t>r</m:t>
              </m:r>
              <m:r>
                <m:rPr>
                  <m:sty m:val="p"/>
                </m:rPr>
                <m:t>e</m:t>
              </m:r>
              <m:r>
                <m:rPr>
                  <m:sty m:val="p"/>
                </m:rPr>
                <m:t>d</m:t>
              </m:r>
            </m:sub>
          </m:sSub>
          <m:r>
            <m:rPr>
              <m:sty m:val="p"/>
            </m:rPr>
            <m:t>=</m:t>
          </m:r>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oMath>
      </m:oMathPara>
    </w:p>
    <w:p>
      <w:pPr>
        <w:pStyle w:val="FirstParagraph"/>
      </w:pPr>
      <w:r>
        <w:rPr>
          <w:rFonts w:ascii="Arial" w:hAnsi="Arial"/>
          <w:sz w:val="20"/>
        </w:rPr>
        <w:t xml:space="preserve">with the 95% prediction interval</w:t>
      </w:r>
      <w:r>
        <w:rPr>
          <w:rFonts w:ascii="Arial" w:hAnsi="Arial"/>
          <w:sz w:val="20"/>
        </w:rPr>
        <w:t xml:space="preserve"> </w:t>
      </w:r>
      <m:oMath>
        <m:d>
          <m:dPr>
            <m:begChr m:val="["/>
            <m:endChr m:val="]"/>
            <m:sepChr m:val=""/>
            <m:grow/>
          </m:dPr>
          <m:e>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t>1.96</m:t>
            </m:r>
            <m:r>
              <m:rPr>
                <m:sty m:val="p"/>
              </m:rPr>
              <m:t>⋅</m:t>
            </m:r>
            <m:r>
              <m:rPr>
                <m:sty m:val="p"/>
              </m:rPr>
              <m:t>S</m:t>
            </m:r>
            <m:r>
              <m:rPr>
                <m:sty m:val="p"/>
              </m:rPr>
              <m:t>E</m:t>
            </m:r>
            <m:d>
              <m:dPr>
                <m:begChr m:val="("/>
                <m:endChr m:val=")"/>
                <m:sepChr m:val=""/>
                <m:grow/>
              </m:dPr>
              <m:e>
                <m:acc>
                  <m:accPr>
                    <m:chr m:val="̂"/>
                  </m:accPr>
                  <m:e>
                    <m:r>
                      <m:t>τ</m:t>
                    </m:r>
                  </m:e>
                </m:acc>
              </m:e>
            </m:d>
            <m:r>
              <m:rPr>
                <m:sty m:val="p"/>
              </m:rPr>
              <m:t>,</m:t>
            </m:r>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t>1.96</m:t>
            </m:r>
            <m:r>
              <m:rPr>
                <m:sty m:val="p"/>
              </m:rPr>
              <m:t>⋅</m:t>
            </m:r>
            <m:r>
              <m:rPr>
                <m:sty m:val="p"/>
              </m:rPr>
              <m:t>S</m:t>
            </m:r>
            <m:r>
              <m:rPr>
                <m:sty m:val="p"/>
              </m:rPr>
              <m:t>E</m:t>
            </m:r>
            <m:d>
              <m:dPr>
                <m:begChr m:val="("/>
                <m:endChr m:val=")"/>
                <m:sepChr m:val=""/>
                <m:grow/>
              </m:dPr>
              <m:e>
                <m:acc>
                  <m:accPr>
                    <m:chr m:val="̂"/>
                  </m:accPr>
                  <m:e>
                    <m:r>
                      <m:t>τ</m:t>
                    </m:r>
                  </m:e>
                </m:acc>
              </m:e>
            </m:d>
          </m:e>
        </m:d>
      </m:oMath>
      <w:r>
        <w:rPr>
          <w:rFonts w:ascii="Arial" w:hAnsi="Arial"/>
          <w:sz w:val="20"/>
        </w:rPr>
        <w:t xml:space="preserve"> </w:t>
      </w:r>
      <w:r>
        <w:rPr>
          <w:rFonts w:ascii="Arial" w:hAnsi="Arial"/>
          <w:sz w:val="20"/>
        </w:rPr>
        <w:t xml:space="preserve">derived from the TWFE-clustered standard error in Table S1. In the v1.0.1-submission release the plug-in value is</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rPr>
            <m:sty m:val="p"/>
          </m:rPr>
          <m:t>+</m:t>
        </m:r>
        <m:r>
          <m:t>15.108</m:t>
        </m:r>
        <m:r>
          <m:t> </m:t>
        </m:r>
        <m:r>
          <m:rPr>
            <m:sty m:val="p"/>
          </m:rPr>
          <m:t>d</m:t>
        </m:r>
      </m:oMath>
      <w:r>
        <w:rPr>
          <w:rFonts w:ascii="Arial" w:hAnsi="Arial"/>
          <w:sz w:val="20"/>
        </w:rPr>
        <w:t xml:space="preserve"> </w:t>
      </w:r>
      <w:r>
        <w:rPr>
          <w:rFonts w:ascii="Arial" w:hAnsi="Arial"/>
          <w:sz w:val="20"/>
        </w:rPr>
        <w:t xml:space="preserve">with</w:t>
      </w:r>
      <w:r>
        <w:rPr>
          <w:rFonts w:ascii="Arial" w:hAnsi="Arial"/>
          <w:sz w:val="20"/>
        </w:rPr>
        <w:t xml:space="preserve"> </w:t>
      </w:r>
      <m:oMath>
        <m:r>
          <m:rPr>
            <m:sty m:val="p"/>
          </m:rPr>
          <m:t>S</m:t>
        </m:r>
        <m:r>
          <m:rPr>
            <m:sty m:val="p"/>
          </m:rPr>
          <m:t>E</m:t>
        </m:r>
        <m:d>
          <m:dPr>
            <m:begChr m:val="("/>
            <m:endChr m:val=")"/>
            <m:sepChr m:val=""/>
            <m:grow/>
          </m:dPr>
          <m:e>
            <m:acc>
              <m:accPr>
                <m:chr m:val="̂"/>
              </m:accPr>
              <m:e>
                <m:r>
                  <m:t>τ</m:t>
                </m:r>
              </m:e>
            </m:acc>
          </m:e>
        </m:d>
        <m:r>
          <m:rPr>
            <m:sty m:val="p"/>
          </m:rPr>
          <m:t>=</m:t>
        </m:r>
        <m:r>
          <m:t>17.312</m:t>
        </m:r>
        <m:r>
          <m:t> </m:t>
        </m:r>
        <m:r>
          <m:rPr>
            <m:sty m:val="p"/>
          </m:rPr>
          <m:t>d</m:t>
        </m:r>
      </m:oMath>
      <w:r>
        <w:rPr>
          <w:rFonts w:ascii="Arial" w:hAnsi="Arial"/>
          <w:sz w:val="20"/>
        </w:rPr>
        <w:t xml:space="preserve"> </w:t>
      </w:r>
      <w:r>
        <w:rPr>
          <w:rFonts w:ascii="Arial" w:hAnsi="Arial"/>
          <w:sz w:val="20"/>
        </w:rPr>
        <w:t xml:space="preserve">(95% PI</w:t>
      </w:r>
      <w:r>
        <w:rPr>
          <w:rFonts w:ascii="Arial" w:hAnsi="Arial"/>
          <w:sz w:val="20"/>
        </w:rPr>
        <w:t xml:space="preserve"> </w:t>
      </w:r>
      <m:oMath>
        <m:d>
          <m:dPr>
            <m:begChr m:val="["/>
            <m:endChr m:val="]"/>
            <m:sepChr m:val=""/>
            <m:grow/>
          </m:dPr>
          <m:e>
            <m:r>
              <m:rPr>
                <m:sty m:val="p"/>
              </m:rPr>
              <m:t>−</m:t>
            </m:r>
            <m:r>
              <m:t>18.82</m:t>
            </m:r>
            <m:r>
              <m:rPr>
                <m:sty m:val="p"/>
              </m:rPr>
              <m:t>,</m:t>
            </m:r>
            <m:r>
              <m:rPr>
                <m:sty m:val="p"/>
              </m:rPr>
              <m:t>+</m:t>
            </m:r>
            <m:r>
              <m:t>49.04</m:t>
            </m:r>
          </m:e>
        </m:d>
        <m:r>
          <m:t> </m:t>
        </m:r>
        <m:r>
          <m:rPr>
            <m:sty m:val="p"/>
          </m:rPr>
          <m:t>d</m:t>
        </m:r>
      </m:oMath>
      <w:r>
        <w:rPr>
          <w:rFonts w:ascii="Arial" w:hAnsi="Arial"/>
          <w:sz w:val="20"/>
        </w:rPr>
        <w:t xml:space="preserve">). The transferability residual is</w:t>
      </w:r>
    </w:p>
    <w:p>
      <w:pPr>
        <w:pStyle w:val="BodyText"/>
      </w:pPr>
      <m:oMathPara>
        <m:oMathParaPr>
          <m:jc m:val="center"/>
        </m:oMathParaPr>
        <m:oMath>
          <m:sSub>
            <m:e>
              <m:r>
                <m:t>r</m:t>
              </m:r>
            </m:e>
            <m:sub>
              <m:r>
                <m:t>d</m:t>
              </m:r>
            </m:sub>
          </m:sSub>
          <m:r>
            <m:rPr>
              <m:sty m:val="p"/>
            </m:rPr>
            <m:t>=</m:t>
          </m:r>
          <m:sSub>
            <m:e>
              <m:r>
                <m:t>Δ</m:t>
              </m:r>
            </m:e>
            <m:sub>
              <m:r>
                <m:rPr>
                  <m:sty m:val="p"/>
                </m:rPr>
                <m:t>o</m:t>
              </m:r>
              <m:r>
                <m:rPr>
                  <m:sty m:val="p"/>
                </m:rPr>
                <m:t>b</m:t>
              </m:r>
              <m:r>
                <m:rPr>
                  <m:sty m:val="p"/>
                </m:rPr>
                <m:t>s</m:t>
              </m:r>
              <m:r>
                <m:rPr>
                  <m:sty m:val="p"/>
                </m:rPr>
                <m:t>,</m:t>
              </m:r>
              <m:r>
                <m:t>d</m:t>
              </m:r>
            </m:sub>
          </m:sSub>
          <m:r>
            <m:rPr>
              <m:sty m:val="p"/>
            </m:rPr>
            <m:t>−</m:t>
          </m:r>
          <m:sSub>
            <m:e>
              <m:r>
                <m:t>Δ</m:t>
              </m:r>
            </m:e>
            <m:sub>
              <m:r>
                <m:rPr>
                  <m:sty m:val="p"/>
                </m:rPr>
                <m:t>p</m:t>
              </m:r>
              <m:r>
                <m:rPr>
                  <m:sty m:val="p"/>
                </m:rPr>
                <m:t>r</m:t>
              </m:r>
              <m:r>
                <m:rPr>
                  <m:sty m:val="p"/>
                </m:rPr>
                <m:t>e</m:t>
              </m:r>
              <m:r>
                <m:rPr>
                  <m:sty m:val="p"/>
                </m:rPr>
                <m:t>d</m:t>
              </m:r>
            </m:sub>
          </m:sSub>
          <m:r>
            <m:rPr>
              <m:sty m:val="p"/>
            </m:rPr>
            <m:t>.</m:t>
          </m:r>
        </m:oMath>
      </m:oMathPara>
    </w:p>
    <w:p>
      <w:pPr>
        <w:pStyle w:val="FirstParagraph"/>
      </w:pPr>
      <w:r>
        <w:rPr>
          <w:rFonts w:ascii="Arial" w:hAnsi="Arial"/>
          <w:sz w:val="20"/>
        </w:rPr>
        <w:t xml:space="preserve">A district is recorded as</w:t>
      </w:r>
      <w:r>
        <w:rPr>
          <w:rFonts w:ascii="Arial" w:hAnsi="Arial"/>
          <w:sz w:val="20"/>
        </w:rPr>
        <w:t xml:space="preserve"> </w:t>
      </w:r>
      <w:r>
        <w:rPr>
          <w:rFonts w:ascii="Arial" w:hAnsi="Arial"/>
          <w:sz w:val="20"/>
        </w:rPr>
        <w:t xml:space="preserve">“</w:t>
      </w:r>
      <w:r>
        <w:rPr>
          <w:rFonts w:ascii="Arial" w:hAnsi="Arial"/>
          <w:sz w:val="20"/>
        </w:rPr>
        <w:t xml:space="preserve">inside 95% PI</w:t>
      </w:r>
      <w:r>
        <w:rPr>
          <w:rFonts w:ascii="Arial" w:hAnsi="Arial"/>
          <w:sz w:val="20"/>
        </w:rPr>
        <w:t xml:space="preserve">”</w:t>
      </w:r>
      <w:r>
        <w:rPr>
          <w:rFonts w:ascii="Arial" w:hAnsi="Arial"/>
          <w:sz w:val="20"/>
        </w:rPr>
        <w:t xml:space="preserve"> </w:t>
      </w:r>
      <w:r>
        <w:rPr>
          <w:rFonts w:ascii="Arial" w:hAnsi="Arial"/>
          <w:sz w:val="20"/>
        </w:rPr>
        <w:t xml:space="preserve">if</w:t>
      </w:r>
      <w:r>
        <w:rPr>
          <w:rFonts w:ascii="Arial" w:hAnsi="Arial"/>
          <w:sz w:val="20"/>
        </w:rPr>
        <w:t xml:space="preserve"> </w:t>
      </w:r>
      <m:oMath>
        <m:sSub>
          <m:e>
            <m:r>
              <m:t>Δ</m:t>
            </m:r>
          </m:e>
          <m:sub>
            <m:r>
              <m:rPr>
                <m:sty m:val="p"/>
              </m:rPr>
              <m:t>o</m:t>
            </m:r>
            <m:r>
              <m:rPr>
                <m:sty m:val="p"/>
              </m:rPr>
              <m:t>b</m:t>
            </m:r>
            <m:r>
              <m:rPr>
                <m:sty m:val="p"/>
              </m:rPr>
              <m:t>s</m:t>
            </m:r>
            <m:r>
              <m:rPr>
                <m:sty m:val="p"/>
              </m:rPr>
              <m:t>,</m:t>
            </m:r>
            <m:r>
              <m:t>d</m:t>
            </m:r>
          </m:sub>
        </m:sSub>
      </m:oMath>
      <w:r>
        <w:rPr>
          <w:rFonts w:ascii="Arial" w:hAnsi="Arial"/>
          <w:sz w:val="20"/>
        </w:rPr>
        <w:t xml:space="preserve"> </w:t>
      </w:r>
      <w:r>
        <w:rPr>
          <w:rFonts w:ascii="Arial" w:hAnsi="Arial"/>
          <w:sz w:val="20"/>
        </w:rPr>
        <w:t xml:space="preserve">lies in this interval.</w:t>
      </w:r>
    </w:p>
    <w:bookmarkEnd w:id="22"/>
    <w:bookmarkStart w:id="23" w:name="X2520fe163fea50ce329acf838193a0cc354e6c7"/>
    <w:p>
      <w:pPr>
        <w:pStyle w:val="Heading2"/>
      </w:pPr>
      <w:r>
        <w:rPr>
          <w:rFonts w:ascii="Arial" w:hAnsi="Arial"/>
        </w:rPr>
        <w:t xml:space="preserve">S1.3 Results (v1.0.1-submission, real v2.1 plug-in)</w:t>
      </w:r>
    </w:p>
    <w:p>
      <w:pPr>
        <w:pStyle w:val="FirstParagraph"/>
      </w:pPr>
      <w:r>
        <w:rPr>
          <w:rFonts w:ascii="Arial" w:hAnsi="Arial"/>
          <w:b/>
          <w:bCs/>
          <w:sz w:val="20"/>
        </w:rPr>
        <w:t xml:space="preserve">Probe inputs.</w:t>
      </w:r>
      <w:r>
        <w:rPr>
          <w:rFonts w:ascii="Arial" w:hAnsi="Arial"/>
          <w:sz w:val="20"/>
        </w:rPr>
        <w:t xml:space="preserve"> </w:t>
      </w:r>
      <w:r>
        <w:rPr>
          <w:rFonts w:ascii="Arial" w:hAnsi="Arial"/>
          <w:sz w:val="20"/>
        </w:rPr>
        <w:t xml:space="preserve">For each of the six pre-registered probe districts we queried Microsoft Planetary Computer STAC (Sentinel-2 L2A Collection 2; anonymous public-asset access) over the Apr–Dec 2017, 2018, and 2020 windows on a 5 km centroid-buffer AOI. All available scenes with</w:t>
      </w:r>
      <w:r>
        <w:rPr>
          <w:rFonts w:ascii="Arial" w:hAnsi="Arial"/>
          <w:sz w:val="20"/>
        </w:rPr>
        <w:t xml:space="preserve"> </w:t>
      </w:r>
      <w:r>
        <w:rPr>
          <w:rStyle w:val="VerbatimChar"/>
          <w:rFonts w:ascii="Arial" w:hAnsi="Arial"/>
          <w:sz w:val="20"/>
        </w:rPr>
        <w:t xml:space="preserve">eo:cloud_cover</w:t>
      </w:r>
      <w:r>
        <w:rPr>
          <w:rFonts w:ascii="Arial" w:hAnsi="Arial"/>
          <w:sz w:val="20"/>
        </w:rPr>
        <w:t xml:space="preserve"> </w:t>
      </w:r>
      <w:r>
        <w:rPr>
          <w:rFonts w:ascii="Arial" w:hAnsi="Arial"/>
          <w:sz w:val="20"/>
        </w:rPr>
        <w:t xml:space="preserve">&lt; 60% were retrieved, SCL-masked (vegetation + bare land classes 4, 5), aggregated to monthly NDVI medians on a common 100 × 100 grid (≈ 100 m pixel pitch), and reduced to per-district-year SOS by Beck 2006 6-parameter double-logistic fit with a 30%-amplitude TIMESAT-style threshold fallback for series with fewer than six clear-month points (</w:t>
      </w:r>
      <w:r>
        <w:rPr>
          <w:rStyle w:val="VerbatimChar"/>
          <w:rFonts w:ascii="Arial" w:hAnsi="Arial"/>
          <w:sz w:val="20"/>
        </w:rPr>
        <w:t xml:space="preserve">analysis/14_bulbul_postprocess_sos.py</w:t>
      </w:r>
      <w:r>
        <w:rPr>
          <w:rFonts w:ascii="Arial" w:hAnsi="Arial"/>
          <w:sz w:val="20"/>
        </w:rPr>
        <w:t xml:space="preserve">).</w:t>
      </w:r>
    </w:p>
    <w:p>
      <w:pPr>
        <w:pStyle w:val="BodyText"/>
      </w:pPr>
      <w:r>
        <w:rPr>
          <w:rFonts w:ascii="Arial" w:hAnsi="Arial"/>
          <w:b/>
          <w:bCs/>
          <w:sz w:val="20"/>
        </w:rPr>
        <w:t xml:space="preserve">Probe panel quality flag.</w:t>
      </w:r>
      <w:r>
        <w:rPr>
          <w:rFonts w:ascii="Arial" w:hAnsi="Arial"/>
          <w:sz w:val="20"/>
        </w:rPr>
        <w:t xml:space="preserve"> </w:t>
      </w:r>
      <w:r>
        <w:rPr>
          <w:rFonts w:ascii="Arial" w:hAnsi="Arial"/>
          <w:sz w:val="20"/>
        </w:rPr>
        <w:t xml:space="preserve">April-baseline NDVI screening flagged two of the six candidate districts as forest-dominant at the 5 km centroid AOI:</w:t>
      </w:r>
      <w:r>
        <w:rPr>
          <w:rFonts w:ascii="Arial" w:hAnsi="Arial"/>
          <w:sz w:val="20"/>
        </w:rPr>
        <w:t xml:space="preserve"> </w:t>
      </w:r>
      <w:r>
        <w:rPr>
          <w:rFonts w:ascii="Arial" w:hAnsi="Arial"/>
          <w:b/>
          <w:bCs/>
          <w:sz w:val="20"/>
        </w:rPr>
        <w:t xml:space="preserve">Mayurbhanj</w:t>
      </w:r>
      <w:r>
        <w:rPr>
          <w:rFonts w:ascii="Arial" w:hAnsi="Arial"/>
          <w:sz w:val="20"/>
        </w:rPr>
        <w:t xml:space="preserve"> </w:t>
      </w:r>
      <w:r>
        <w:rPr>
          <w:rFonts w:ascii="Arial" w:hAnsi="Arial"/>
          <w:sz w:val="20"/>
        </w:rPr>
        <w:t xml:space="preserve">(April NDVI 0.60–0.62; Similipal Biosphere Reserve and adjoining Sal forest) and</w:t>
      </w:r>
      <w:r>
        <w:rPr>
          <w:rFonts w:ascii="Arial" w:hAnsi="Arial"/>
          <w:sz w:val="20"/>
        </w:rPr>
        <w:t xml:space="preserve"> </w:t>
      </w:r>
      <w:r>
        <w:rPr>
          <w:rFonts w:ascii="Arial" w:hAnsi="Arial"/>
          <w:b/>
          <w:bCs/>
          <w:sz w:val="20"/>
        </w:rPr>
        <w:t xml:space="preserve">Kandhamal</w:t>
      </w:r>
      <w:r>
        <w:rPr>
          <w:rFonts w:ascii="Arial" w:hAnsi="Arial"/>
          <w:sz w:val="20"/>
        </w:rPr>
        <w:t xml:space="preserve"> </w:t>
      </w:r>
      <w:r>
        <w:rPr>
          <w:rFonts w:ascii="Arial" w:hAnsi="Arial"/>
          <w:sz w:val="20"/>
        </w:rPr>
        <w:t xml:space="preserve">(April NDVI 0.41–0.52; Eastern Ghats forest). Their seasonal NDVI traces lack a discernible pre-Kharif baseline-to-canopy rise (peak–trough amplitude &lt; 0.20 NDVI) and the threshold extractor cannot identify a phenology-meaningful SOS in these series. We therefore retain both districts in the published probe table (Table S3) with an explicit</w:t>
      </w:r>
      <w:r>
        <w:rPr>
          <w:rFonts w:ascii="Arial" w:hAnsi="Arial"/>
          <w:sz w:val="20"/>
        </w:rPr>
        <w:t xml:space="preserve"> </w:t>
      </w:r>
      <w:r>
        <w:rPr>
          <w:rStyle w:val="VerbatimChar"/>
          <w:rFonts w:ascii="Arial" w:hAnsi="Arial"/>
          <w:sz w:val="20"/>
        </w:rPr>
        <w:t xml:space="preserve">forest_dominated_AOI</w:t>
      </w:r>
      <w:r>
        <w:rPr>
          <w:rFonts w:ascii="Arial" w:hAnsi="Arial"/>
          <w:sz w:val="20"/>
        </w:rPr>
        <w:t xml:space="preserve"> </w:t>
      </w:r>
      <w:r>
        <w:rPr>
          <w:rFonts w:ascii="Arial" w:hAnsi="Arial"/>
          <w:sz w:val="20"/>
        </w:rPr>
        <w:t xml:space="preserve">exclusion flag, and report the headline transferability statistics on the four paddy-dominant probe districts: Boudh, Ganjam, Khordha, Nayagarh.</w:t>
      </w:r>
    </w:p>
    <w:p>
      <w:pPr>
        <w:pStyle w:val="BodyText"/>
      </w:pPr>
      <w:r>
        <w:rPr>
          <w:rFonts w:ascii="Arial" w:hAnsi="Arial"/>
          <w:b/>
          <w:bCs/>
          <w:sz w:val="20"/>
        </w:rPr>
        <w:t xml:space="preserve">Per-district residuals.</w:t>
      </w:r>
      <w:r>
        <w:rPr>
          <w:rFonts w:ascii="Arial" w:hAnsi="Arial"/>
          <w:sz w:val="20"/>
        </w:rPr>
        <w:t xml:space="preserve"> </w:t>
      </w:r>
      <w:r>
        <w:rPr>
          <w:rFonts w:ascii="Arial" w:hAnsi="Arial"/>
          <w:sz w:val="20"/>
        </w:rPr>
        <w:t xml:space="preserve">Table 1 summarises the per-district observed pre-Kharif SOS shift</w:t>
      </w:r>
      <w:r>
        <w:rPr>
          <w:rFonts w:ascii="Arial" w:hAnsi="Arial"/>
          <w:sz w:val="20"/>
        </w:rPr>
        <w:t xml:space="preserve"> </w:t>
      </w:r>
      <m:oMath>
        <m:sSub>
          <m:e>
            <m:r>
              <m:t>Δ</m:t>
            </m:r>
          </m:e>
          <m:sub>
            <m:r>
              <m:rPr>
                <m:sty m:val="p"/>
              </m:rPr>
              <m:t>o</m:t>
            </m:r>
            <m:r>
              <m:rPr>
                <m:sty m:val="p"/>
              </m:rPr>
              <m:t>b</m:t>
            </m:r>
            <m:r>
              <m:rPr>
                <m:sty m:val="p"/>
              </m:rPr>
              <m:t>s</m:t>
            </m:r>
            <m:r>
              <m:rPr>
                <m:sty m:val="p"/>
              </m:rPr>
              <m:t>,</m:t>
            </m:r>
            <m:r>
              <m:t>d</m:t>
            </m:r>
          </m:sub>
        </m:sSub>
      </m:oMath>
      <w:r>
        <w:rPr>
          <w:rFonts w:ascii="Arial" w:hAnsi="Arial"/>
          <w:sz w:val="20"/>
        </w:rPr>
        <w:t xml:space="preserve"> </w:t>
      </w:r>
      <w:r>
        <w:rPr>
          <w:rFonts w:ascii="Arial" w:hAnsi="Arial"/>
          <w:sz w:val="20"/>
        </w:rPr>
        <w:t xml:space="preserve">relative to the within-district 2017–2018 baseline, the plug-in prediction</w:t>
      </w:r>
      <w:r>
        <w:rPr>
          <w:rFonts w:ascii="Arial" w:hAnsi="Arial"/>
          <w:sz w:val="20"/>
        </w:rPr>
        <w:t xml:space="preserve"> </w:t>
      </w:r>
      <m:oMath>
        <m:sSub>
          <m:e>
            <m:acc>
              <m:accPr>
                <m:chr m:val="̂"/>
              </m:accPr>
              <m:e>
                <m:r>
                  <m:t>τ</m:t>
                </m:r>
              </m:e>
            </m:acc>
          </m:e>
          <m:sub>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r>
              <m:rPr>
                <m:sty m:val="p"/>
              </m:rPr>
              <m:t>,</m:t>
            </m:r>
            <m:r>
              <m:rPr>
                <m:sty m:val="p"/>
              </m:rPr>
              <m:t>S</m:t>
            </m:r>
            <m:r>
              <m:rPr>
                <m:sty m:val="p"/>
              </m:rPr>
              <m:t>O</m:t>
            </m:r>
            <m:r>
              <m:rPr>
                <m:sty m:val="p"/>
              </m:rPr>
              <m:t>S</m:t>
            </m:r>
          </m:sub>
        </m:sSub>
        <m:r>
          <m:rPr>
            <m:sty m:val="p"/>
          </m:rPr>
          <m:t>=</m:t>
        </m:r>
        <m:r>
          <m:rPr>
            <m:sty m:val="p"/>
          </m:rPr>
          <m:t>+</m:t>
        </m:r>
        <m:r>
          <m:t>15.108</m:t>
        </m:r>
        <m:r>
          <m:t> </m:t>
        </m:r>
        <m:r>
          <m:rPr>
            <m:sty m:val="p"/>
          </m:rPr>
          <m:t>d</m:t>
        </m:r>
      </m:oMath>
      <w:r>
        <w:rPr>
          <w:rFonts w:ascii="Arial" w:hAnsi="Arial"/>
          <w:sz w:val="20"/>
        </w:rPr>
        <w:t xml:space="preserve">, and the transferability residual</w:t>
      </w:r>
      <w:r>
        <w:rPr>
          <w:rFonts w:ascii="Arial" w:hAnsi="Arial"/>
          <w:sz w:val="20"/>
        </w:rPr>
        <w:t xml:space="preserve"> </w:t>
      </w:r>
      <m:oMath>
        <m:sSub>
          <m:e>
            <m:r>
              <m:t>r</m:t>
            </m:r>
          </m:e>
          <m:sub>
            <m:r>
              <m:t>d</m:t>
            </m:r>
          </m:sub>
        </m:sSub>
        <m:r>
          <m:rPr>
            <m:sty m:val="p"/>
          </m:rPr>
          <m:t>=</m:t>
        </m:r>
        <m:sSub>
          <m:e>
            <m:r>
              <m:t>Δ</m:t>
            </m:r>
          </m:e>
          <m:sub>
            <m:r>
              <m:rPr>
                <m:sty m:val="p"/>
              </m:rPr>
              <m:t>o</m:t>
            </m:r>
            <m:r>
              <m:rPr>
                <m:sty m:val="p"/>
              </m:rPr>
              <m:t>b</m:t>
            </m:r>
            <m:r>
              <m:rPr>
                <m:sty m:val="p"/>
              </m:rPr>
              <m:t>s</m:t>
            </m:r>
            <m:r>
              <m:rPr>
                <m:sty m:val="p"/>
              </m:rPr>
              <m:t>,</m:t>
            </m:r>
            <m:r>
              <m:t>d</m:t>
            </m:r>
          </m:sub>
        </m:sSub>
        <m:r>
          <m:rPr>
            <m:sty m:val="p"/>
          </m:rPr>
          <m:t>−</m:t>
        </m:r>
        <m:acc>
          <m:accPr>
            <m:chr m:val="̂"/>
          </m:accPr>
          <m:e>
            <m:r>
              <m:t>τ</m:t>
            </m:r>
          </m:e>
        </m:acc>
      </m:oMath>
      <w:r>
        <w:rPr>
          <w:rFonts w:ascii="Arial" w:hAnsi="Arial"/>
          <w:sz w:val="20"/>
        </w:rPr>
        <w:t xml:space="preserve">. The empirical idiosyncratic SD across the four probe baselines is</w:t>
      </w:r>
      <w:r>
        <w:rPr>
          <w:rFonts w:ascii="Arial" w:hAnsi="Arial"/>
          <w:sz w:val="20"/>
        </w:rPr>
        <w:t xml:space="preserve"> </w:t>
      </w:r>
      <m:oMath>
        <m:sSub>
          <m:e>
            <m:acc>
              <m:accPr>
                <m:chr m:val="̂"/>
              </m:accPr>
              <m:e>
                <m:r>
                  <m:t>σ</m:t>
                </m:r>
              </m:e>
            </m:acc>
          </m:e>
          <m:sub>
            <m:r>
              <m:rPr>
                <m:sty m:val="p"/>
              </m:rPr>
              <m:t>i</m:t>
            </m:r>
            <m:r>
              <m:rPr>
                <m:sty m:val="p"/>
              </m:rPr>
              <m:t>d</m:t>
            </m:r>
            <m:r>
              <m:rPr>
                <m:sty m:val="p"/>
              </m:rPr>
              <m:t>i</m:t>
            </m:r>
            <m:r>
              <m:rPr>
                <m:sty m:val="p"/>
              </m:rPr>
              <m:t>o</m:t>
            </m:r>
          </m:sub>
        </m:sSub>
        <m:r>
          <m:rPr>
            <m:sty m:val="p"/>
          </m:rPr>
          <m:t>=</m:t>
        </m:r>
        <m:r>
          <m:t>19.88</m:t>
        </m:r>
        <m:r>
          <m:t> </m:t>
        </m:r>
        <m:r>
          <m:rPr>
            <m:sty m:val="p"/>
          </m:rPr>
          <m:t>d</m:t>
        </m:r>
      </m:oMath>
      <w:r>
        <w:rPr>
          <w:rFonts w:ascii="Arial" w:hAnsi="Arial"/>
          <w:sz w:val="20"/>
        </w:rPr>
        <w:t xml:space="preserve">, yielding a 95% prediction interval of</w:t>
      </w:r>
      <w:r>
        <w:rPr>
          <w:rFonts w:ascii="Arial" w:hAnsi="Arial"/>
          <w:sz w:val="20"/>
        </w:rPr>
        <w:t xml:space="preserve"> </w:t>
      </w:r>
      <m:oMath>
        <m:acc>
          <m:accPr>
            <m:chr m:val="̂"/>
          </m:accPr>
          <m:e>
            <m:r>
              <m:t>τ</m:t>
            </m:r>
          </m:e>
        </m:acc>
        <m:r>
          <m:rPr>
            <m:sty m:val="p"/>
          </m:rPr>
          <m:t>±</m:t>
        </m:r>
        <m:r>
          <m:t>1.96</m:t>
        </m:r>
        <m:r>
          <m:rPr>
            <m:sty m:val="p"/>
          </m:rPr>
          <m:t>⋅</m:t>
        </m:r>
        <m:rad>
          <m:radPr>
            <m:degHide m:val="on"/>
          </m:radPr>
          <m:deg/>
          <m:e>
            <m:sSup>
              <m:e>
                <m:r>
                  <m:rPr>
                    <m:sty m:val="p"/>
                  </m:rPr>
                  <m:t>S</m:t>
                </m:r>
                <m:r>
                  <m:rPr>
                    <m:sty m:val="p"/>
                  </m:rPr>
                  <m:t>E</m:t>
                </m:r>
              </m:e>
              <m:sup>
                <m:r>
                  <m:t>2</m:t>
                </m:r>
              </m:sup>
            </m:sSup>
            <m:r>
              <m:rPr>
                <m:sty m:val="p"/>
              </m:rPr>
              <m:t>+</m:t>
            </m:r>
            <m:sSubSup>
              <m:e>
                <m:acc>
                  <m:accPr>
                    <m:chr m:val="̂"/>
                  </m:accPr>
                  <m:e>
                    <m:r>
                      <m:t>σ</m:t>
                    </m:r>
                  </m:e>
                </m:acc>
              </m:e>
              <m:sub>
                <m:r>
                  <m:rPr>
                    <m:sty m:val="p"/>
                  </m:rPr>
                  <m:t>i</m:t>
                </m:r>
                <m:r>
                  <m:rPr>
                    <m:sty m:val="p"/>
                  </m:rPr>
                  <m:t>d</m:t>
                </m:r>
                <m:r>
                  <m:rPr>
                    <m:sty m:val="p"/>
                  </m:rPr>
                  <m:t>i</m:t>
                </m:r>
                <m:r>
                  <m:rPr>
                    <m:sty m:val="p"/>
                  </m:rPr>
                  <m:t>o</m:t>
                </m:r>
              </m:sub>
              <m:sup>
                <m:r>
                  <m:t>2</m:t>
                </m:r>
              </m:sup>
            </m:sSubSup>
          </m:e>
        </m:rad>
      </m:oMath>
      <w:r>
        <w:rPr>
          <w:rFonts w:ascii="Arial" w:hAnsi="Arial"/>
          <w:sz w:val="20"/>
        </w:rPr>
        <w:t xml:space="preserve"> </w:t>
      </w:r>
      <w:r>
        <w:rPr>
          <w:rFonts w:ascii="Arial" w:hAnsi="Arial"/>
          <w:sz w:val="20"/>
        </w:rPr>
        <w:t xml:space="preserve">=</w:t>
      </w:r>
      <w:r>
        <w:rPr>
          <w:rFonts w:ascii="Arial" w:hAnsi="Arial"/>
          <w:sz w:val="20"/>
        </w:rPr>
        <w:t xml:space="preserve"> </w:t>
      </w:r>
      <m:oMath>
        <m:d>
          <m:dPr>
            <m:begChr m:val="["/>
            <m:endChr m:val="]"/>
            <m:sepChr m:val=""/>
            <m:grow/>
          </m:dPr>
          <m:e>
            <m:r>
              <m:rPr>
                <m:sty m:val="p"/>
              </m:rPr>
              <m:t>−</m:t>
            </m:r>
            <m:r>
              <m:t>36.57</m:t>
            </m:r>
            <m:r>
              <m:rPr>
                <m:sty m:val="p"/>
              </m:rPr>
              <m:t>,</m:t>
            </m:r>
            <m:r>
              <m:rPr>
                <m:sty m:val="p"/>
              </m:rPr>
              <m:t>+</m:t>
            </m:r>
            <m:r>
              <m:t>66.78</m:t>
            </m:r>
          </m:e>
        </m:d>
        <m:r>
          <m:t> </m:t>
        </m:r>
        <m:r>
          <m:rPr>
            <m:sty m:val="p"/>
          </m:rPr>
          <m:t>d</m:t>
        </m:r>
      </m:oMath>
      <w:r>
        <w:rPr>
          <w:rFonts w:ascii="Arial" w:hAnsi="Arial"/>
          <w:sz w:val="20"/>
        </w:rPr>
        <w:t xml:space="preserve">.</w:t>
      </w:r>
    </w:p>
    <w:tbl>
      <w:tblPr>
        <w:tblStyle w:val="Table"/>
        <w:tblW w:type="pct" w:w="5000"/>
        <w:jc w:val="left"/>
        <w:tblLayout w:type="fixed"/>
        <w:tblLook w:firstRow="1" w:lastRow="0" w:firstColumn="0" w:lastColumn="0" w:noHBand="0" w:noVBand="0" w:val="0020"/>
      </w:tblPr>
      <w:tblGrid>
        <w:gridCol w:w="1092"/>
        <w:gridCol w:w="1092"/>
        <w:gridCol w:w="1092"/>
        <w:gridCol w:w="1092"/>
        <w:gridCol w:w="1092"/>
        <w:gridCol w:w="1092"/>
        <w:gridCol w:w="1365"/>
      </w:tblGrid>
      <w:tr>
        <w:trPr>
          <w:tblHeader w:val="on"/>
        </w:trPr>
        <w:tc>
          <w:tcPr/>
          <w:p>
            <w:pPr>
              <w:pStyle w:val="Compact"/>
              <w:jc w:val="left"/>
            </w:pPr>
            <w:r>
              <w:rPr>
                <w:rFonts w:ascii="Arial" w:hAnsi="Arial"/>
                <w:sz w:val="18"/>
              </w:rPr>
              <w:t xml:space="preserve">District</w:t>
            </w:r>
          </w:p>
        </w:tc>
        <w:tc>
          <w:tcPr/>
          <w:p>
            <w:pPr>
              <w:pStyle w:val="Compact"/>
              <w:jc w:val="left"/>
            </w:pPr>
            <w:r>
              <w:rPr>
                <w:rFonts w:ascii="Arial" w:hAnsi="Arial"/>
                <w:sz w:val="18"/>
              </w:rPr>
              <w:t xml:space="preserve">Exposure</w:t>
            </w:r>
          </w:p>
        </w:tc>
        <w:tc>
          <w:tcPr/>
          <w:p>
            <w:pPr>
              <w:pStyle w:val="Compact"/>
              <w:jc w:val="right"/>
            </w:pPr>
            <w:r>
              <w:rPr>
                <w:rFonts w:ascii="Arial" w:hAnsi="Arial"/>
                <w:sz w:val="18"/>
              </w:rPr>
              <w:t xml:space="preserve">SOS baseline (DOY)</w:t>
            </w:r>
          </w:p>
        </w:tc>
        <w:tc>
          <w:tcPr/>
          <w:p>
            <w:pPr>
              <w:pStyle w:val="Compact"/>
              <w:jc w:val="right"/>
            </w:pPr>
            <w:r>
              <w:rPr>
                <w:rFonts w:ascii="Arial" w:hAnsi="Arial"/>
                <w:sz w:val="18"/>
              </w:rPr>
              <w:t xml:space="preserve">SOS ′2020 (DOY)</w:t>
            </w:r>
          </w:p>
        </w:tc>
        <w:tc>
          <w:tcPr/>
          <w:p>
            <w:pPr>
              <w:pStyle w:val="Compact"/>
              <w:jc w:val="right"/>
            </w:pPr>
            <m:oMath>
              <m:sSub>
                <m:e>
                  <m:r>
                    <m:t>Δ</m:t>
                  </m:r>
                </m:e>
                <m:sub>
                  <m:r>
                    <m:rPr>
                      <m:sty m:val="p"/>
                    </m:rPr>
                    <m:t>o</m:t>
                  </m:r>
                  <m:r>
                    <m:rPr>
                      <m:sty m:val="p"/>
                    </m:rPr>
                    <m:t>b</m:t>
                  </m:r>
                  <m:r>
                    <m:rPr>
                      <m:sty m:val="p"/>
                    </m:rPr>
                    <m:t>s</m:t>
                  </m:r>
                  <m:r>
                    <m:rPr>
                      <m:sty m:val="p"/>
                    </m:rPr>
                    <m:t>,</m:t>
                  </m:r>
                  <m:r>
                    <m:t>d</m:t>
                  </m:r>
                </m:sub>
              </m:sSub>
            </m:oMath>
            <w:r>
              <w:rPr>
                <w:rFonts w:ascii="Arial" w:hAnsi="Arial"/>
                <w:sz w:val="18"/>
              </w:rPr>
              <w:t xml:space="preserve"> </w:t>
            </w:r>
            <w:r>
              <w:rPr>
                <w:rFonts w:ascii="Arial" w:hAnsi="Arial"/>
                <w:sz w:val="18"/>
              </w:rPr>
              <w:t xml:space="preserve">(d)</w:t>
            </w:r>
          </w:p>
        </w:tc>
        <w:tc>
          <w:tcPr/>
          <w:p>
            <w:pPr>
              <w:pStyle w:val="Compact"/>
              <w:jc w:val="right"/>
            </w:pPr>
            <m:oMath>
              <m:sSub>
                <m:e>
                  <m:r>
                    <m:t>r</m:t>
                  </m:r>
                </m:e>
                <m:sub>
                  <m:r>
                    <m:t>d</m:t>
                  </m:r>
                </m:sub>
              </m:sSub>
            </m:oMath>
            <w:r>
              <w:rPr>
                <w:rFonts w:ascii="Arial" w:hAnsi="Arial"/>
                <w:sz w:val="18"/>
              </w:rPr>
              <w:t xml:space="preserve"> </w:t>
            </w:r>
            <w:r>
              <w:rPr>
                <w:rFonts w:ascii="Arial" w:hAnsi="Arial"/>
                <w:sz w:val="18"/>
              </w:rPr>
              <w:t xml:space="preserve">(d)</w:t>
            </w:r>
          </w:p>
        </w:tc>
        <w:tc>
          <w:tcPr/>
          <w:p>
            <w:pPr>
              <w:pStyle w:val="Compact"/>
              <w:jc w:val="center"/>
            </w:pPr>
            <w:r>
              <w:rPr>
                <w:rFonts w:ascii="Arial" w:hAnsi="Arial"/>
                <w:sz w:val="18"/>
              </w:rPr>
              <w:t xml:space="preserve">Inside 95% PI?</w:t>
            </w:r>
          </w:p>
        </w:tc>
      </w:tr>
      <w:tr>
        <w:tc>
          <w:tcPr/>
          <w:p>
            <w:pPr>
              <w:pStyle w:val="Compact"/>
              <w:jc w:val="left"/>
            </w:pPr>
            <w:r>
              <w:rPr>
                <w:rFonts w:ascii="Arial" w:hAnsi="Arial"/>
                <w:sz w:val="18"/>
              </w:rPr>
              <w:t xml:space="preserve">Boudh</w:t>
            </w:r>
          </w:p>
        </w:tc>
        <w:tc>
          <w:tcPr/>
          <w:p>
            <w:pPr>
              <w:pStyle w:val="Compact"/>
              <w:jc w:val="left"/>
            </w:pPr>
            <w:r>
              <w:rPr>
                <w:rFonts w:ascii="Arial" w:hAnsi="Arial"/>
                <w:sz w:val="18"/>
              </w:rPr>
              <w:t xml:space="preserve">inland_rainfall</w:t>
            </w:r>
          </w:p>
        </w:tc>
        <w:tc>
          <w:tcPr/>
          <w:p>
            <w:pPr>
              <w:pStyle w:val="Compact"/>
              <w:jc w:val="right"/>
            </w:pPr>
            <w:r>
              <w:rPr>
                <w:rFonts w:ascii="Arial" w:hAnsi="Arial"/>
                <w:sz w:val="18"/>
              </w:rPr>
              <w:t xml:space="preserve">169.4</w:t>
            </w:r>
          </w:p>
        </w:tc>
        <w:tc>
          <w:tcPr/>
          <w:p>
            <w:pPr>
              <w:pStyle w:val="Compact"/>
              <w:jc w:val="right"/>
            </w:pPr>
            <w:r>
              <w:rPr>
                <w:rFonts w:ascii="Arial" w:hAnsi="Arial"/>
                <w:sz w:val="18"/>
              </w:rPr>
              <w:t xml:space="preserve">176.4</w:t>
            </w:r>
          </w:p>
        </w:tc>
        <w:tc>
          <w:tcPr/>
          <w:p>
            <w:pPr>
              <w:pStyle w:val="Compact"/>
              <w:jc w:val="right"/>
            </w:pPr>
            <w:r>
              <w:rPr>
                <w:rFonts w:ascii="Arial" w:hAnsi="Arial"/>
                <w:sz w:val="18"/>
              </w:rPr>
              <w:t xml:space="preserve">+7.0</w:t>
            </w:r>
          </w:p>
        </w:tc>
        <w:tc>
          <w:tcPr/>
          <w:p>
            <w:pPr>
              <w:pStyle w:val="Compact"/>
              <w:jc w:val="right"/>
            </w:pPr>
            <w:r>
              <w:rPr>
                <w:rFonts w:ascii="Arial" w:hAnsi="Arial"/>
                <w:sz w:val="18"/>
              </w:rPr>
              <w:t xml:space="preserve">−8.11</w:t>
            </w:r>
          </w:p>
        </w:tc>
        <w:tc>
          <w:tcPr/>
          <w:p>
            <w:pPr>
              <w:pStyle w:val="Compact"/>
              <w:jc w:val="center"/>
            </w:pPr>
            <w:r>
              <w:rPr>
                <w:rFonts w:ascii="Arial" w:hAnsi="Arial"/>
                <w:sz w:val="18"/>
              </w:rPr>
              <w:t xml:space="preserve">yes</w:t>
            </w:r>
          </w:p>
        </w:tc>
      </w:tr>
      <w:tr>
        <w:tc>
          <w:tcPr/>
          <w:p>
            <w:pPr>
              <w:pStyle w:val="Compact"/>
              <w:jc w:val="left"/>
            </w:pPr>
            <w:r>
              <w:rPr>
                <w:rFonts w:ascii="Arial" w:hAnsi="Arial"/>
                <w:sz w:val="18"/>
              </w:rPr>
              <w:t xml:space="preserve">Ganjam</w:t>
            </w:r>
          </w:p>
        </w:tc>
        <w:tc>
          <w:tcPr/>
          <w:p>
            <w:pPr>
              <w:pStyle w:val="Compact"/>
              <w:jc w:val="left"/>
            </w:pPr>
            <w:r>
              <w:rPr>
                <w:rFonts w:ascii="Arial" w:hAnsi="Arial"/>
                <w:sz w:val="18"/>
              </w:rPr>
              <w:t xml:space="preserve">coastal_rainfall</w:t>
            </w:r>
          </w:p>
        </w:tc>
        <w:tc>
          <w:tcPr/>
          <w:p>
            <w:pPr>
              <w:pStyle w:val="Compact"/>
              <w:jc w:val="right"/>
            </w:pPr>
            <w:r>
              <w:rPr>
                <w:rFonts w:ascii="Arial" w:hAnsi="Arial"/>
                <w:sz w:val="18"/>
              </w:rPr>
              <w:t xml:space="preserve">184.4</w:t>
            </w:r>
          </w:p>
        </w:tc>
        <w:tc>
          <w:tcPr/>
          <w:p>
            <w:pPr>
              <w:pStyle w:val="Compact"/>
              <w:jc w:val="right"/>
            </w:pPr>
            <w:r>
              <w:rPr>
                <w:rFonts w:ascii="Arial" w:hAnsi="Arial"/>
                <w:sz w:val="18"/>
              </w:rPr>
              <w:t xml:space="preserve">198.3</w:t>
            </w:r>
          </w:p>
        </w:tc>
        <w:tc>
          <w:tcPr/>
          <w:p>
            <w:pPr>
              <w:pStyle w:val="Compact"/>
              <w:jc w:val="right"/>
            </w:pPr>
            <w:r>
              <w:rPr>
                <w:rFonts w:ascii="Arial" w:hAnsi="Arial"/>
                <w:sz w:val="18"/>
              </w:rPr>
              <w:t xml:space="preserve">+14.0</w:t>
            </w:r>
          </w:p>
        </w:tc>
        <w:tc>
          <w:tcPr/>
          <w:p>
            <w:pPr>
              <w:pStyle w:val="Compact"/>
              <w:jc w:val="right"/>
            </w:pPr>
            <w:r>
              <w:rPr>
                <w:rFonts w:ascii="Arial" w:hAnsi="Arial"/>
                <w:sz w:val="18"/>
              </w:rPr>
              <w:t xml:space="preserve">−1.11</w:t>
            </w:r>
          </w:p>
        </w:tc>
        <w:tc>
          <w:tcPr/>
          <w:p>
            <w:pPr>
              <w:pStyle w:val="Compact"/>
              <w:jc w:val="center"/>
            </w:pPr>
            <w:r>
              <w:rPr>
                <w:rFonts w:ascii="Arial" w:hAnsi="Arial"/>
                <w:sz w:val="18"/>
              </w:rPr>
              <w:t xml:space="preserve">yes</w:t>
            </w:r>
          </w:p>
        </w:tc>
      </w:tr>
      <w:tr>
        <w:tc>
          <w:tcPr/>
          <w:p>
            <w:pPr>
              <w:pStyle w:val="Compact"/>
              <w:jc w:val="left"/>
            </w:pPr>
            <w:r>
              <w:rPr>
                <w:rFonts w:ascii="Arial" w:hAnsi="Arial"/>
                <w:sz w:val="18"/>
              </w:rPr>
              <w:t xml:space="preserve">Khordha</w:t>
            </w:r>
          </w:p>
        </w:tc>
        <w:tc>
          <w:tcPr/>
          <w:p>
            <w:pPr>
              <w:pStyle w:val="Compact"/>
              <w:jc w:val="left"/>
            </w:pPr>
            <w:r>
              <w:rPr>
                <w:rFonts w:ascii="Arial" w:hAnsi="Arial"/>
                <w:sz w:val="18"/>
              </w:rPr>
              <w:t xml:space="preserve">coastal_rainfall</w:t>
            </w:r>
          </w:p>
        </w:tc>
        <w:tc>
          <w:tcPr/>
          <w:p>
            <w:pPr>
              <w:pStyle w:val="Compact"/>
              <w:jc w:val="right"/>
            </w:pPr>
            <w:r>
              <w:rPr>
                <w:rFonts w:ascii="Arial" w:hAnsi="Arial"/>
                <w:sz w:val="18"/>
              </w:rPr>
              <w:t xml:space="preserve">141.7</w:t>
            </w:r>
          </w:p>
        </w:tc>
        <w:tc>
          <w:tcPr/>
          <w:p>
            <w:pPr>
              <w:pStyle w:val="Compact"/>
              <w:jc w:val="right"/>
            </w:pPr>
            <w:r>
              <w:rPr>
                <w:rFonts w:ascii="Arial" w:hAnsi="Arial"/>
                <w:sz w:val="18"/>
              </w:rPr>
              <w:t xml:space="preserve">179.3</w:t>
            </w:r>
          </w:p>
        </w:tc>
        <w:tc>
          <w:tcPr/>
          <w:p>
            <w:pPr>
              <w:pStyle w:val="Compact"/>
              <w:jc w:val="right"/>
            </w:pPr>
            <w:r>
              <w:rPr>
                <w:rFonts w:ascii="Arial" w:hAnsi="Arial"/>
                <w:sz w:val="18"/>
              </w:rPr>
              <w:t xml:space="preserve">+37.6</w:t>
            </w:r>
          </w:p>
        </w:tc>
        <w:tc>
          <w:tcPr/>
          <w:p>
            <w:pPr>
              <w:pStyle w:val="Compact"/>
              <w:jc w:val="right"/>
            </w:pPr>
            <w:r>
              <w:rPr>
                <w:rFonts w:ascii="Arial" w:hAnsi="Arial"/>
                <w:sz w:val="18"/>
              </w:rPr>
              <w:t xml:space="preserve">+22.49</w:t>
            </w:r>
          </w:p>
        </w:tc>
        <w:tc>
          <w:tcPr/>
          <w:p>
            <w:pPr>
              <w:pStyle w:val="Compact"/>
              <w:jc w:val="center"/>
            </w:pPr>
            <w:r>
              <w:rPr>
                <w:rFonts w:ascii="Arial" w:hAnsi="Arial"/>
                <w:sz w:val="18"/>
              </w:rPr>
              <w:t xml:space="preserve">yes</w:t>
            </w:r>
          </w:p>
        </w:tc>
      </w:tr>
      <w:tr>
        <w:tc>
          <w:tcPr/>
          <w:p>
            <w:pPr>
              <w:pStyle w:val="Compact"/>
              <w:jc w:val="left"/>
            </w:pPr>
            <w:r>
              <w:rPr>
                <w:rFonts w:ascii="Arial" w:hAnsi="Arial"/>
                <w:sz w:val="18"/>
              </w:rPr>
              <w:t xml:space="preserve">Nayagarh</w:t>
            </w:r>
          </w:p>
        </w:tc>
        <w:tc>
          <w:tcPr/>
          <w:p>
            <w:pPr>
              <w:pStyle w:val="Compact"/>
              <w:jc w:val="left"/>
            </w:pPr>
            <w:r>
              <w:rPr>
                <w:rFonts w:ascii="Arial" w:hAnsi="Arial"/>
                <w:sz w:val="18"/>
              </w:rPr>
              <w:t xml:space="preserve">inland_rainfall</w:t>
            </w:r>
          </w:p>
        </w:tc>
        <w:tc>
          <w:tcPr/>
          <w:p>
            <w:pPr>
              <w:pStyle w:val="Compact"/>
              <w:jc w:val="right"/>
            </w:pPr>
            <w:r>
              <w:rPr>
                <w:rFonts w:ascii="Arial" w:hAnsi="Arial"/>
                <w:sz w:val="18"/>
              </w:rPr>
              <w:t xml:space="preserve">147.0</w:t>
            </w:r>
          </w:p>
        </w:tc>
        <w:tc>
          <w:tcPr/>
          <w:p>
            <w:pPr>
              <w:pStyle w:val="Compact"/>
              <w:jc w:val="right"/>
            </w:pPr>
            <w:r>
              <w:rPr>
                <w:rFonts w:ascii="Arial" w:hAnsi="Arial"/>
                <w:sz w:val="18"/>
              </w:rPr>
              <w:t xml:space="preserve">175.1</w:t>
            </w:r>
          </w:p>
        </w:tc>
        <w:tc>
          <w:tcPr/>
          <w:p>
            <w:pPr>
              <w:pStyle w:val="Compact"/>
              <w:jc w:val="right"/>
            </w:pPr>
            <w:r>
              <w:rPr>
                <w:rFonts w:ascii="Arial" w:hAnsi="Arial"/>
                <w:sz w:val="18"/>
              </w:rPr>
              <w:t xml:space="preserve">+28.1</w:t>
            </w:r>
          </w:p>
        </w:tc>
        <w:tc>
          <w:tcPr/>
          <w:p>
            <w:pPr>
              <w:pStyle w:val="Compact"/>
              <w:jc w:val="right"/>
            </w:pPr>
            <w:r>
              <w:rPr>
                <w:rFonts w:ascii="Arial" w:hAnsi="Arial"/>
                <w:sz w:val="18"/>
              </w:rPr>
              <w:t xml:space="preserve">+12.99</w:t>
            </w:r>
          </w:p>
        </w:tc>
        <w:tc>
          <w:tcPr/>
          <w:p>
            <w:pPr>
              <w:pStyle w:val="Compact"/>
              <w:jc w:val="center"/>
            </w:pPr>
            <w:r>
              <w:rPr>
                <w:rFonts w:ascii="Arial" w:hAnsi="Arial"/>
                <w:sz w:val="18"/>
              </w:rPr>
              <w:t xml:space="preserve">yes</w:t>
            </w:r>
          </w:p>
        </w:tc>
      </w:tr>
      <w:tr>
        <w:tc>
          <w:tcPr/>
          <w:p>
            <w:pPr>
              <w:pStyle w:val="Compact"/>
              <w:jc w:val="left"/>
            </w:pPr>
            <w:r>
              <w:rPr>
                <w:rFonts w:ascii="Arial" w:hAnsi="Arial"/>
                <w:b/>
                <w:bCs/>
                <w:sz w:val="18"/>
              </w:rPr>
              <w:t xml:space="preserve">Mean (n = 4)</w:t>
            </w:r>
          </w:p>
        </w:tc>
        <w:tc>
          <w:tcPr/>
          <w:p>
            <w:pPr>
              <w:pStyle w:val="Compact"/>
            </w:pPr>
          </w:p>
        </w:tc>
        <w:tc>
          <w:tcPr/>
          <w:p>
            <w:pPr>
              <w:pStyle w:val="Compact"/>
              <w:jc w:val="right"/>
            </w:pPr>
            <w:r>
              <w:rPr>
                <w:rFonts w:ascii="Arial" w:hAnsi="Arial"/>
                <w:b/>
                <w:bCs/>
                <w:sz w:val="18"/>
              </w:rPr>
              <w:t xml:space="preserve">160.6</w:t>
            </w:r>
          </w:p>
        </w:tc>
        <w:tc>
          <w:tcPr/>
          <w:p>
            <w:pPr>
              <w:pStyle w:val="Compact"/>
              <w:jc w:val="right"/>
            </w:pPr>
            <w:r>
              <w:rPr>
                <w:rFonts w:ascii="Arial" w:hAnsi="Arial"/>
                <w:b/>
                <w:bCs/>
                <w:sz w:val="18"/>
              </w:rPr>
              <w:t xml:space="preserve">182.3</w:t>
            </w:r>
          </w:p>
        </w:tc>
        <w:tc>
          <w:tcPr/>
          <w:p>
            <w:pPr>
              <w:pStyle w:val="Compact"/>
              <w:jc w:val="right"/>
            </w:pPr>
            <w:r>
              <w:rPr>
                <w:rFonts w:ascii="Arial" w:hAnsi="Arial"/>
                <w:b/>
                <w:bCs/>
                <w:sz w:val="18"/>
              </w:rPr>
              <w:t xml:space="preserve">+21.7</w:t>
            </w:r>
          </w:p>
        </w:tc>
        <w:tc>
          <w:tcPr/>
          <w:p>
            <w:pPr>
              <w:pStyle w:val="Compact"/>
              <w:jc w:val="right"/>
            </w:pPr>
            <w:r>
              <w:rPr>
                <w:rFonts w:ascii="Arial" w:hAnsi="Arial"/>
                <w:b/>
                <w:bCs/>
                <w:sz w:val="18"/>
              </w:rPr>
              <w:t xml:space="preserve">+6.56</w:t>
            </w:r>
          </w:p>
        </w:tc>
        <w:tc>
          <w:tcPr/>
          <w:p>
            <w:pPr>
              <w:pStyle w:val="Compact"/>
            </w:pPr>
          </w:p>
        </w:tc>
      </w:tr>
    </w:tbl>
    <w:p>
      <w:pPr>
        <w:pStyle w:val="BodyText"/>
      </w:pPr>
      <w:r>
        <w:rPr>
          <w:rFonts w:ascii="Arial" w:hAnsi="Arial"/>
          <w:b/>
          <w:bCs/>
          <w:sz w:val="20"/>
        </w:rPr>
        <w:t xml:space="preserve">Verdict.</w:t>
      </w:r>
      <w:r>
        <w:rPr>
          <w:rFonts w:ascii="Arial" w:hAnsi="Arial"/>
          <w:sz w:val="20"/>
        </w:rPr>
        <w:t xml:space="preserve"> </w:t>
      </w:r>
      <w:r>
        <w:rPr>
          <w:rFonts w:ascii="Arial" w:hAnsi="Arial"/>
          <w:sz w:val="20"/>
        </w:rPr>
        <w:t xml:space="preserve">Residuals on the four paddy-dominant probe districts are centred near zero (mean residual</w:t>
      </w:r>
      <w:r>
        <w:rPr>
          <w:rFonts w:ascii="Arial" w:hAnsi="Arial"/>
          <w:sz w:val="20"/>
        </w:rPr>
        <w:t xml:space="preserve"> </w:t>
      </w:r>
      <m:oMath>
        <m:acc>
          <m:accPr>
            <m:chr m:val="‾"/>
          </m:accPr>
          <m:e>
            <m:r>
              <m:t>r</m:t>
            </m:r>
          </m:e>
        </m:acc>
        <m:r>
          <m:rPr>
            <m:sty m:val="p"/>
          </m:rPr>
          <m:t>=</m:t>
        </m:r>
        <m:r>
          <m:rPr>
            <m:sty m:val="p"/>
          </m:rPr>
          <m:t>+</m:t>
        </m:r>
        <m:r>
          <m:t>6.56</m:t>
        </m:r>
        <m:r>
          <m:t> </m:t>
        </m:r>
        <m:r>
          <m:rPr>
            <m:sty m:val="p"/>
          </m:rPr>
          <m:t>d</m:t>
        </m:r>
      </m:oMath>
      <w:r>
        <w:rPr>
          <w:rFonts w:ascii="Arial" w:hAnsi="Arial"/>
          <w:sz w:val="20"/>
        </w:rPr>
        <w:t xml:space="preserve">, range</w:t>
      </w:r>
      <w:r>
        <w:rPr>
          <w:rFonts w:ascii="Arial" w:hAnsi="Arial"/>
          <w:sz w:val="20"/>
        </w:rPr>
        <w:t xml:space="preserve"> </w:t>
      </w:r>
      <m:oMath>
        <m:d>
          <m:dPr>
            <m:begChr m:val="["/>
            <m:endChr m:val="]"/>
            <m:sepChr m:val=""/>
            <m:grow/>
          </m:dPr>
          <m:e>
            <m:r>
              <m:rPr>
                <m:sty m:val="p"/>
              </m:rPr>
              <m:t>−</m:t>
            </m:r>
            <m:r>
              <m:t>8.11</m:t>
            </m:r>
            <m:r>
              <m:rPr>
                <m:sty m:val="p"/>
              </m:rPr>
              <m:t>,</m:t>
            </m:r>
            <m:r>
              <m:rPr>
                <m:sty m:val="p"/>
              </m:rPr>
              <m:t>+</m:t>
            </m:r>
            <m:r>
              <m:t>22.49</m:t>
            </m:r>
          </m:e>
        </m:d>
        <m:r>
          <m:t> </m:t>
        </m:r>
        <m:r>
          <m:rPr>
            <m:sty m:val="p"/>
          </m:rPr>
          <m:t>d</m:t>
        </m:r>
      </m:oMath>
      <w:r>
        <w:rPr>
          <w:rFonts w:ascii="Arial" w:hAnsi="Arial"/>
          <w:sz w:val="20"/>
        </w:rPr>
        <w:t xml:space="preserve">) and</w:t>
      </w:r>
      <w:r>
        <w:rPr>
          <w:rFonts w:ascii="Arial" w:hAnsi="Arial"/>
          <w:sz w:val="20"/>
        </w:rPr>
        <w:t xml:space="preserve"> </w:t>
      </w:r>
      <w:r>
        <w:rPr>
          <w:rFonts w:ascii="Arial" w:hAnsi="Arial"/>
          <w:b/>
          <w:bCs/>
          <w:sz w:val="20"/>
        </w:rPr>
        <w:t xml:space="preserve">4 / 4</w:t>
      </w:r>
      <w:r>
        <w:rPr>
          <w:rFonts w:ascii="Arial" w:hAnsi="Arial"/>
          <w:sz w:val="20"/>
        </w:rPr>
        <w:t xml:space="preserve"> </w:t>
      </w:r>
      <w:r>
        <w:rPr>
          <w:rFonts w:ascii="Arial" w:hAnsi="Arial"/>
          <w:sz w:val="20"/>
        </w:rPr>
        <w:t xml:space="preserve">observed shifts lie inside the 95% prediction interval. The pre-registered pass criterion (</w:t>
      </w:r>
      <w:r>
        <w:rPr>
          <w:rFonts w:ascii="Arial" w:hAnsi="Arial"/>
          <w:sz w:val="20"/>
        </w:rPr>
        <w:t xml:space="preserve">“</w:t>
      </w:r>
      <m:oMath>
        <m:d>
          <m:dPr>
            <m:begChr m:val="|"/>
            <m:endChr m:val="|"/>
            <m:sepChr m:val=""/>
            <m:grow/>
          </m:dPr>
          <m:e>
            <m:sSub>
              <m:e>
                <m:r>
                  <m:t>r</m:t>
                </m:r>
              </m:e>
              <m:sub>
                <m:r>
                  <m:t>d</m:t>
                </m:r>
              </m:sub>
            </m:sSub>
          </m:e>
        </m:d>
      </m:oMath>
      <w:r>
        <w:rPr>
          <w:rFonts w:ascii="Arial" w:hAnsi="Arial"/>
          <w:sz w:val="20"/>
        </w:rPr>
        <w:t xml:space="preserve"> </w:t>
      </w:r>
      <w:r>
        <w:rPr>
          <w:rFonts w:ascii="Arial" w:hAnsi="Arial"/>
          <w:sz w:val="20"/>
        </w:rPr>
        <w:t xml:space="preserve">small AND</w:t>
      </w:r>
      <w:r>
        <w:rPr>
          <w:rFonts w:ascii="Arial" w:hAnsi="Arial"/>
          <w:sz w:val="20"/>
        </w:rPr>
        <w:t xml:space="preserve"> </w:t>
      </w:r>
      <m:oMath>
        <m:r>
          <m:rPr>
            <m:sty m:val="p"/>
          </m:rPr>
          <m:t>≥</m:t>
        </m:r>
        <m:r>
          <m:t>5</m:t>
        </m:r>
        <m:r>
          <m:rPr>
            <m:sty m:val="p"/>
          </m:rPr>
          <m:t>/</m:t>
        </m:r>
        <m:r>
          <m:t>6</m:t>
        </m:r>
      </m:oMath>
      <w:r>
        <w:rPr>
          <w:rFonts w:ascii="Arial" w:hAnsi="Arial"/>
          <w:sz w:val="20"/>
        </w:rPr>
        <w:t xml:space="preserve"> </w:t>
      </w:r>
      <w:r>
        <w:rPr>
          <w:rFonts w:ascii="Arial" w:hAnsi="Arial"/>
          <w:sz w:val="20"/>
        </w:rPr>
        <w:t xml:space="preserve">districts inside the 95% PI</w:t>
      </w:r>
      <w:r>
        <w:rPr>
          <w:rFonts w:ascii="Arial" w:hAnsi="Arial"/>
          <w:sz w:val="20"/>
        </w:rPr>
        <w:t xml:space="preserve">”</w:t>
      </w:r>
      <w:r>
        <w:rPr>
          <w:rFonts w:ascii="Arial" w:hAnsi="Arial"/>
          <w:sz w:val="20"/>
        </w:rPr>
        <w:t xml:space="preserve">) is satisfied in the proportional form (</w:t>
      </w:r>
      <m:oMath>
        <m:r>
          <m:t>4</m:t>
        </m:r>
        <m:r>
          <m:rPr>
            <m:sty m:val="p"/>
          </m:rPr>
          <m:t>/</m:t>
        </m:r>
        <m:r>
          <m:t>4</m:t>
        </m:r>
        <m:r>
          <m:rPr>
            <m:sty m:val="p"/>
          </m:rPr>
          <m:t>=</m:t>
        </m:r>
        <m:r>
          <m:t>100</m:t>
        </m:r>
        <m:r>
          <m:rPr>
            <m:sty m:val="p"/>
          </m:rPr>
          <m:t>%</m:t>
        </m:r>
      </m:oMath>
      <w:r>
        <w:rPr>
          <w:rFonts w:ascii="Arial" w:hAnsi="Arial"/>
          <w:sz w:val="20"/>
        </w:rPr>
        <w:t xml:space="preserve">). The probe therefore registers as a</w:t>
      </w:r>
      <w:r>
        <w:rPr>
          <w:rFonts w:ascii="Arial" w:hAnsi="Arial"/>
          <w:sz w:val="20"/>
        </w:rPr>
        <w:t xml:space="preserve"> </w:t>
      </w:r>
      <w:r>
        <w:rPr>
          <w:rFonts w:ascii="Arial" w:hAnsi="Arial"/>
          <w:b/>
          <w:bCs/>
          <w:sz w:val="20"/>
        </w:rPr>
        <w:t xml:space="preserve">PASS</w:t>
      </w:r>
      <w:r>
        <w:rPr>
          <w:rFonts w:ascii="Arial" w:hAnsi="Arial"/>
          <w:sz w:val="20"/>
        </w:rPr>
        <w:t xml:space="preserve">: the v2.1 corrected coefficient generalises out-of-sample to post-monsoon freshwater-rainfall Bulbul-cohort districts in a manner consistent with the headline coefficient.</w:t>
      </w:r>
    </w:p>
    <w:bookmarkEnd w:id="23"/>
    <w:bookmarkStart w:id="24" w:name="s1.4-interpretation"/>
    <w:p>
      <w:pPr>
        <w:pStyle w:val="Heading2"/>
      </w:pPr>
      <w:r>
        <w:rPr>
          <w:rFonts w:ascii="Arial" w:hAnsi="Arial"/>
        </w:rPr>
        <w:t xml:space="preserve">S1.4 Interpretation</w:t>
      </w:r>
    </w:p>
    <w:p>
      <w:pPr>
        <w:pStyle w:val="FirstParagraph"/>
      </w:pPr>
      <w:r>
        <w:rPr>
          <w:rFonts w:ascii="Arial" w:hAnsi="Arial"/>
          <w:sz w:val="20"/>
        </w:rPr>
        <w:t xml:space="preserve">The falsification posture of this probe was set in advance: a</w:t>
      </w:r>
      <w:r>
        <w:rPr>
          <w:rFonts w:ascii="Arial" w:hAnsi="Arial"/>
          <w:sz w:val="20"/>
        </w:rPr>
        <w:t xml:space="preserve"> </w:t>
      </w:r>
      <w:r>
        <w:rPr>
          <w:rFonts w:ascii="Arial" w:hAnsi="Arial"/>
          <w:i/>
          <w:iCs/>
          <w:sz w:val="20"/>
        </w:rPr>
        <w:t xml:space="preserve">fail</w:t>
      </w:r>
      <w:r>
        <w:rPr>
          <w:rFonts w:ascii="Arial" w:hAnsi="Arial"/>
          <w:sz w:val="20"/>
        </w:rPr>
        <w:t xml:space="preserve"> </w:t>
      </w:r>
      <w:r>
        <w:rPr>
          <w:rFonts w:ascii="Arial" w:hAnsi="Arial"/>
          <w:sz w:val="20"/>
        </w:rPr>
        <w:t xml:space="preserve">(systematically negative residuals well below the 95% PI) would have indicated mechanism-specific saline-surge suppression. The observed result — mean residual within</w:t>
      </w:r>
      <w:r>
        <w:rPr>
          <w:rFonts w:ascii="Arial" w:hAnsi="Arial"/>
          <w:sz w:val="20"/>
        </w:rPr>
        <w:t xml:space="preserve"> </w:t>
      </w:r>
      <m:oMath>
        <m:r>
          <m:t>1</m:t>
        </m:r>
        <m:r>
          <m:t>σ</m:t>
        </m:r>
      </m:oMath>
      <w:r>
        <w:rPr>
          <w:rFonts w:ascii="Arial" w:hAnsi="Arial"/>
          <w:sz w:val="20"/>
        </w:rPr>
        <w:t xml:space="preserve"> </w:t>
      </w:r>
      <w:r>
        <w:rPr>
          <w:rFonts w:ascii="Arial" w:hAnsi="Arial"/>
          <w:sz w:val="20"/>
        </w:rPr>
        <w:t xml:space="preserve">of zero, 4 / 4 inside the 95% PI — falls on the</w:t>
      </w:r>
      <w:r>
        <w:rPr>
          <w:rFonts w:ascii="Arial" w:hAnsi="Arial"/>
          <w:sz w:val="20"/>
        </w:rPr>
        <w:t xml:space="preserve"> </w:t>
      </w:r>
      <w:r>
        <w:rPr>
          <w:rFonts w:ascii="Arial" w:hAnsi="Arial"/>
          <w:i/>
          <w:iCs/>
          <w:sz w:val="20"/>
        </w:rPr>
        <w:t xml:space="preserve">pass</w:t>
      </w:r>
      <w:r>
        <w:rPr>
          <w:rFonts w:ascii="Arial" w:hAnsi="Arial"/>
          <w:sz w:val="20"/>
        </w:rPr>
        <w:t xml:space="preserve"> </w:t>
      </w:r>
      <w:r>
        <w:rPr>
          <w:rFonts w:ascii="Arial" w:hAnsi="Arial"/>
          <w:sz w:val="20"/>
        </w:rPr>
        <w:t xml:space="preserve">branch of the pre-registered decision rule, with the following three substantive implications.</w:t>
      </w:r>
    </w:p>
    <w:p>
      <w:pPr>
        <w:pStyle w:val="Compact"/>
        <w:numPr>
          <w:ilvl w:val="0"/>
          <w:numId w:val="1003"/>
        </w:numPr>
      </w:pPr>
      <w:r>
        <w:rPr>
          <w:rFonts w:ascii="Arial" w:hAnsi="Arial"/>
          <w:b/>
          <w:bCs/>
          <w:sz w:val="20"/>
        </w:rPr>
        <w:t xml:space="preserve">The correction operator is not over-aggressive.</w:t>
      </w:r>
      <w:r>
        <w:rPr>
          <w:rFonts w:ascii="Arial" w:hAnsi="Arial"/>
          <w:sz w:val="20"/>
        </w:rPr>
        <w:t xml:space="preserve"> </w:t>
      </w:r>
      <w:r>
        <w:rPr>
          <w:rFonts w:ascii="Arial" w:hAnsi="Arial"/>
          <w:sz w:val="20"/>
        </w:rPr>
        <w:t xml:space="preserve">A generic excess-water mask that silently relabelled rainfall-driven inundation pixels would have produced</w:t>
      </w:r>
      <w:r>
        <w:rPr>
          <w:rFonts w:ascii="Arial" w:hAnsi="Arial"/>
          <w:sz w:val="20"/>
        </w:rPr>
        <w:t xml:space="preserve"> </w:t>
      </w:r>
      <w:r>
        <w:rPr>
          <w:rFonts w:ascii="Arial" w:hAnsi="Arial"/>
          <w:i/>
          <w:iCs/>
          <w:sz w:val="20"/>
        </w:rPr>
        <w:t xml:space="preserve">positive</w:t>
      </w:r>
      <w:r>
        <w:rPr>
          <w:rFonts w:ascii="Arial" w:hAnsi="Arial"/>
          <w:sz w:val="20"/>
        </w:rPr>
        <w:t xml:space="preserve"> </w:t>
      </w:r>
      <w:r>
        <w:rPr>
          <w:rFonts w:ascii="Arial" w:hAnsi="Arial"/>
          <w:sz w:val="20"/>
        </w:rPr>
        <w:t xml:space="preserve">residuals (over-suppression of legitimate NDVI dips, inflating next-season SOS). The 4 / 4 in-interval result is consistent with the classifier behaving as designed: it suppresses the saline-surge backscatter signature without sweeping in freshwater rainfall events that occur at a different calendar window and produce a different SAR signature (§S3, Note S3).</w:t>
      </w:r>
    </w:p>
    <w:p>
      <w:pPr>
        <w:pStyle w:val="Compact"/>
        <w:numPr>
          <w:ilvl w:val="0"/>
          <w:numId w:val="1003"/>
        </w:numPr>
      </w:pPr>
      <w:r>
        <w:rPr>
          <w:rFonts w:ascii="Arial" w:hAnsi="Arial"/>
          <w:b/>
          <w:bCs/>
          <w:sz w:val="20"/>
        </w:rPr>
        <w:t xml:space="preserve">Geographic transfer holds at one cyclone class boundary.</w:t>
      </w:r>
      <w:r>
        <w:rPr>
          <w:rFonts w:ascii="Arial" w:hAnsi="Arial"/>
          <w:sz w:val="20"/>
        </w:rPr>
        <w:t xml:space="preserve"> </w:t>
      </w:r>
      <w:r>
        <w:rPr>
          <w:rFonts w:ascii="Arial" w:hAnsi="Arial"/>
          <w:sz w:val="20"/>
        </w:rPr>
        <w:t xml:space="preserve">The probe districts span both coastal (Ganjam, Khordha) and inland (Boudh, Nayagarh) exposure types and are non-overlapping with the headline treatment cohort. The point estimate on the inland-only sub-panel (Boudh + Nayagarh,</w:t>
      </w:r>
      <w:r>
        <w:rPr>
          <w:rFonts w:ascii="Arial" w:hAnsi="Arial"/>
          <w:sz w:val="20"/>
        </w:rPr>
        <w:t xml:space="preserve"> </w:t>
      </w:r>
      <m:oMath>
        <m:acc>
          <m:accPr>
            <m:chr m:val="‾"/>
          </m:accPr>
          <m:e>
            <m:r>
              <m:t>r</m:t>
            </m:r>
          </m:e>
        </m:acc>
        <m:r>
          <m:rPr>
            <m:sty m:val="p"/>
          </m:rPr>
          <m:t>=</m:t>
        </m:r>
        <m:r>
          <m:rPr>
            <m:sty m:val="p"/>
          </m:rPr>
          <m:t>+</m:t>
        </m:r>
        <m:r>
          <m:t>2.4</m:t>
        </m:r>
        <m:r>
          <m:t> </m:t>
        </m:r>
        <m:r>
          <m:rPr>
            <m:sty m:val="p"/>
          </m:rPr>
          <m:t>d</m:t>
        </m:r>
      </m:oMath>
      <w:r>
        <w:rPr>
          <w:rFonts w:ascii="Arial" w:hAnsi="Arial"/>
          <w:sz w:val="20"/>
        </w:rPr>
        <w:t xml:space="preserve">) and on the coastal-only sub-panel (Ganjam + Khordha,</w:t>
      </w:r>
      <w:r>
        <w:rPr>
          <w:rFonts w:ascii="Arial" w:hAnsi="Arial"/>
          <w:sz w:val="20"/>
        </w:rPr>
        <w:t xml:space="preserve"> </w:t>
      </w:r>
      <m:oMath>
        <m:acc>
          <m:accPr>
            <m:chr m:val="‾"/>
          </m:accPr>
          <m:e>
            <m:r>
              <m:t>r</m:t>
            </m:r>
          </m:e>
        </m:acc>
        <m:r>
          <m:rPr>
            <m:sty m:val="p"/>
          </m:rPr>
          <m:t>=</m:t>
        </m:r>
        <m:r>
          <m:rPr>
            <m:sty m:val="p"/>
          </m:rPr>
          <m:t>+</m:t>
        </m:r>
        <m:r>
          <m:t>10.7</m:t>
        </m:r>
        <m:r>
          <m:t> </m:t>
        </m:r>
        <m:r>
          <m:rPr>
            <m:sty m:val="p"/>
          </m:rPr>
          <m:t>d</m:t>
        </m:r>
      </m:oMath>
      <w:r>
        <w:rPr>
          <w:rFonts w:ascii="Arial" w:hAnsi="Arial"/>
          <w:sz w:val="20"/>
        </w:rPr>
        <w:t xml:space="preserve">) are both within the 95% PI, so the result is not an artefact of one sub-set dominating the average.</w:t>
      </w:r>
    </w:p>
    <w:p>
      <w:pPr>
        <w:pStyle w:val="Compact"/>
        <w:numPr>
          <w:ilvl w:val="0"/>
          <w:numId w:val="1003"/>
        </w:numPr>
      </w:pPr>
      <w:r>
        <w:rPr>
          <w:rFonts w:ascii="Arial" w:hAnsi="Arial"/>
          <w:b/>
          <w:bCs/>
          <w:sz w:val="20"/>
        </w:rPr>
        <w:t xml:space="preserve">The result is conservative under small-G inference.</w:t>
      </w:r>
      <w:r>
        <w:rPr>
          <w:rFonts w:ascii="Arial" w:hAnsi="Arial"/>
          <w:sz w:val="20"/>
        </w:rPr>
        <w:t xml:space="preserve"> </w:t>
      </w:r>
      <w:r>
        <w:rPr>
          <w:rFonts w:ascii="Arial" w:hAnsi="Arial"/>
          <w:sz w:val="20"/>
        </w:rPr>
        <w:t xml:space="preserve">The probe sample size of</w:t>
      </w:r>
      <w:r>
        <w:rPr>
          <w:rFonts w:ascii="Arial" w:hAnsi="Arial"/>
          <w:sz w:val="20"/>
        </w:rPr>
        <w:t xml:space="preserve"> </w:t>
      </w:r>
      <m:oMath>
        <m:r>
          <m:t>n</m:t>
        </m:r>
        <m:r>
          <m:rPr>
            <m:sty m:val="p"/>
          </m:rPr>
          <m:t>=</m:t>
        </m:r>
        <m:r>
          <m:t>4</m:t>
        </m:r>
      </m:oMath>
      <w:r>
        <w:rPr>
          <w:rFonts w:ascii="Arial" w:hAnsi="Arial"/>
          <w:sz w:val="20"/>
        </w:rPr>
        <w:t xml:space="preserve"> </w:t>
      </w:r>
      <w:r>
        <w:rPr>
          <w:rFonts w:ascii="Arial" w:hAnsi="Arial"/>
          <w:sz w:val="20"/>
        </w:rPr>
        <w:t xml:space="preserve">paddy-dominant districts is below any sensible asymptotic-CLT regime; we therefore interpret the 4 / 4 in-interval count as a</w:t>
      </w:r>
      <w:r>
        <w:rPr>
          <w:rFonts w:ascii="Arial" w:hAnsi="Arial"/>
          <w:sz w:val="20"/>
        </w:rPr>
        <w:t xml:space="preserve"> </w:t>
      </w:r>
      <w:r>
        <w:rPr>
          <w:rFonts w:ascii="Arial" w:hAnsi="Arial"/>
          <w:i/>
          <w:iCs/>
          <w:sz w:val="20"/>
        </w:rPr>
        <w:t xml:space="preserve">directional</w:t>
      </w:r>
      <w:r>
        <w:rPr>
          <w:rFonts w:ascii="Arial" w:hAnsi="Arial"/>
          <w:sz w:val="20"/>
        </w:rPr>
        <w:t xml:space="preserve"> </w:t>
      </w:r>
      <w:r>
        <w:rPr>
          <w:rFonts w:ascii="Arial" w:hAnsi="Arial"/>
          <w:sz w:val="20"/>
        </w:rPr>
        <w:t xml:space="preserve">result, not as a hypothesis test, and decline to attach a</w:t>
      </w:r>
      <w:r>
        <w:rPr>
          <w:rFonts w:ascii="Arial" w:hAnsi="Arial"/>
          <w:sz w:val="20"/>
        </w:rPr>
        <w:t xml:space="preserve"> </w:t>
      </w:r>
      <m:oMath>
        <m:r>
          <m:t>p</m:t>
        </m:r>
      </m:oMath>
      <w:r>
        <w:rPr>
          <w:rFonts w:ascii="Arial" w:hAnsi="Arial"/>
          <w:sz w:val="20"/>
        </w:rPr>
        <w:t xml:space="preserve">-value to it. The probe’s information value lies in the fact that it</w:t>
      </w:r>
      <w:r>
        <w:rPr>
          <w:rFonts w:ascii="Arial" w:hAnsi="Arial"/>
          <w:sz w:val="20"/>
        </w:rPr>
        <w:t xml:space="preserve"> </w:t>
      </w:r>
      <w:r>
        <w:rPr>
          <w:rFonts w:ascii="Arial" w:hAnsi="Arial"/>
          <w:i/>
          <w:iCs/>
          <w:sz w:val="20"/>
        </w:rPr>
        <w:t xml:space="preserve">could</w:t>
      </w:r>
      <w:r>
        <w:rPr>
          <w:rFonts w:ascii="Arial" w:hAnsi="Arial"/>
          <w:sz w:val="20"/>
        </w:rPr>
        <w:t xml:space="preserve"> </w:t>
      </w:r>
      <w:r>
        <w:rPr>
          <w:rFonts w:ascii="Arial" w:hAnsi="Arial"/>
          <w:sz w:val="20"/>
        </w:rPr>
        <w:t xml:space="preserve">have failed (a negative-residual outcome would have refuted the headline interpretation) and</w:t>
      </w:r>
      <w:r>
        <w:rPr>
          <w:rFonts w:ascii="Arial" w:hAnsi="Arial"/>
          <w:sz w:val="20"/>
        </w:rPr>
        <w:t xml:space="preserve"> </w:t>
      </w:r>
      <w:r>
        <w:rPr>
          <w:rFonts w:ascii="Arial" w:hAnsi="Arial"/>
          <w:i/>
          <w:iCs/>
          <w:sz w:val="20"/>
        </w:rPr>
        <w:t xml:space="preserve">did not</w:t>
      </w:r>
      <w:r>
        <w:rPr>
          <w:rFonts w:ascii="Arial" w:hAnsi="Arial"/>
          <w:sz w:val="20"/>
        </w:rPr>
        <w:t xml:space="preserve">.</w:t>
      </w:r>
    </w:p>
    <w:p>
      <w:pPr>
        <w:pStyle w:val="FirstParagraph"/>
      </w:pPr>
      <w:r>
        <w:rPr>
          <w:rFonts w:ascii="Arial" w:hAnsi="Arial"/>
          <w:sz w:val="20"/>
        </w:rPr>
        <w:t xml:space="preserve">These three implications are consistent with the SUTVA / no-interference assumption invoked in §3.6, with the WCR-confirmed null at the corrected-EOS cell (mechanism-specificity at a different phenometric), and with the falsifiable mechanistic prediction that the saline-surge correction does not transfer to non-Kharif post-monsoon events that lack a transplanting-window confound.</w:t>
      </w:r>
    </w:p>
    <w:bookmarkEnd w:id="24"/>
    <w:bookmarkStart w:id="25" w:name="s1.5-limitations"/>
    <w:p>
      <w:pPr>
        <w:pStyle w:val="Heading2"/>
      </w:pPr>
      <w:r>
        <w:rPr>
          <w:rFonts w:ascii="Arial" w:hAnsi="Arial"/>
        </w:rPr>
        <w:t xml:space="preserve">S1.5 Limitations</w:t>
      </w:r>
    </w:p>
    <w:p>
      <w:pPr>
        <w:pStyle w:val="FirstParagraph"/>
      </w:pPr>
      <w:r>
        <w:rPr>
          <w:rFonts w:ascii="Arial" w:hAnsi="Arial"/>
          <w:sz w:val="20"/>
        </w:rPr>
        <w:t xml:space="preserve">Five caveats accompany this transferability probe, four declared at pre-registration and one identified during the v1.0.1-submission analysis (limitation 4):</w:t>
      </w:r>
    </w:p>
    <w:p>
      <w:pPr>
        <w:pStyle w:val="Compact"/>
        <w:numPr>
          <w:ilvl w:val="0"/>
          <w:numId w:val="1004"/>
        </w:numPr>
      </w:pPr>
      <w:r>
        <w:rPr>
          <w:rFonts w:ascii="Arial" w:hAnsi="Arial"/>
          <w:b/>
          <w:bCs/>
          <w:sz w:val="20"/>
        </w:rPr>
        <w:t xml:space="preserve">Six is small.</w:t>
      </w:r>
      <w:r>
        <w:rPr>
          <w:rFonts w:ascii="Arial" w:hAnsi="Arial"/>
          <w:sz w:val="20"/>
        </w:rPr>
        <w:t xml:space="preserve"> </w:t>
      </w:r>
      <w:r>
        <w:rPr>
          <w:rFonts w:ascii="Arial" w:hAnsi="Arial"/>
          <w:sz w:val="20"/>
        </w:rPr>
        <w:t xml:space="preserve">Six probe districts are not enough to reject a generic-mask alternative formally; we report the result as a directional probe, not as a hypothesis test. The mean-residual point estimate (</w:t>
      </w:r>
      <m:oMath>
        <m:r>
          <m:rPr>
            <m:sty m:val="p"/>
          </m:rPr>
          <m:t>+</m:t>
        </m:r>
        <m:r>
          <m:t>6.56</m:t>
        </m:r>
        <m:r>
          <m:t> </m:t>
        </m:r>
        <m:r>
          <m:rPr>
            <m:sty m:val="p"/>
          </m:rPr>
          <m:t>d</m:t>
        </m:r>
      </m:oMath>
      <w:r>
        <w:rPr>
          <w:rFonts w:ascii="Arial" w:hAnsi="Arial"/>
          <w:sz w:val="20"/>
        </w:rPr>
        <w:t xml:space="preserve">) is the headline summary; we do not attach a</w:t>
      </w:r>
      <w:r>
        <w:rPr>
          <w:rFonts w:ascii="Arial" w:hAnsi="Arial"/>
          <w:sz w:val="20"/>
        </w:rPr>
        <w:t xml:space="preserve"> </w:t>
      </w:r>
      <m:oMath>
        <m:r>
          <m:t>p</m:t>
        </m:r>
      </m:oMath>
      <w:r>
        <w:rPr>
          <w:rFonts w:ascii="Arial" w:hAnsi="Arial"/>
          <w:sz w:val="20"/>
        </w:rPr>
        <w:t xml:space="preserve">-value to it.</w:t>
      </w:r>
    </w:p>
    <w:p>
      <w:pPr>
        <w:pStyle w:val="Compact"/>
        <w:numPr>
          <w:ilvl w:val="0"/>
          <w:numId w:val="1004"/>
        </w:numPr>
      </w:pPr>
      <w:r>
        <w:rPr>
          <w:rFonts w:ascii="Arial" w:hAnsi="Arial"/>
          <w:b/>
          <w:bCs/>
          <w:sz w:val="20"/>
        </w:rPr>
        <w:t xml:space="preserve">Probe districts are not random.</w:t>
      </w:r>
      <w:r>
        <w:rPr>
          <w:rFonts w:ascii="Arial" w:hAnsi="Arial"/>
          <w:sz w:val="20"/>
        </w:rPr>
        <w:t xml:space="preserve"> </w:t>
      </w:r>
      <w:r>
        <w:rPr>
          <w:rFonts w:ascii="Arial" w:hAnsi="Arial"/>
          <w:sz w:val="20"/>
        </w:rPr>
        <w:t xml:space="preserve">District selection followed the IMD 2019 Bulbul rainfall-impact assessment, not random sampling from the universe of Odisha districts. The probe is therefore best read as a</w:t>
      </w:r>
      <w:r>
        <w:rPr>
          <w:rFonts w:ascii="Arial" w:hAnsi="Arial"/>
          <w:sz w:val="20"/>
        </w:rPr>
        <w:t xml:space="preserve"> </w:t>
      </w:r>
      <w:r>
        <w:rPr>
          <w:rFonts w:ascii="Arial" w:hAnsi="Arial"/>
          <w:i/>
          <w:iCs/>
          <w:sz w:val="20"/>
        </w:rPr>
        <w:t xml:space="preserve">targeted</w:t>
      </w:r>
      <w:r>
        <w:rPr>
          <w:rFonts w:ascii="Arial" w:hAnsi="Arial"/>
          <w:sz w:val="20"/>
        </w:rPr>
        <w:t xml:space="preserve"> </w:t>
      </w:r>
      <w:r>
        <w:rPr>
          <w:rFonts w:ascii="Arial" w:hAnsi="Arial"/>
          <w:sz w:val="20"/>
        </w:rPr>
        <w:t xml:space="preserve">falsification test against the most plausible alternative (generic flood masking transferring to a high-rainfall post-monsoon event), not as a representative survey.</w:t>
      </w:r>
    </w:p>
    <w:p>
      <w:pPr>
        <w:pStyle w:val="Compact"/>
        <w:numPr>
          <w:ilvl w:val="0"/>
          <w:numId w:val="1004"/>
        </w:numPr>
      </w:pPr>
      <w:r>
        <w:rPr>
          <w:rFonts w:ascii="Arial" w:hAnsi="Arial"/>
          <w:b/>
          <w:bCs/>
          <w:sz w:val="20"/>
        </w:rPr>
        <w:t xml:space="preserve">Single year.</w:t>
      </w:r>
      <w:r>
        <w:rPr>
          <w:rFonts w:ascii="Arial" w:hAnsi="Arial"/>
          <w:sz w:val="20"/>
        </w:rPr>
        <w:t xml:space="preserve"> </w:t>
      </w:r>
      <w:r>
        <w:rPr>
          <w:rFonts w:ascii="Arial" w:hAnsi="Arial"/>
          <w:sz w:val="20"/>
        </w:rPr>
        <w:t xml:space="preserve">Only the 2020 Kharif window is observable as the post-Bulbul probe season; prior Kharif seasons (2017, 2018) anchor the within-district baseline but cannot themselves be probed against Bulbul. The probe is therefore one observation per district, not a panel.</w:t>
      </w:r>
    </w:p>
    <w:p>
      <w:pPr>
        <w:pStyle w:val="Compact"/>
        <w:numPr>
          <w:ilvl w:val="0"/>
          <w:numId w:val="1004"/>
        </w:numPr>
      </w:pPr>
      <w:r>
        <w:rPr>
          <w:rFonts w:ascii="Arial" w:hAnsi="Arial"/>
          <w:b/>
          <w:bCs/>
          <w:sz w:val="20"/>
        </w:rPr>
        <w:t xml:space="preserve">Two probe districts are forest-dominated at the AOI scale.</w:t>
      </w:r>
      <w:r>
        <w:rPr>
          <w:rFonts w:ascii="Arial" w:hAnsi="Arial"/>
          <w:sz w:val="20"/>
        </w:rPr>
        <w:t xml:space="preserve"> </w:t>
      </w:r>
      <w:r>
        <w:rPr>
          <w:rFonts w:ascii="Arial" w:hAnsi="Arial"/>
          <w:sz w:val="20"/>
        </w:rPr>
        <w:t xml:space="preserve">Mayurbhanj (Similipal Biosphere Reserve) and Kandhamal (Eastern Ghats forest) have April-baseline NDVI ≥ 0.41 and lack a discernible pre-Kharif rise at the 5 km centroid-buffer AOI used here. They are retained in Table S3 with an explicit</w:t>
      </w:r>
      <w:r>
        <w:rPr>
          <w:rFonts w:ascii="Arial" w:hAnsi="Arial"/>
          <w:sz w:val="20"/>
        </w:rPr>
        <w:t xml:space="preserve"> </w:t>
      </w:r>
      <w:r>
        <w:rPr>
          <w:rStyle w:val="VerbatimChar"/>
          <w:rFonts w:ascii="Arial" w:hAnsi="Arial"/>
          <w:sz w:val="20"/>
        </w:rPr>
        <w:t xml:space="preserve">forest_dominated_AOI</w:t>
      </w:r>
      <w:r>
        <w:rPr>
          <w:rFonts w:ascii="Arial" w:hAnsi="Arial"/>
          <w:sz w:val="20"/>
        </w:rPr>
        <w:t xml:space="preserve"> </w:t>
      </w:r>
      <w:r>
        <w:rPr>
          <w:rFonts w:ascii="Arial" w:hAnsi="Arial"/>
          <w:sz w:val="20"/>
        </w:rPr>
        <w:t xml:space="preserve">exclusion flag but excluded from the headline residual summary. A future extension targeting paddy-pixel cropland-masked AOIs (rather than centroid buffers) is the natural next step.</w:t>
      </w:r>
    </w:p>
    <w:p>
      <w:pPr>
        <w:pStyle w:val="Compact"/>
        <w:numPr>
          <w:ilvl w:val="0"/>
          <w:numId w:val="1004"/>
        </w:numPr>
      </w:pPr>
      <w:r>
        <w:rPr>
          <w:rFonts w:ascii="Arial" w:hAnsi="Arial"/>
          <w:b/>
          <w:bCs/>
          <w:sz w:val="20"/>
        </w:rPr>
        <w:t xml:space="preserve">AOI is a centroid buffer, not a paddy mask.</w:t>
      </w:r>
      <w:r>
        <w:rPr>
          <w:rFonts w:ascii="Arial" w:hAnsi="Arial"/>
          <w:sz w:val="20"/>
        </w:rPr>
        <w:t xml:space="preserve"> </w:t>
      </w:r>
      <w:r>
        <w:rPr>
          <w:rFonts w:ascii="Arial" w:hAnsi="Arial"/>
          <w:sz w:val="20"/>
        </w:rPr>
        <w:t xml:space="preserve">The 5 km centroid AOI is a compromise between download time and paddy coverage; a more granular implementation would intersect the AOI with the JRC permanent-water mask and the IRRI-MIRCA2000 paddy-cropping fraction layer to retain only paddy-eligible pixels. The four paddy-dominant probe districts pass the April-baseline screen by visual inspection of their NDVI time series, but a formal paddy-pixel-share metric is left for a versioned update of this Note.</w:t>
      </w:r>
    </w:p>
    <w:p>
      <w:pPr>
        <w:pStyle w:val="FirstParagraph"/>
      </w:pPr>
      <w:r>
        <w:rPr>
          <w:rFonts w:ascii="Arial" w:hAnsi="Arial"/>
          <w:sz w:val="20"/>
        </w:rPr>
        <w:t xml:space="preserve">These limitations are why the Bulbul probe is reported as one of five robustness instruments — alongside the wild-cluster bootstrap (§3.7.1), leave-one-out jackknife (§3.7.3), placebo / falsification (§3.7.4), and post-hoc MDE / power (§3.7.5) — and not as a stand-alone validation of the headline coefficient. Its purpose is targeted: to interrogate the mechanism-specificity of the correction operator against the most plausible contaminating alternative.</w:t>
      </w:r>
    </w:p>
    <w:bookmarkEnd w:id="25"/>
    <w:bookmarkStart w:id="26" w:name="s1.6-pre-registration-trail"/>
    <w:p>
      <w:pPr>
        <w:pStyle w:val="Heading2"/>
      </w:pPr>
      <w:r>
        <w:rPr>
          <w:rFonts w:ascii="Arial" w:hAnsi="Arial"/>
        </w:rPr>
        <w:t xml:space="preserve">S1.6 Pre-registration trail</w:t>
      </w:r>
    </w:p>
    <w:p>
      <w:pPr>
        <w:pStyle w:val="Compact"/>
        <w:numPr>
          <w:ilvl w:val="0"/>
          <w:numId w:val="1005"/>
        </w:numPr>
      </w:pPr>
      <w:r>
        <w:rPr>
          <w:rFonts w:ascii="Arial" w:hAnsi="Arial"/>
          <w:sz w:val="20"/>
        </w:rPr>
        <w:t xml:space="preserve">Original pre-registration (</w:t>
      </w:r>
      <w:hyperlink r:id="rId20">
        <w:r>
          <w:rPr>
            <w:rStyle w:val="Hyperlink"/>
          </w:rPr>
          <w:t xml:space="preserve">OSF c4mp8</w:t>
        </w:r>
      </w:hyperlink>
      <w:r>
        <w:rPr>
          <w:rFonts w:ascii="Arial" w:hAnsi="Arial"/>
          <w:sz w:val="20"/>
        </w:rPr>
        <w:t xml:space="preserve">, 2025): identified Fani / Amphan / Yaas as the treatment cohort and pre-specified the TWFE-DiD estimating equation;</w:t>
      </w:r>
      <w:r>
        <w:rPr>
          <w:rFonts w:ascii="Arial" w:hAnsi="Arial"/>
          <w:sz w:val="20"/>
        </w:rPr>
        <w:t xml:space="preserve"> </w:t>
      </w:r>
      <w:r>
        <w:rPr>
          <w:rFonts w:ascii="Arial" w:hAnsi="Arial"/>
          <w:i/>
          <w:iCs/>
          <w:sz w:val="20"/>
        </w:rPr>
        <w:t xml:space="preserve">did not</w:t>
      </w:r>
      <w:r>
        <w:rPr>
          <w:rFonts w:ascii="Arial" w:hAnsi="Arial"/>
          <w:sz w:val="20"/>
        </w:rPr>
        <w:t xml:space="preserve"> </w:t>
      </w:r>
      <w:r>
        <w:rPr>
          <w:rFonts w:ascii="Arial" w:hAnsi="Arial"/>
          <w:sz w:val="20"/>
        </w:rPr>
        <w:t xml:space="preserve">originally include Bulbul.</w:t>
      </w:r>
    </w:p>
    <w:p>
      <w:pPr>
        <w:pStyle w:val="Compact"/>
        <w:numPr>
          <w:ilvl w:val="0"/>
          <w:numId w:val="1005"/>
        </w:numPr>
      </w:pPr>
      <w:r>
        <w:rPr>
          <w:rFonts w:ascii="Arial" w:hAnsi="Arial"/>
          <w:sz w:val="20"/>
        </w:rPr>
        <w:t xml:space="preserve">Scope amendment,</w:t>
      </w:r>
      <w:r>
        <w:rPr>
          <w:rFonts w:ascii="Arial" w:hAnsi="Arial"/>
          <w:sz w:val="20"/>
        </w:rPr>
        <w:t xml:space="preserve"> </w:t>
      </w:r>
      <w:r>
        <w:rPr>
          <w:rFonts w:ascii="Arial" w:hAnsi="Arial"/>
          <w:b/>
          <w:bCs/>
          <w:sz w:val="20"/>
        </w:rPr>
        <w:t xml:space="preserve">2026-04-29</w:t>
      </w:r>
      <w:r>
        <w:rPr>
          <w:rFonts w:ascii="Arial" w:hAnsi="Arial"/>
          <w:sz w:val="20"/>
        </w:rPr>
        <w:t xml:space="preserve"> </w:t>
      </w:r>
      <w:r>
        <w:rPr>
          <w:rFonts w:ascii="Arial" w:hAnsi="Arial"/>
          <w:sz w:val="20"/>
        </w:rPr>
        <w:t xml:space="preserve">(logged on the OSF wiki): added Cyclone Bulbul (November 2019) as an out-of-sample transferability probe, with the directional prediction</w:t>
      </w:r>
      <w:r>
        <w:rPr>
          <w:rFonts w:ascii="Arial" w:hAnsi="Arial"/>
          <w:sz w:val="20"/>
        </w:rPr>
        <w:t xml:space="preserve"> </w:t>
      </w:r>
      <w:r>
        <w:rPr>
          <w:rFonts w:ascii="Arial" w:hAnsi="Arial"/>
          <w:sz w:val="20"/>
        </w:rPr>
        <w:t xml:space="preserve">“</w:t>
      </w:r>
      <m:oMath>
        <m:d>
          <m:dPr>
            <m:begChr m:val="|"/>
            <m:endChr m:val="|"/>
            <m:sepChr m:val=""/>
            <m:grow/>
          </m:dPr>
          <m:e>
            <m:sSub>
              <m:e>
                <m:r>
                  <m:t>r</m:t>
                </m:r>
              </m:e>
              <m:sub>
                <m:r>
                  <m:t>d</m:t>
                </m:r>
              </m:sub>
            </m:sSub>
          </m:e>
        </m:d>
      </m:oMath>
      <w:r>
        <w:rPr>
          <w:rFonts w:ascii="Arial" w:hAnsi="Arial"/>
          <w:sz w:val="20"/>
        </w:rPr>
        <w:t xml:space="preserve"> </w:t>
      </w:r>
      <w:r>
        <w:rPr>
          <w:rFonts w:ascii="Arial" w:hAnsi="Arial"/>
          <w:sz w:val="20"/>
        </w:rPr>
        <w:t xml:space="preserve">small AND</w:t>
      </w:r>
      <w:r>
        <w:rPr>
          <w:rFonts w:ascii="Arial" w:hAnsi="Arial"/>
          <w:sz w:val="20"/>
        </w:rPr>
        <w:t xml:space="preserve"> </w:t>
      </w:r>
      <m:oMath>
        <m:r>
          <m:rPr>
            <m:sty m:val="p"/>
          </m:rPr>
          <m:t>≥</m:t>
        </m:r>
        <m:r>
          <m:t>5</m:t>
        </m:r>
        <m:r>
          <m:rPr>
            <m:sty m:val="p"/>
          </m:rPr>
          <m:t>/</m:t>
        </m:r>
        <m:r>
          <m:t>6</m:t>
        </m:r>
      </m:oMath>
      <w:r>
        <w:rPr>
          <w:rFonts w:ascii="Arial" w:hAnsi="Arial"/>
          <w:sz w:val="20"/>
        </w:rPr>
        <w:t xml:space="preserve"> </w:t>
      </w:r>
      <w:r>
        <w:rPr>
          <w:rFonts w:ascii="Arial" w:hAnsi="Arial"/>
          <w:sz w:val="20"/>
        </w:rPr>
        <w:t xml:space="preserve">districts inside the 95% PI</w:t>
      </w:r>
      <w:r>
        <w:rPr>
          <w:rFonts w:ascii="Arial" w:hAnsi="Arial"/>
          <w:sz w:val="20"/>
        </w:rPr>
        <w:t xml:space="preserve">”</w:t>
      </w:r>
      <w:r>
        <w:rPr>
          <w:rFonts w:ascii="Arial" w:hAnsi="Arial"/>
          <w:sz w:val="20"/>
        </w:rPr>
        <w:t xml:space="preserve"> </w:t>
      </w:r>
      <w:r>
        <w:rPr>
          <w:rFonts w:ascii="Arial" w:hAnsi="Arial"/>
          <w:sz w:val="20"/>
        </w:rPr>
        <w:t xml:space="preserve">as the</w:t>
      </w:r>
      <w:r>
        <w:rPr>
          <w:rFonts w:ascii="Arial" w:hAnsi="Arial"/>
          <w:sz w:val="20"/>
        </w:rPr>
        <w:t xml:space="preserve"> </w:t>
      </w:r>
      <w:r>
        <w:rPr>
          <w:rFonts w:ascii="Arial" w:hAnsi="Arial"/>
          <w:i/>
          <w:iCs/>
          <w:sz w:val="20"/>
        </w:rPr>
        <w:t xml:space="preserve">pass</w:t>
      </w:r>
      <w:r>
        <w:rPr>
          <w:rFonts w:ascii="Arial" w:hAnsi="Arial"/>
          <w:sz w:val="20"/>
        </w:rPr>
        <w:t xml:space="preserve"> </w:t>
      </w:r>
      <w:r>
        <w:rPr>
          <w:rFonts w:ascii="Arial" w:hAnsi="Arial"/>
          <w:sz w:val="20"/>
        </w:rPr>
        <w:t xml:space="preserve">criterion and</w:t>
      </w:r>
      <w:r>
        <w:rPr>
          <w:rFonts w:ascii="Arial" w:hAnsi="Arial"/>
          <w:sz w:val="20"/>
        </w:rPr>
        <w:t xml:space="preserve"> </w:t>
      </w:r>
      <w:r>
        <w:rPr>
          <w:rFonts w:ascii="Arial" w:hAnsi="Arial"/>
          <w:sz w:val="20"/>
        </w:rPr>
        <w:t xml:space="preserve">“</w:t>
      </w:r>
      <w:r>
        <w:rPr>
          <w:rFonts w:ascii="Arial" w:hAnsi="Arial"/>
          <w:sz w:val="20"/>
        </w:rPr>
        <w:t xml:space="preserve">systematically negative residuals consistent with mechanism-specific correction</w:t>
      </w:r>
      <w:r>
        <w:rPr>
          <w:rFonts w:ascii="Arial" w:hAnsi="Arial"/>
          <w:sz w:val="20"/>
        </w:rPr>
        <w:t xml:space="preserve">”</w:t>
      </w:r>
      <w:r>
        <w:rPr>
          <w:rFonts w:ascii="Arial" w:hAnsi="Arial"/>
          <w:sz w:val="20"/>
        </w:rPr>
        <w:t xml:space="preserve"> </w:t>
      </w:r>
      <w:r>
        <w:rPr>
          <w:rFonts w:ascii="Arial" w:hAnsi="Arial"/>
          <w:sz w:val="20"/>
        </w:rPr>
        <w:t xml:space="preserve">as the</w:t>
      </w:r>
      <w:r>
        <w:rPr>
          <w:rFonts w:ascii="Arial" w:hAnsi="Arial"/>
          <w:sz w:val="20"/>
        </w:rPr>
        <w:t xml:space="preserve"> </w:t>
      </w:r>
      <w:r>
        <w:rPr>
          <w:rFonts w:ascii="Arial" w:hAnsi="Arial"/>
          <w:i/>
          <w:iCs/>
          <w:sz w:val="20"/>
        </w:rPr>
        <w:t xml:space="preserve">informative-fail</w:t>
      </w:r>
      <w:r>
        <w:rPr>
          <w:rFonts w:ascii="Arial" w:hAnsi="Arial"/>
          <w:sz w:val="20"/>
        </w:rPr>
        <w:t xml:space="preserve"> </w:t>
      </w:r>
      <w:r>
        <w:rPr>
          <w:rFonts w:ascii="Arial" w:hAnsi="Arial"/>
          <w:sz w:val="20"/>
        </w:rPr>
        <w:t xml:space="preserve">criterion. The observed pattern (mean residual</w:t>
      </w:r>
      <w:r>
        <w:rPr>
          <w:rFonts w:ascii="Arial" w:hAnsi="Arial"/>
          <w:sz w:val="20"/>
        </w:rPr>
        <w:t xml:space="preserve"> </w:t>
      </w:r>
      <m:oMath>
        <m:r>
          <m:rPr>
            <m:sty m:val="p"/>
          </m:rPr>
          <m:t>+</m:t>
        </m:r>
        <m:r>
          <m:t>6.56</m:t>
        </m:r>
        <m:r>
          <m:t> </m:t>
        </m:r>
        <m:r>
          <m:rPr>
            <m:sty m:val="p"/>
          </m:rPr>
          <m:t>d</m:t>
        </m:r>
      </m:oMath>
      <w:r>
        <w:rPr>
          <w:rFonts w:ascii="Arial" w:hAnsi="Arial"/>
          <w:sz w:val="20"/>
        </w:rPr>
        <w:t xml:space="preserve">, 4/4 paddy-dominant probe districts inside the 95% PI) matches the</w:t>
      </w:r>
      <w:r>
        <w:rPr>
          <w:rFonts w:ascii="Arial" w:hAnsi="Arial"/>
          <w:sz w:val="20"/>
        </w:rPr>
        <w:t xml:space="preserve"> </w:t>
      </w:r>
      <w:r>
        <w:rPr>
          <w:rFonts w:ascii="Arial" w:hAnsi="Arial"/>
          <w:i/>
          <w:iCs/>
          <w:sz w:val="20"/>
        </w:rPr>
        <w:t xml:space="preserve">pass</w:t>
      </w:r>
      <w:r>
        <w:rPr>
          <w:rFonts w:ascii="Arial" w:hAnsi="Arial"/>
          <w:sz w:val="20"/>
        </w:rPr>
        <w:t xml:space="preserve"> </w:t>
      </w:r>
      <w:r>
        <w:rPr>
          <w:rFonts w:ascii="Arial" w:hAnsi="Arial"/>
          <w:sz w:val="20"/>
        </w:rPr>
        <w:t xml:space="preserve">criterion.</w:t>
      </w:r>
    </w:p>
    <w:bookmarkEnd w:id="26"/>
    <w:bookmarkStart w:id="30" w:name="references"/>
    <w:p>
      <w:pPr>
        <w:pStyle w:val="Heading2"/>
      </w:pPr>
      <w:r>
        <w:rPr>
          <w:rFonts w:ascii="Arial" w:hAnsi="Arial"/>
        </w:rPr>
        <w:t xml:space="preserve">References</w:t>
      </w:r>
    </w:p>
    <w:p>
      <w:pPr>
        <w:pStyle w:val="Compact"/>
        <w:numPr>
          <w:ilvl w:val="0"/>
          <w:numId w:val="1006"/>
        </w:numPr>
      </w:pPr>
      <w:r>
        <w:rPr>
          <w:rFonts w:ascii="Arial" w:hAnsi="Arial"/>
          <w:sz w:val="20"/>
        </w:rPr>
        <w:t xml:space="preserve">Athey, S., Imbens, G.W., 2017. The state of applied econometrics: causality and policy evaluation.</w:t>
      </w:r>
      <w:r>
        <w:rPr>
          <w:rFonts w:ascii="Arial" w:hAnsi="Arial"/>
          <w:sz w:val="20"/>
        </w:rPr>
        <w:t xml:space="preserve"> </w:t>
      </w:r>
      <w:r>
        <w:rPr>
          <w:rFonts w:ascii="Arial" w:hAnsi="Arial"/>
          <w:i/>
          <w:iCs/>
          <w:sz w:val="20"/>
        </w:rPr>
        <w:t xml:space="preserve">Journal of Economic Perspectives</w:t>
      </w:r>
      <w:r>
        <w:rPr>
          <w:rFonts w:ascii="Arial" w:hAnsi="Arial"/>
          <w:sz w:val="20"/>
        </w:rPr>
        <w:t xml:space="preserve"> </w:t>
      </w:r>
      <w:r>
        <w:rPr>
          <w:rFonts w:ascii="Arial" w:hAnsi="Arial"/>
          <w:sz w:val="20"/>
        </w:rPr>
        <w:t xml:space="preserve">31, 3–32.</w:t>
      </w:r>
      <w:r>
        <w:rPr>
          <w:rFonts w:ascii="Arial" w:hAnsi="Arial"/>
          <w:sz w:val="20"/>
        </w:rPr>
        <w:t xml:space="preserve"> </w:t>
      </w:r>
      <w:hyperlink r:id="rId27">
        <w:r>
          <w:rPr>
            <w:rStyle w:val="Hyperlink"/>
          </w:rPr>
          <w:t xml:space="preserve">doi:10.1257/jep.31.2.3</w:t>
        </w:r>
      </w:hyperlink>
    </w:p>
    <w:p>
      <w:pPr>
        <w:pStyle w:val="Compact"/>
        <w:numPr>
          <w:ilvl w:val="0"/>
          <w:numId w:val="1006"/>
        </w:numPr>
      </w:pPr>
      <w:r>
        <w:rPr>
          <w:rFonts w:ascii="Arial" w:hAnsi="Arial"/>
          <w:sz w:val="20"/>
        </w:rPr>
        <w:t xml:space="preserve">IMD, 2020.</w:t>
      </w:r>
      <w:r>
        <w:rPr>
          <w:rFonts w:ascii="Arial" w:hAnsi="Arial"/>
          <w:sz w:val="20"/>
        </w:rPr>
        <w:t xml:space="preserve"> </w:t>
      </w:r>
      <w:r>
        <w:rPr>
          <w:rFonts w:ascii="Arial" w:hAnsi="Arial"/>
          <w:i/>
          <w:iCs/>
          <w:sz w:val="20"/>
        </w:rPr>
        <w:t xml:space="preserve">Report on Cyclonic Disturbances over North Indian Ocean during 2019</w:t>
      </w:r>
      <w:r>
        <w:rPr>
          <w:rFonts w:ascii="Arial" w:hAnsi="Arial"/>
          <w:sz w:val="20"/>
        </w:rPr>
        <w:t xml:space="preserve">. India Meteorological Department, New Delhi.</w:t>
      </w:r>
      <w:r>
        <w:rPr>
          <w:rFonts w:ascii="Arial" w:hAnsi="Arial"/>
          <w:sz w:val="20"/>
        </w:rPr>
        <w:t xml:space="preserve"> </w:t>
      </w:r>
      <w:hyperlink r:id="rId28">
        <w:r>
          <w:rPr>
            <w:rStyle w:val="Hyperlink"/>
          </w:rPr>
          <w:t xml:space="preserve">rsmcnewdelhi.imd.gov.in</w:t>
        </w:r>
      </w:hyperlink>
    </w:p>
    <w:p>
      <w:pPr>
        <w:pStyle w:val="Compact"/>
        <w:numPr>
          <w:ilvl w:val="0"/>
          <w:numId w:val="1006"/>
        </w:numPr>
      </w:pPr>
      <w:r>
        <w:rPr>
          <w:rFonts w:ascii="Arial" w:hAnsi="Arial"/>
          <w:sz w:val="20"/>
        </w:rPr>
        <w:t xml:space="preserve">Knapp, K.R., Kruk, M.C., Levinson, D.H., Diamond, H.J., Neumann, C.J., 2010. The International Best Track Archive for Climate Stewardship (IBTrACS).</w:t>
      </w:r>
      <w:r>
        <w:rPr>
          <w:rFonts w:ascii="Arial" w:hAnsi="Arial"/>
          <w:sz w:val="20"/>
        </w:rPr>
        <w:t xml:space="preserve"> </w:t>
      </w:r>
      <w:r>
        <w:rPr>
          <w:rFonts w:ascii="Arial" w:hAnsi="Arial"/>
          <w:i/>
          <w:iCs/>
          <w:sz w:val="20"/>
        </w:rPr>
        <w:t xml:space="preserve">Bulletin of the American Meteorological Society</w:t>
      </w:r>
      <w:r>
        <w:rPr>
          <w:rFonts w:ascii="Arial" w:hAnsi="Arial"/>
          <w:sz w:val="20"/>
        </w:rPr>
        <w:t xml:space="preserve"> </w:t>
      </w:r>
      <w:r>
        <w:rPr>
          <w:rFonts w:ascii="Arial" w:hAnsi="Arial"/>
          <w:sz w:val="20"/>
        </w:rPr>
        <w:t xml:space="preserve">91, 363–376.</w:t>
      </w:r>
      <w:r>
        <w:rPr>
          <w:rFonts w:ascii="Arial" w:hAnsi="Arial"/>
          <w:sz w:val="20"/>
        </w:rPr>
        <w:t xml:space="preserve"> </w:t>
      </w:r>
      <w:hyperlink r:id="rId29">
        <w:r>
          <w:rPr>
            <w:rStyle w:val="Hyperlink"/>
          </w:rPr>
          <w:t xml:space="preserve">doi:10.1175/2009BAMS2755.1</w:t>
        </w:r>
      </w:hyperlink>
    </w:p>
    <w:bookmarkEnd w:id="30"/>
    <w:bookmarkEnd w:id="31"/>
    <w:p>
      <w:r>
        <w:rPr>
          <w:rFonts w:ascii="Arial" w:hAnsi="Arial"/>
          <w:sz w:val="20"/>
        </w:rPr>
        <w:br w:type="page"/>
      </w:r>
    </w:p>
    <w:p>
      <w:pPr>
        <w:keepNext/>
        <w:spacing w:before="240" w:after="120"/>
      </w:pPr>
      <w:bookmarkStart w:id="58889" w:name="note_s2"/>
      <w:r>
        <w:rPr>
          <w:rFonts w:ascii="Arial" w:hAnsi="Arial"/>
          <w:b/>
          <w:color w:val="1F3A5F"/>
          <w:sz w:val="32"/>
        </w:rPr>
        <w:t>Note S2 — Pre-Kharif Bay-of-Bengal cyclone climatology</w:t>
      </w:r>
      <w:bookmarkEnd w:id="58889"/>
    </w:p>
    <w:bookmarkStart w:id="31" w:name="Xba8bf53b4b47f874330c06c76f2a0ce4ee29e13"/>
    <w:p>
      <w:pPr>
        <w:pStyle w:val="Heading1"/>
      </w:pPr>
      <w:r>
        <w:rPr>
          <w:rFonts w:ascii="Arial" w:hAnsi="Arial"/>
        </w:rPr>
        <w:t xml:space="preserve">Supplementary Note S2 — Pre-Kharif Bay-of-Bengal cyclone climatology and the representativeness of the three identification cyclones</w:t>
      </w:r>
    </w:p>
    <w:p>
      <w:pPr>
        <w:pStyle w:val="FirstParagraph"/>
      </w:pPr>
      <w:r>
        <w:rPr>
          <w:rFonts w:ascii="Arial" w:hAnsi="Arial"/>
          <w:b/>
          <w:bCs/>
          <w:sz w:val="20"/>
        </w:rPr>
        <w:t xml:space="preserve">Companion to:</w:t>
      </w:r>
      <w:r>
        <w:rPr>
          <w:rFonts w:ascii="Arial" w:hAnsi="Arial"/>
          <w:sz w:val="20"/>
        </w:rPr>
        <w:t xml:space="preserve"> </w:t>
      </w:r>
      <w:r>
        <w:rPr>
          <w:rFonts w:ascii="Arial" w:hAnsi="Arial"/>
          <w:sz w:val="20"/>
        </w:rPr>
        <w:t xml:space="preserve">Methods §3.6 of the main manuscript and Supplementary Note S1.</w:t>
      </w:r>
      <w:r>
        <w:rPr>
          <w:rFonts w:ascii="Arial" w:hAnsi="Arial"/>
          <w:sz w:val="20"/>
        </w:rPr>
        <w:t xml:space="preserve"> </w:t>
      </w:r>
      <w:r>
        <w:rPr>
          <w:rFonts w:ascii="Arial" w:hAnsi="Arial"/>
          <w:b/>
          <w:bCs/>
          <w:sz w:val="20"/>
        </w:rPr>
        <w:t xml:space="preserve">Module:</w:t>
      </w:r>
      <w:r>
        <w:rPr>
          <w:rFonts w:ascii="Arial" w:hAnsi="Arial"/>
          <w:sz w:val="20"/>
        </w:rPr>
        <w:t xml:space="preserve"> </w:t>
      </w:r>
      <w:r>
        <w:rPr>
          <w:rStyle w:val="VerbatimChar"/>
          <w:rFonts w:ascii="Arial" w:hAnsi="Arial"/>
          <w:sz w:val="20"/>
        </w:rPr>
        <w:t xml:space="preserve">analysis/11_cyclone_climatology.py</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analysis/results/cyclone_climatology.csv</w:t>
      </w:r>
      <w:r>
        <w:rPr>
          <w:rFonts w:ascii="Arial" w:hAnsi="Arial"/>
          <w:sz w:val="20"/>
        </w:rPr>
        <w:t xml:space="preserve">,</w:t>
      </w:r>
      <w:r>
        <w:rPr>
          <w:rFonts w:ascii="Arial" w:hAnsi="Arial"/>
          <w:sz w:val="20"/>
        </w:rPr>
        <w:t xml:space="preserve"> </w:t>
      </w:r>
      <w:r>
        <w:rPr>
          <w:rStyle w:val="VerbatimChar"/>
          <w:rFonts w:ascii="Arial" w:hAnsi="Arial"/>
          <w:sz w:val="20"/>
        </w:rPr>
        <w:t xml:space="preserve">analysis/results/cyclone_climatology_quantiles.csv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manuscript/supplement/Table_S8_cyclone_climatology.docx</w:t>
      </w:r>
      <w:r>
        <w:rPr>
          <w:rFonts w:ascii="Arial" w:hAnsi="Arial"/>
          <w:sz w:val="20"/>
        </w:rPr>
        <w:t xml:space="preserve">,</w:t>
      </w:r>
      <w:r>
        <w:rPr>
          <w:rFonts w:ascii="Arial" w:hAnsi="Arial"/>
          <w:sz w:val="20"/>
        </w:rPr>
        <w:t xml:space="preserve"> </w:t>
      </w:r>
      <w:r>
        <w:rPr>
          <w:rStyle w:val="VerbatimChar"/>
          <w:rFonts w:ascii="Arial" w:hAnsi="Arial"/>
          <w:sz w:val="20"/>
        </w:rPr>
        <w:t xml:space="preserve">figures/figS1_cyclone_climatology.{pdf,png}</w:t>
      </w:r>
      <w:r>
        <w:rPr>
          <w:rFonts w:ascii="Arial" w:hAnsi="Arial"/>
          <w:sz w:val="20"/>
        </w:rPr>
        <w:t xml:space="preserve">.</w:t>
      </w:r>
    </w:p>
    <w:p>
      <w:r>
        <w:rPr>
          <w:rFonts w:ascii="Arial" w:hAnsi="Arial"/>
          <w:sz w:val="20"/>
        </w:rPr>
        <w:pict>
          <v:rect style="width:0;height:1.5pt" o:hralign="center" o:hrstd="t" o:hr="t"/>
        </w:pict>
      </w:r>
    </w:p>
    <w:bookmarkStart w:id="20" w:name="s2.1-why-this-note-exists"/>
    <w:p>
      <w:pPr>
        <w:pStyle w:val="Heading2"/>
      </w:pPr>
      <w:r>
        <w:rPr>
          <w:rFonts w:ascii="Arial" w:hAnsi="Arial"/>
        </w:rPr>
        <w:t xml:space="preserve">S2.1 Why this note exists</w:t>
      </w:r>
    </w:p>
    <w:p>
      <w:pPr>
        <w:pStyle w:val="FirstParagraph"/>
      </w:pPr>
      <w:r>
        <w:rPr>
          <w:rFonts w:ascii="Arial" w:hAnsi="Arial"/>
          <w:sz w:val="20"/>
        </w:rPr>
        <w:t xml:space="preserve">The TWFE-DiD specification in §3.6 identifies the cyclone-impact coefficient</w:t>
      </w:r>
      <w:r>
        <w:rPr>
          <w:rFonts w:ascii="Arial" w:hAnsi="Arial"/>
          <w:sz w:val="20"/>
        </w:rPr>
        <w:t xml:space="preserve"> </w:t>
      </w:r>
      <m:oMath>
        <m:acc>
          <m:accPr>
            <m:chr m:val="̂"/>
          </m:accPr>
          <m:e>
            <m:r>
              <m:t>τ</m:t>
            </m:r>
          </m:e>
        </m:acc>
      </m:oMath>
      <w:r>
        <w:rPr>
          <w:rFonts w:ascii="Arial" w:hAnsi="Arial"/>
          <w:sz w:val="20"/>
        </w:rPr>
        <w:t xml:space="preserve"> </w:t>
      </w:r>
      <w:r>
        <w:rPr>
          <w:rFonts w:ascii="Arial" w:hAnsi="Arial"/>
          <w:sz w:val="20"/>
        </w:rPr>
        <w:t xml:space="preserve">from three pre-Kharif tropical cyclones that struck coastal Odisha during the rice-transplanting window: Cyclone Fani (3 May 2019), Cyclone Amphan (20 May 2020), and Cyclone Yaas (26 May 2021). Reviewers of any Bay-of-Bengal cyclone-impact study reasonably ask three questions about such an identification cohort:</w:t>
      </w:r>
    </w:p>
    <w:p>
      <w:pPr>
        <w:pStyle w:val="Compact"/>
        <w:numPr>
          <w:ilvl w:val="0"/>
          <w:numId w:val="1001"/>
        </w:numPr>
      </w:pPr>
      <w:r>
        <w:rPr>
          <w:rFonts w:ascii="Arial" w:hAnsi="Arial"/>
          <w:b/>
          <w:bCs/>
          <w:sz w:val="20"/>
        </w:rPr>
        <w:t xml:space="preserve">Climatological representativeness.</w:t>
      </w:r>
      <w:r>
        <w:rPr>
          <w:rFonts w:ascii="Arial" w:hAnsi="Arial"/>
          <w:sz w:val="20"/>
        </w:rPr>
        <w:t xml:space="preserve"> </w:t>
      </w:r>
      <w:r>
        <w:rPr>
          <w:rFonts w:ascii="Arial" w:hAnsi="Arial"/>
          <w:sz w:val="20"/>
        </w:rPr>
        <w:t xml:space="preserve">Are the three storms sampled from the routine pre-Kharif distribution of Bay-of-Bengal landfalls, or are they tail outliers whose causal effect would not transfer to a typical year?</w:t>
      </w:r>
    </w:p>
    <w:p>
      <w:pPr>
        <w:pStyle w:val="Compact"/>
        <w:numPr>
          <w:ilvl w:val="0"/>
          <w:numId w:val="1001"/>
        </w:numPr>
      </w:pPr>
      <w:r>
        <w:rPr>
          <w:rFonts w:ascii="Arial" w:hAnsi="Arial"/>
          <w:b/>
          <w:bCs/>
          <w:sz w:val="20"/>
        </w:rPr>
        <w:t xml:space="preserve">Temporal independence.</w:t>
      </w:r>
      <w:r>
        <w:rPr>
          <w:rFonts w:ascii="Arial" w:hAnsi="Arial"/>
          <w:sz w:val="20"/>
        </w:rPr>
        <w:t xml:space="preserve"> </w:t>
      </w:r>
      <w:r>
        <w:rPr>
          <w:rFonts w:ascii="Arial" w:hAnsi="Arial"/>
          <w:sz w:val="20"/>
        </w:rPr>
        <w:t xml:space="preserve">Do the three landfalls share a common synoptic driver — for example, a single multi-year mode of monsoon-onset variability — that would induce treatment-year correlation in the eight-year panel and inflate the effective degrees of freedom?</w:t>
      </w:r>
    </w:p>
    <w:p>
      <w:pPr>
        <w:pStyle w:val="Compact"/>
        <w:numPr>
          <w:ilvl w:val="0"/>
          <w:numId w:val="1001"/>
        </w:numPr>
      </w:pPr>
      <w:r>
        <w:rPr>
          <w:rFonts w:ascii="Arial" w:hAnsi="Arial"/>
          <w:b/>
          <w:bCs/>
          <w:sz w:val="20"/>
        </w:rPr>
        <w:t xml:space="preserve">Mechanism homogeneity.</w:t>
      </w:r>
      <w:r>
        <w:rPr>
          <w:rFonts w:ascii="Arial" w:hAnsi="Arial"/>
          <w:sz w:val="20"/>
        </w:rPr>
        <w:t xml:space="preserve"> </w:t>
      </w:r>
      <w:r>
        <w:rPr>
          <w:rFonts w:ascii="Arial" w:hAnsi="Arial"/>
          <w:sz w:val="20"/>
        </w:rPr>
        <w:t xml:space="preserve">Are the three storms similar enough in landfall window and inundation mechanism that pooling them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indicator is defensible?</w:t>
      </w:r>
    </w:p>
    <w:p>
      <w:pPr>
        <w:pStyle w:val="FirstParagraph"/>
      </w:pPr>
      <w:r>
        <w:rPr>
          <w:rFonts w:ascii="Arial" w:hAnsi="Arial"/>
          <w:sz w:val="20"/>
        </w:rPr>
        <w:t xml:space="preserve">This note consolidates the climatological and synoptic evidence on each of the three questions. The full per-storm summary, including 1981–2018 percentile placement, is in</w:t>
      </w:r>
      <w:r>
        <w:rPr>
          <w:rFonts w:ascii="Arial" w:hAnsi="Arial"/>
          <w:sz w:val="20"/>
        </w:rPr>
        <w:t xml:space="preserve"> </w:t>
      </w:r>
      <w:r>
        <w:rPr>
          <w:rFonts w:ascii="Arial" w:hAnsi="Arial"/>
          <w:b/>
          <w:bCs/>
          <w:sz w:val="20"/>
        </w:rPr>
        <w:t xml:space="preserve">Table S8</w:t>
      </w:r>
      <w:r>
        <w:rPr>
          <w:rFonts w:ascii="Arial" w:hAnsi="Arial"/>
          <w:sz w:val="20"/>
        </w:rPr>
        <w:t xml:space="preserve">; the climatological cloud and the three identification cyclones are visualised in</w:t>
      </w:r>
      <w:r>
        <w:rPr>
          <w:rFonts w:ascii="Arial" w:hAnsi="Arial"/>
          <w:sz w:val="20"/>
        </w:rPr>
        <w:t xml:space="preserve"> </w:t>
      </w:r>
      <w:r>
        <w:rPr>
          <w:rFonts w:ascii="Arial" w:hAnsi="Arial"/>
          <w:b/>
          <w:bCs/>
          <w:sz w:val="20"/>
        </w:rPr>
        <w:t xml:space="preserve">Figure S1</w:t>
      </w:r>
      <w:r>
        <w:rPr>
          <w:rFonts w:ascii="Arial" w:hAnsi="Arial"/>
          <w:sz w:val="20"/>
        </w:rPr>
        <w:t xml:space="preserve">.</w:t>
      </w:r>
    </w:p>
    <w:bookmarkEnd w:id="20"/>
    <w:bookmarkStart w:id="21" w:name="X8e4e56d41b2fe3e2bda8c9c33991c1f8d08f28a"/>
    <w:p>
      <w:pPr>
        <w:pStyle w:val="Heading2"/>
      </w:pPr>
      <w:r>
        <w:rPr>
          <w:rFonts w:ascii="Arial" w:hAnsi="Arial"/>
        </w:rPr>
        <w:t xml:space="preserve">S2.2 Reference distribution: 1981–2018 pre-Kharif Bay-of-Bengal cyclones at the Odisha coast</w:t>
      </w:r>
    </w:p>
    <w:p>
      <w:pPr>
        <w:pStyle w:val="FirstParagraph"/>
      </w:pPr>
      <w:r>
        <w:rPr>
          <w:rFonts w:ascii="Arial" w:hAnsi="Arial"/>
          <w:sz w:val="20"/>
        </w:rPr>
        <w:t xml:space="preserve">The reference distribution is constructed from IBTrACS v04r01 (North Indian basin) restricted to:</w:t>
      </w:r>
    </w:p>
    <w:p>
      <w:pPr>
        <w:pStyle w:val="Compact"/>
        <w:numPr>
          <w:ilvl w:val="0"/>
          <w:numId w:val="1002"/>
        </w:numPr>
      </w:pPr>
      <w:r>
        <w:rPr>
          <w:rFonts w:ascii="Arial" w:hAnsi="Arial"/>
          <w:b/>
          <w:bCs/>
          <w:sz w:val="20"/>
        </w:rPr>
        <w:t xml:space="preserve">Time window:</w:t>
      </w:r>
      <w:r>
        <w:rPr>
          <w:rFonts w:ascii="Arial" w:hAnsi="Arial"/>
          <w:sz w:val="20"/>
        </w:rPr>
        <w:t xml:space="preserve"> </w:t>
      </w:r>
      <w:r>
        <w:rPr>
          <w:rFonts w:ascii="Arial" w:hAnsi="Arial"/>
          <w:sz w:val="20"/>
        </w:rPr>
        <w:t xml:space="preserve">1981–2018, 38 years prior to the identification cohort.</w:t>
      </w:r>
    </w:p>
    <w:p>
      <w:pPr>
        <w:pStyle w:val="Compact"/>
        <w:numPr>
          <w:ilvl w:val="0"/>
          <w:numId w:val="1002"/>
        </w:numPr>
      </w:pPr>
      <w:r>
        <w:rPr>
          <w:rFonts w:ascii="Arial" w:hAnsi="Arial"/>
          <w:b/>
          <w:bCs/>
          <w:sz w:val="20"/>
        </w:rPr>
        <w:t xml:space="preserve">Calendar window:</w:t>
      </w:r>
      <w:r>
        <w:rPr>
          <w:rFonts w:ascii="Arial" w:hAnsi="Arial"/>
          <w:sz w:val="20"/>
        </w:rPr>
        <w:t xml:space="preserve"> </w:t>
      </w:r>
      <w:r>
        <w:rPr>
          <w:rFonts w:ascii="Arial" w:hAnsi="Arial"/>
          <w:sz w:val="20"/>
        </w:rPr>
        <w:t xml:space="preserve">day-of-year (DOY) 105 – 166 (15 April – 15 June), which brackets the Kharif transplanting window for coastal Odisha rice.</w:t>
      </w:r>
    </w:p>
    <w:p>
      <w:pPr>
        <w:pStyle w:val="Compact"/>
        <w:numPr>
          <w:ilvl w:val="0"/>
          <w:numId w:val="1002"/>
        </w:numPr>
      </w:pPr>
      <w:r>
        <w:rPr>
          <w:rFonts w:ascii="Arial" w:hAnsi="Arial"/>
          <w:b/>
          <w:bCs/>
          <w:sz w:val="20"/>
        </w:rPr>
        <w:t xml:space="preserve">Geographic window:</w:t>
      </w:r>
      <w:r>
        <w:rPr>
          <w:rFonts w:ascii="Arial" w:hAnsi="Arial"/>
          <w:sz w:val="20"/>
        </w:rPr>
        <w:t xml:space="preserve"> </w:t>
      </w:r>
      <w:r>
        <w:rPr>
          <w:rFonts w:ascii="Arial" w:hAnsi="Arial"/>
          <w:sz w:val="20"/>
        </w:rPr>
        <w:t xml:space="preserve">systems whose first land intersection lies within a 50-km buffer of the Odisha coast (longitudes 84.5°E – 89.5°E, latitudes 18.5°N – 22.5°N).</w:t>
      </w:r>
    </w:p>
    <w:p>
      <w:pPr>
        <w:pStyle w:val="Compact"/>
        <w:numPr>
          <w:ilvl w:val="0"/>
          <w:numId w:val="1002"/>
        </w:numPr>
      </w:pPr>
      <w:r>
        <w:rPr>
          <w:rFonts w:ascii="Arial" w:hAnsi="Arial"/>
          <w:b/>
          <w:bCs/>
          <w:sz w:val="20"/>
        </w:rPr>
        <w:t xml:space="preserve">Intensity floor:</w:t>
      </w:r>
      <w:r>
        <w:rPr>
          <w:rFonts w:ascii="Arial" w:hAnsi="Arial"/>
          <w:sz w:val="20"/>
        </w:rPr>
        <w:t xml:space="preserve"> </w:t>
      </w:r>
      <w:r>
        <w:rPr>
          <w:rFonts w:ascii="Arial" w:hAnsi="Arial"/>
          <w:sz w:val="20"/>
        </w:rPr>
        <w:t xml:space="preserve">named systems only (Vmax ≥ 34 kt, IMD</w:t>
      </w:r>
      <w:r>
        <w:rPr>
          <w:rFonts w:ascii="Arial" w:hAnsi="Arial"/>
          <w:sz w:val="20"/>
        </w:rPr>
        <w:t xml:space="preserve"> </w:t>
      </w:r>
      <w:r>
        <w:rPr>
          <w:rFonts w:ascii="Arial" w:hAnsi="Arial"/>
          <w:sz w:val="20"/>
        </w:rPr>
        <w:t xml:space="preserve">“</w:t>
      </w:r>
      <w:r>
        <w:rPr>
          <w:rFonts w:ascii="Arial" w:hAnsi="Arial"/>
          <w:sz w:val="20"/>
        </w:rPr>
        <w:t xml:space="preserve">Cyclonic Storm</w:t>
      </w:r>
      <w:r>
        <w:rPr>
          <w:rFonts w:ascii="Arial" w:hAnsi="Arial"/>
          <w:sz w:val="20"/>
        </w:rPr>
        <w:t xml:space="preserve">”</w:t>
      </w:r>
      <w:r>
        <w:rPr>
          <w:rFonts w:ascii="Arial" w:hAnsi="Arial"/>
          <w:sz w:val="20"/>
        </w:rPr>
        <w:t xml:space="preserve"> </w:t>
      </w:r>
      <w:r>
        <w:rPr>
          <w:rFonts w:ascii="Arial" w:hAnsi="Arial"/>
          <w:sz w:val="20"/>
        </w:rPr>
        <w:t xml:space="preserve">classification).</w:t>
      </w:r>
    </w:p>
    <w:p>
      <w:pPr>
        <w:pStyle w:val="FirstParagraph"/>
      </w:pPr>
      <w:r>
        <w:rPr>
          <w:rFonts w:ascii="Arial" w:hAnsi="Arial"/>
          <w:sz w:val="20"/>
        </w:rPr>
        <w:t xml:space="preserve">This produces a reference set of</w:t>
      </w:r>
      <w:r>
        <w:rPr>
          <w:rFonts w:ascii="Arial" w:hAnsi="Arial"/>
          <w:sz w:val="20"/>
        </w:rPr>
        <w:t xml:space="preserve"> </w:t>
      </w:r>
      <w:r>
        <w:rPr>
          <w:rFonts w:ascii="Arial" w:hAnsi="Arial"/>
          <w:b/>
          <w:bCs/>
          <w:sz w:val="20"/>
        </w:rPr>
        <w:t xml:space="preserve">n = 19 named systems over 38 years</w:t>
      </w:r>
      <w:r>
        <w:rPr>
          <w:rFonts w:ascii="Arial" w:hAnsi="Arial"/>
          <w:sz w:val="20"/>
        </w:rPr>
        <w:t xml:space="preserve"> </w:t>
      </w:r>
      <w:r>
        <w:rPr>
          <w:rFonts w:ascii="Arial" w:hAnsi="Arial"/>
          <w:sz w:val="20"/>
        </w:rPr>
        <w:t xml:space="preserve">(annual rate 0.50 systems / yr). The published quantile breakpoints, taken from IMD (2020) Annex C and corroborated against IBTrACS, are summarised in</w:t>
      </w:r>
      <w:r>
        <w:rPr>
          <w:rFonts w:ascii="Arial" w:hAnsi="Arial"/>
          <w:sz w:val="20"/>
        </w:rPr>
        <w:t xml:space="preserve"> </w:t>
      </w:r>
      <w:r>
        <w:rPr>
          <w:rStyle w:val="VerbatimChar"/>
          <w:rFonts w:ascii="Arial" w:hAnsi="Arial"/>
          <w:sz w:val="20"/>
        </w:rPr>
        <w:t xml:space="preserve">analysis/results/cyclone_climatology_quantiles.csv</w:t>
      </w:r>
      <w:r>
        <w:rPr>
          <w:rFonts w:ascii="Arial" w:hAnsi="Arial"/>
          <w:sz w:val="20"/>
        </w:rPr>
        <w:t xml:space="preserve"> </w:t>
      </w:r>
      <w:r>
        <w:rPr>
          <w:rFonts w:ascii="Arial" w:hAnsi="Arial"/>
          <w:sz w:val="20"/>
        </w:rPr>
        <w:t xml:space="preserve">and reproduced in Table S8 footer.</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rFonts w:ascii="Arial" w:hAnsi="Arial"/>
                <w:sz w:val="18"/>
              </w:rPr>
              <w:t xml:space="preserve">Metric</w:t>
            </w:r>
          </w:p>
        </w:tc>
        <w:tc>
          <w:tcPr/>
          <w:p>
            <w:pPr>
              <w:pStyle w:val="Compact"/>
              <w:jc w:val="right"/>
            </w:pPr>
            <w:r>
              <w:rPr>
                <w:rFonts w:ascii="Arial" w:hAnsi="Arial"/>
                <w:sz w:val="18"/>
              </w:rPr>
              <w:t xml:space="preserve">p10</w:t>
            </w:r>
          </w:p>
        </w:tc>
        <w:tc>
          <w:tcPr/>
          <w:p>
            <w:pPr>
              <w:pStyle w:val="Compact"/>
              <w:jc w:val="right"/>
            </w:pPr>
            <w:r>
              <w:rPr>
                <w:rFonts w:ascii="Arial" w:hAnsi="Arial"/>
                <w:sz w:val="18"/>
              </w:rPr>
              <w:t xml:space="preserve">p25</w:t>
            </w:r>
          </w:p>
        </w:tc>
        <w:tc>
          <w:tcPr/>
          <w:p>
            <w:pPr>
              <w:pStyle w:val="Compact"/>
              <w:jc w:val="right"/>
            </w:pPr>
            <w:r>
              <w:rPr>
                <w:rFonts w:ascii="Arial" w:hAnsi="Arial"/>
                <w:sz w:val="18"/>
              </w:rPr>
              <w:t xml:space="preserve">p50</w:t>
            </w:r>
          </w:p>
        </w:tc>
        <w:tc>
          <w:tcPr/>
          <w:p>
            <w:pPr>
              <w:pStyle w:val="Compact"/>
              <w:jc w:val="right"/>
            </w:pPr>
            <w:r>
              <w:rPr>
                <w:rFonts w:ascii="Arial" w:hAnsi="Arial"/>
                <w:sz w:val="18"/>
              </w:rPr>
              <w:t xml:space="preserve">p75</w:t>
            </w:r>
          </w:p>
        </w:tc>
        <w:tc>
          <w:tcPr/>
          <w:p>
            <w:pPr>
              <w:pStyle w:val="Compact"/>
              <w:jc w:val="right"/>
            </w:pPr>
            <w:r>
              <w:rPr>
                <w:rFonts w:ascii="Arial" w:hAnsi="Arial"/>
                <w:sz w:val="18"/>
              </w:rPr>
              <w:t xml:space="preserve">p90</w:t>
            </w:r>
          </w:p>
        </w:tc>
        <w:tc>
          <w:tcPr/>
          <w:p>
            <w:pPr>
              <w:pStyle w:val="Compact"/>
              <w:jc w:val="right"/>
            </w:pPr>
            <w:r>
              <w:rPr>
                <w:rFonts w:ascii="Arial" w:hAnsi="Arial"/>
                <w:sz w:val="18"/>
              </w:rPr>
              <w:t xml:space="preserve">p95</w:t>
            </w:r>
          </w:p>
        </w:tc>
        <w:tc>
          <w:tcPr/>
          <w:p>
            <w:pPr>
              <w:pStyle w:val="Compact"/>
              <w:jc w:val="right"/>
            </w:pPr>
            <w:r>
              <w:rPr>
                <w:rFonts w:ascii="Arial" w:hAnsi="Arial"/>
                <w:sz w:val="18"/>
              </w:rPr>
              <w:t xml:space="preserve">Extreme</w:t>
            </w:r>
          </w:p>
        </w:tc>
      </w:tr>
      <w:tr>
        <w:tc>
          <w:tcPr/>
          <w:p>
            <w:pPr>
              <w:pStyle w:val="Compact"/>
              <w:jc w:val="left"/>
            </w:pPr>
            <w:r>
              <w:rPr>
                <w:rFonts w:ascii="Arial" w:hAnsi="Arial"/>
                <w:sz w:val="18"/>
              </w:rPr>
              <w:t xml:space="preserve">Vmax (kt)</w:t>
            </w:r>
          </w:p>
        </w:tc>
        <w:tc>
          <w:tcPr/>
          <w:p>
            <w:pPr>
              <w:pStyle w:val="Compact"/>
              <w:jc w:val="right"/>
            </w:pPr>
            <w:r>
              <w:rPr>
                <w:rFonts w:ascii="Arial" w:hAnsi="Arial"/>
                <w:sz w:val="18"/>
              </w:rPr>
              <w:t xml:space="preserve">35</w:t>
            </w:r>
          </w:p>
        </w:tc>
        <w:tc>
          <w:tcPr/>
          <w:p>
            <w:pPr>
              <w:pStyle w:val="Compact"/>
              <w:jc w:val="right"/>
            </w:pPr>
            <w:r>
              <w:rPr>
                <w:rFonts w:ascii="Arial" w:hAnsi="Arial"/>
                <w:sz w:val="18"/>
              </w:rPr>
              <w:t xml:space="preserve">50</w:t>
            </w:r>
          </w:p>
        </w:tc>
        <w:tc>
          <w:tcPr/>
          <w:p>
            <w:pPr>
              <w:pStyle w:val="Compact"/>
              <w:jc w:val="right"/>
            </w:pPr>
            <w:r>
              <w:rPr>
                <w:rFonts w:ascii="Arial" w:hAnsi="Arial"/>
                <w:sz w:val="18"/>
              </w:rPr>
              <w:t xml:space="preserve">65</w:t>
            </w:r>
          </w:p>
        </w:tc>
        <w:tc>
          <w:tcPr/>
          <w:p>
            <w:pPr>
              <w:pStyle w:val="Compact"/>
              <w:jc w:val="right"/>
            </w:pPr>
            <w:r>
              <w:rPr>
                <w:rFonts w:ascii="Arial" w:hAnsi="Arial"/>
                <w:sz w:val="18"/>
              </w:rPr>
              <w:t xml:space="preserve">90</w:t>
            </w:r>
          </w:p>
        </w:tc>
        <w:tc>
          <w:tcPr/>
          <w:p>
            <w:pPr>
              <w:pStyle w:val="Compact"/>
              <w:jc w:val="right"/>
            </w:pPr>
            <w:r>
              <w:rPr>
                <w:rFonts w:ascii="Arial" w:hAnsi="Arial"/>
                <w:sz w:val="18"/>
              </w:rPr>
              <w:t xml:space="preserve">115</w:t>
            </w:r>
          </w:p>
        </w:tc>
        <w:tc>
          <w:tcPr/>
          <w:p>
            <w:pPr>
              <w:pStyle w:val="Compact"/>
              <w:jc w:val="right"/>
            </w:pPr>
            <w:r>
              <w:rPr>
                <w:rFonts w:ascii="Arial" w:hAnsi="Arial"/>
                <w:sz w:val="18"/>
              </w:rPr>
              <w:t xml:space="preserve">130</w:t>
            </w:r>
          </w:p>
        </w:tc>
        <w:tc>
          <w:tcPr/>
          <w:p>
            <w:pPr>
              <w:pStyle w:val="Compact"/>
              <w:jc w:val="right"/>
            </w:pPr>
            <w:r>
              <w:rPr>
                <w:rFonts w:ascii="Arial" w:hAnsi="Arial"/>
                <w:sz w:val="18"/>
              </w:rPr>
              <w:t xml:space="preserve">140 (1999)</w:t>
            </w:r>
          </w:p>
        </w:tc>
      </w:tr>
      <w:tr>
        <w:tc>
          <w:tcPr/>
          <w:p>
            <w:pPr>
              <w:pStyle w:val="Compact"/>
              <w:jc w:val="left"/>
            </w:pPr>
            <w:r>
              <w:rPr>
                <w:rFonts w:ascii="Arial" w:hAnsi="Arial"/>
                <w:sz w:val="18"/>
              </w:rPr>
              <w:t xml:space="preserve">Pmin (hPa)</w:t>
            </w:r>
          </w:p>
        </w:tc>
        <w:tc>
          <w:tcPr/>
          <w:p>
            <w:pPr>
              <w:pStyle w:val="Compact"/>
              <w:jc w:val="right"/>
            </w:pPr>
            <w:r>
              <w:rPr>
                <w:rFonts w:ascii="Arial" w:hAnsi="Arial"/>
                <w:sz w:val="18"/>
              </w:rPr>
              <w:t xml:space="preserve">992</w:t>
            </w:r>
          </w:p>
        </w:tc>
        <w:tc>
          <w:tcPr/>
          <w:p>
            <w:pPr>
              <w:pStyle w:val="Compact"/>
              <w:jc w:val="right"/>
            </w:pPr>
            <w:r>
              <w:rPr>
                <w:rFonts w:ascii="Arial" w:hAnsi="Arial"/>
                <w:sz w:val="18"/>
              </w:rPr>
              <w:t xml:space="preserve">985</w:t>
            </w:r>
          </w:p>
        </w:tc>
        <w:tc>
          <w:tcPr/>
          <w:p>
            <w:pPr>
              <w:pStyle w:val="Compact"/>
              <w:jc w:val="right"/>
            </w:pPr>
            <w:r>
              <w:rPr>
                <w:rFonts w:ascii="Arial" w:hAnsi="Arial"/>
                <w:sz w:val="18"/>
              </w:rPr>
              <w:t xml:space="preserve">975</w:t>
            </w:r>
          </w:p>
        </w:tc>
        <w:tc>
          <w:tcPr/>
          <w:p>
            <w:pPr>
              <w:pStyle w:val="Compact"/>
              <w:jc w:val="right"/>
            </w:pPr>
            <w:r>
              <w:rPr>
                <w:rFonts w:ascii="Arial" w:hAnsi="Arial"/>
                <w:sz w:val="18"/>
              </w:rPr>
              <w:t xml:space="preserve">955</w:t>
            </w:r>
          </w:p>
        </w:tc>
        <w:tc>
          <w:tcPr/>
          <w:p>
            <w:pPr>
              <w:pStyle w:val="Compact"/>
              <w:jc w:val="right"/>
            </w:pPr>
            <w:r>
              <w:rPr>
                <w:rFonts w:ascii="Arial" w:hAnsi="Arial"/>
                <w:sz w:val="18"/>
              </w:rPr>
              <w:t xml:space="preserve">935</w:t>
            </w:r>
          </w:p>
        </w:tc>
        <w:tc>
          <w:tcPr/>
          <w:p>
            <w:pPr>
              <w:pStyle w:val="Compact"/>
              <w:jc w:val="right"/>
            </w:pPr>
            <w:r>
              <w:rPr>
                <w:rFonts w:ascii="Arial" w:hAnsi="Arial"/>
                <w:sz w:val="18"/>
              </w:rPr>
              <w:t xml:space="preserve">925</w:t>
            </w:r>
          </w:p>
        </w:tc>
        <w:tc>
          <w:tcPr/>
          <w:p>
            <w:pPr>
              <w:pStyle w:val="Compact"/>
              <w:jc w:val="right"/>
            </w:pPr>
            <w:r>
              <w:rPr>
                <w:rFonts w:ascii="Arial" w:hAnsi="Arial"/>
                <w:sz w:val="18"/>
              </w:rPr>
              <w:t xml:space="preserve">912 (1999)</w:t>
            </w:r>
          </w:p>
        </w:tc>
      </w:tr>
      <w:tr>
        <w:tc>
          <w:tcPr/>
          <w:p>
            <w:pPr>
              <w:pStyle w:val="Compact"/>
              <w:jc w:val="left"/>
            </w:pPr>
            <w:r>
              <w:rPr>
                <w:rFonts w:ascii="Arial" w:hAnsi="Arial"/>
                <w:sz w:val="18"/>
              </w:rPr>
              <w:t xml:space="preserve">Surge (m)</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1.2</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4.2</w:t>
            </w:r>
          </w:p>
        </w:tc>
        <w:tc>
          <w:tcPr/>
          <w:p>
            <w:pPr>
              <w:pStyle w:val="Compact"/>
              <w:jc w:val="right"/>
            </w:pPr>
            <w:r>
              <w:rPr>
                <w:rFonts w:ascii="Arial" w:hAnsi="Arial"/>
                <w:sz w:val="18"/>
              </w:rPr>
              <w:t xml:space="preserve">5.5</w:t>
            </w:r>
          </w:p>
        </w:tc>
        <w:tc>
          <w:tcPr/>
          <w:p>
            <w:pPr>
              <w:pStyle w:val="Compact"/>
              <w:jc w:val="right"/>
            </w:pPr>
            <w:r>
              <w:rPr>
                <w:rFonts w:ascii="Arial" w:hAnsi="Arial"/>
                <w:sz w:val="18"/>
              </w:rPr>
              <w:t xml:space="preserve">7.0 (1999)</w:t>
            </w:r>
          </w:p>
        </w:tc>
      </w:tr>
      <w:tr>
        <w:tc>
          <w:tcPr/>
          <w:p>
            <w:pPr>
              <w:pStyle w:val="Compact"/>
              <w:jc w:val="left"/>
            </w:pPr>
            <w:r>
              <w:rPr>
                <w:rFonts w:ascii="Arial" w:hAnsi="Arial"/>
                <w:sz w:val="18"/>
              </w:rPr>
              <w:t xml:space="preserve">Landfall DOY</w:t>
            </w:r>
          </w:p>
        </w:tc>
        <w:tc>
          <w:tcPr/>
          <w:p>
            <w:pPr>
              <w:pStyle w:val="Compact"/>
              <w:jc w:val="right"/>
            </w:pPr>
            <w:r>
              <w:rPr>
                <w:rFonts w:ascii="Arial" w:hAnsi="Arial"/>
                <w:sz w:val="18"/>
              </w:rPr>
              <w:t xml:space="preserve">105</w:t>
            </w:r>
          </w:p>
        </w:tc>
        <w:tc>
          <w:tcPr/>
          <w:p>
            <w:pPr>
              <w:pStyle w:val="Compact"/>
              <w:jc w:val="right"/>
            </w:pPr>
            <w:r>
              <w:rPr>
                <w:rFonts w:ascii="Arial" w:hAnsi="Arial"/>
                <w:sz w:val="18"/>
              </w:rPr>
              <w:t xml:space="preserve">122</w:t>
            </w:r>
          </w:p>
        </w:tc>
        <w:tc>
          <w:tcPr/>
          <w:p>
            <w:pPr>
              <w:pStyle w:val="Compact"/>
              <w:jc w:val="right"/>
            </w:pPr>
            <w:r>
              <w:rPr>
                <w:rFonts w:ascii="Arial" w:hAnsi="Arial"/>
                <w:sz w:val="18"/>
              </w:rPr>
              <w:t xml:space="preserve">138</w:t>
            </w:r>
          </w:p>
        </w:tc>
        <w:tc>
          <w:tcPr/>
          <w:p>
            <w:pPr>
              <w:pStyle w:val="Compact"/>
              <w:jc w:val="right"/>
            </w:pPr>
            <w:r>
              <w:rPr>
                <w:rFonts w:ascii="Arial" w:hAnsi="Arial"/>
                <w:sz w:val="18"/>
              </w:rPr>
              <w:t xml:space="preserve">152</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166</w:t>
            </w:r>
          </w:p>
        </w:tc>
      </w:tr>
    </w:tbl>
    <w:p>
      <w:pPr>
        <w:pStyle w:val="BodyText"/>
      </w:pPr>
      <w:r>
        <w:rPr>
          <w:rFonts w:ascii="Arial" w:hAnsi="Arial"/>
          <w:sz w:val="20"/>
        </w:rPr>
        <w:t xml:space="preserve">The 1999 Odisha super-cyclone anchors the high-intensity / high-surge / high-pressure-deficit tail of every column.</w:t>
      </w:r>
    </w:p>
    <w:bookmarkEnd w:id="21"/>
    <w:bookmarkStart w:id="22" w:name="X209e7c2b374af65d608a5907b43f61b2e107d19"/>
    <w:p>
      <w:pPr>
        <w:pStyle w:val="Heading2"/>
      </w:pPr>
      <w:r>
        <w:rPr>
          <w:rFonts w:ascii="Arial" w:hAnsi="Arial"/>
        </w:rPr>
        <w:t xml:space="preserve">S2.3 The three identification cyclones, in climatological context</w:t>
      </w:r>
    </w:p>
    <w:p>
      <w:pPr>
        <w:pStyle w:val="FirstParagraph"/>
      </w:pPr>
      <w:r>
        <w:rPr>
          <w:rFonts w:ascii="Arial" w:hAnsi="Arial"/>
          <w:sz w:val="20"/>
        </w:rPr>
        <w:t xml:space="preserve">Each identification cyclone is placed in the 1981–2018 reference distribution along four independent metrics (peak intensity, central-pressure deficit, peak surge, landfall DOY). The percentile placement is computed by piecewise-linear interpolation between published breakpoints (Table S8). The pattern (visible in Figure S1B) is:</w:t>
      </w:r>
    </w:p>
    <w:p>
      <w:pPr>
        <w:pStyle w:val="BodyText"/>
      </w:pPr>
      <w:r>
        <w:rPr>
          <w:rFonts w:ascii="Arial" w:hAnsi="Arial"/>
          <w:b/>
          <w:bCs/>
          <w:sz w:val="20"/>
        </w:rPr>
        <w:t xml:space="preserve">Cyclone Fani (3 May 2019).</w:t>
      </w:r>
      <w:r>
        <w:rPr>
          <w:rFonts w:ascii="Arial" w:hAnsi="Arial"/>
          <w:sz w:val="20"/>
        </w:rPr>
        <w:t xml:space="preserve"> </w:t>
      </w:r>
      <w:r>
        <w:rPr>
          <w:rFonts w:ascii="Arial" w:hAnsi="Arial"/>
          <w:sz w:val="20"/>
        </w:rPr>
        <w:t xml:space="preserve">ESCS-class, Saffir-Simpson 4-equivalent, Vmax = 135 kt, Pmin = 932 hPa, surge ≈ 1.5 m, landfall on the central Odisha coast at Puri (19.8°N, 85.8°E). In 1981–2018 percentile terms: Vmax 97.5, Pmin 91.5, surge 55.8, landfall DOY 26.6. Fani is an</w:t>
      </w:r>
      <w:r>
        <w:rPr>
          <w:rFonts w:ascii="Arial" w:hAnsi="Arial"/>
          <w:sz w:val="20"/>
        </w:rPr>
        <w:t xml:space="preserve"> </w:t>
      </w:r>
      <w:r>
        <w:rPr>
          <w:rFonts w:ascii="Arial" w:hAnsi="Arial"/>
          <w:i/>
          <w:iCs/>
          <w:sz w:val="20"/>
        </w:rPr>
        <w:t xml:space="preserve">intensity</w:t>
      </w:r>
      <w:r>
        <w:rPr>
          <w:rFonts w:ascii="Arial" w:hAnsi="Arial"/>
          <w:sz w:val="20"/>
        </w:rPr>
        <w:t xml:space="preserve">-tail event with a</w:t>
      </w:r>
      <w:r>
        <w:rPr>
          <w:rFonts w:ascii="Arial" w:hAnsi="Arial"/>
          <w:sz w:val="20"/>
        </w:rPr>
        <w:t xml:space="preserve"> </w:t>
      </w:r>
      <w:r>
        <w:rPr>
          <w:rFonts w:ascii="Arial" w:hAnsi="Arial"/>
          <w:i/>
          <w:iCs/>
          <w:sz w:val="20"/>
        </w:rPr>
        <w:t xml:space="preserve">median</w:t>
      </w:r>
      <w:r>
        <w:rPr>
          <w:rFonts w:ascii="Arial" w:hAnsi="Arial"/>
          <w:sz w:val="20"/>
        </w:rPr>
        <w:t xml:space="preserve"> </w:t>
      </w:r>
      <w:r>
        <w:rPr>
          <w:rFonts w:ascii="Arial" w:hAnsi="Arial"/>
          <w:sz w:val="20"/>
        </w:rPr>
        <w:t xml:space="preserve">surge and an</w:t>
      </w:r>
      <w:r>
        <w:rPr>
          <w:rFonts w:ascii="Arial" w:hAnsi="Arial"/>
          <w:sz w:val="20"/>
        </w:rPr>
        <w:t xml:space="preserve"> </w:t>
      </w:r>
      <w:r>
        <w:rPr>
          <w:rFonts w:ascii="Arial" w:hAnsi="Arial"/>
          <w:i/>
          <w:iCs/>
          <w:sz w:val="20"/>
        </w:rPr>
        <w:t xml:space="preserve">early-tail</w:t>
      </w:r>
      <w:r>
        <w:rPr>
          <w:rFonts w:ascii="Arial" w:hAnsi="Arial"/>
          <w:sz w:val="20"/>
        </w:rPr>
        <w:t xml:space="preserve"> </w:t>
      </w:r>
      <w:r>
        <w:rPr>
          <w:rFonts w:ascii="Arial" w:hAnsi="Arial"/>
          <w:sz w:val="20"/>
        </w:rPr>
        <w:t xml:space="preserve">landfall date — strong enough to reach the climatological top-3 percentile by wind, but striking before peak monsoon-onset moisture had loaded the column, which kept the surge moderate.</w:t>
      </w:r>
    </w:p>
    <w:p>
      <w:pPr>
        <w:pStyle w:val="BodyText"/>
      </w:pPr>
      <w:r>
        <w:rPr>
          <w:rFonts w:ascii="Arial" w:hAnsi="Arial"/>
          <w:b/>
          <w:bCs/>
          <w:sz w:val="20"/>
        </w:rPr>
        <w:t xml:space="preserve">Cyclone Amphan (20 May 2020).</w:t>
      </w:r>
      <w:r>
        <w:rPr>
          <w:rFonts w:ascii="Arial" w:hAnsi="Arial"/>
          <w:sz w:val="20"/>
        </w:rPr>
        <w:t xml:space="preserve"> </w:t>
      </w:r>
      <w:r>
        <w:rPr>
          <w:rFonts w:ascii="Arial" w:hAnsi="Arial"/>
          <w:sz w:val="20"/>
        </w:rPr>
        <w:t xml:space="preserve">SuCS-class, Saffir-Simpson 5-equivalent, Vmax = 140 kt at peak open-water (lower at landfall), Pmin = 925 hPa, surge ≈ 4.6 m, landfall in the Sundarbans (21.65°N, 88.30°E). Percentiles: Vmax 100, Pmin 95, surge 91.5, landfall DOY 55.4. Amphan sits at the joint extreme of the wind, pressure, and surge axes — the most unambiguously tail event in the cohort. Its landfall DOY is, however, near the climatological median.</w:t>
      </w:r>
    </w:p>
    <w:p>
      <w:pPr>
        <w:pStyle w:val="BodyText"/>
      </w:pPr>
      <w:r>
        <w:rPr>
          <w:rFonts w:ascii="Arial" w:hAnsi="Arial"/>
          <w:b/>
          <w:bCs/>
          <w:sz w:val="20"/>
        </w:rPr>
        <w:t xml:space="preserve">Cyclone Yaas (26 May 2021).</w:t>
      </w:r>
      <w:r>
        <w:rPr>
          <w:rFonts w:ascii="Arial" w:hAnsi="Arial"/>
          <w:sz w:val="20"/>
        </w:rPr>
        <w:t xml:space="preserve"> </w:t>
      </w:r>
      <w:r>
        <w:rPr>
          <w:rFonts w:ascii="Arial" w:hAnsi="Arial"/>
          <w:sz w:val="20"/>
        </w:rPr>
        <w:t xml:space="preserve">VSCS-class, Saffir-Simpson 3-equivalent, Vmax = 100 kt, Pmin = 970 hPa, surge ≈ 2.0 m, landfall at Balasore on the northern Odisha coast (21.50°N, 87.10°E). Percentiles: Vmax 81.0, Pmin 56.2, surge 65.4, landfall DOY 64.3. Yaas is a</w:t>
      </w:r>
      <w:r>
        <w:rPr>
          <w:rFonts w:ascii="Arial" w:hAnsi="Arial"/>
          <w:sz w:val="20"/>
        </w:rPr>
        <w:t xml:space="preserve"> </w:t>
      </w:r>
      <w:r>
        <w:rPr>
          <w:rFonts w:ascii="Arial" w:hAnsi="Arial"/>
          <w:i/>
          <w:iCs/>
          <w:sz w:val="20"/>
        </w:rPr>
        <w:t xml:space="preserve">typical</w:t>
      </w:r>
      <w:r>
        <w:rPr>
          <w:rFonts w:ascii="Arial" w:hAnsi="Arial"/>
          <w:sz w:val="20"/>
        </w:rPr>
        <w:t xml:space="preserve"> </w:t>
      </w:r>
      <w:r>
        <w:rPr>
          <w:rFonts w:ascii="Arial" w:hAnsi="Arial"/>
          <w:sz w:val="20"/>
        </w:rPr>
        <w:t xml:space="preserve">pre-Kharif storm in pressure terms (close to the 1981–2018 median), with intensity in the upper quartile but well short of the Fani / Amphan tail. The landfall DOY lies at the centre of the climatological window.</w:t>
      </w:r>
    </w:p>
    <w:p>
      <w:pPr>
        <w:pStyle w:val="BodyText"/>
      </w:pPr>
      <w:r>
        <w:rPr>
          <w:rFonts w:ascii="Arial" w:hAnsi="Arial"/>
          <w:sz w:val="20"/>
        </w:rPr>
        <w:t xml:space="preserve">The cohort therefore</w:t>
      </w:r>
      <w:r>
        <w:rPr>
          <w:rFonts w:ascii="Arial" w:hAnsi="Arial"/>
          <w:sz w:val="20"/>
        </w:rPr>
        <w:t xml:space="preserve"> </w:t>
      </w:r>
      <w:r>
        <w:rPr>
          <w:rFonts w:ascii="Arial" w:hAnsi="Arial"/>
          <w:i/>
          <w:iCs/>
          <w:sz w:val="20"/>
        </w:rPr>
        <w:t xml:space="preserve">spans</w:t>
      </w:r>
      <w:r>
        <w:rPr>
          <w:rFonts w:ascii="Arial" w:hAnsi="Arial"/>
          <w:sz w:val="20"/>
        </w:rPr>
        <w:t xml:space="preserve"> </w:t>
      </w:r>
      <w:r>
        <w:rPr>
          <w:rFonts w:ascii="Arial" w:hAnsi="Arial"/>
          <w:sz w:val="20"/>
        </w:rPr>
        <w:t xml:space="preserve">rather than</w:t>
      </w:r>
      <w:r>
        <w:rPr>
          <w:rFonts w:ascii="Arial" w:hAnsi="Arial"/>
          <w:sz w:val="20"/>
        </w:rPr>
        <w:t xml:space="preserve"> </w:t>
      </w:r>
      <w:r>
        <w:rPr>
          <w:rFonts w:ascii="Arial" w:hAnsi="Arial"/>
          <w:i/>
          <w:iCs/>
          <w:sz w:val="20"/>
        </w:rPr>
        <w:t xml:space="preserve">clusters at</w:t>
      </w:r>
      <w:r>
        <w:rPr>
          <w:rFonts w:ascii="Arial" w:hAnsi="Arial"/>
          <w:sz w:val="20"/>
        </w:rPr>
        <w:t xml:space="preserve"> </w:t>
      </w:r>
      <w:r>
        <w:rPr>
          <w:rFonts w:ascii="Arial" w:hAnsi="Arial"/>
          <w:sz w:val="20"/>
        </w:rPr>
        <w:t xml:space="preserve">the pre-Kharif distribution: one tail-intensity storm (Fani), one extreme-surge storm (Amphan), and one near-median storm (Yaas). The TWFE-DiD coefficient</w:t>
      </w:r>
      <w:r>
        <w:rPr>
          <w:rFonts w:ascii="Arial" w:hAnsi="Arial"/>
          <w:sz w:val="20"/>
        </w:rPr>
        <w:t xml:space="preserve"> </w:t>
      </w:r>
      <m:oMath>
        <m:acc>
          <m:accPr>
            <m:chr m:val="̂"/>
          </m:accPr>
          <m:e>
            <m:r>
              <m:t>τ</m:t>
            </m:r>
          </m:e>
        </m:acc>
      </m:oMath>
      <w:r>
        <w:rPr>
          <w:rFonts w:ascii="Arial" w:hAnsi="Arial"/>
          <w:sz w:val="20"/>
        </w:rPr>
        <w:t xml:space="preserve"> </w:t>
      </w:r>
      <w:r>
        <w:rPr>
          <w:rFonts w:ascii="Arial" w:hAnsi="Arial"/>
          <w:sz w:val="20"/>
        </w:rPr>
        <w:t xml:space="preserve">is identified from the</w:t>
      </w:r>
      <w:r>
        <w:rPr>
          <w:rFonts w:ascii="Arial" w:hAnsi="Arial"/>
          <w:sz w:val="20"/>
        </w:rPr>
        <w:t xml:space="preserve"> </w:t>
      </w:r>
      <w:r>
        <w:rPr>
          <w:rFonts w:ascii="Arial" w:hAnsi="Arial"/>
          <w:i/>
          <w:iCs/>
          <w:sz w:val="20"/>
        </w:rPr>
        <w:t xml:space="preserve">average</w:t>
      </w:r>
      <w:r>
        <w:rPr>
          <w:rFonts w:ascii="Arial" w:hAnsi="Arial"/>
          <w:sz w:val="20"/>
        </w:rPr>
        <w:t xml:space="preserve"> </w:t>
      </w:r>
      <w:r>
        <w:rPr>
          <w:rFonts w:ascii="Arial" w:hAnsi="Arial"/>
          <w:sz w:val="20"/>
        </w:rPr>
        <w:t xml:space="preserve">effect across this span, not from a single anomalous event.</w:t>
      </w:r>
    </w:p>
    <w:bookmarkEnd w:id="22"/>
    <w:bookmarkStart w:id="23" w:name="s2.4-independence-of-the-three-landfalls"/>
    <w:p>
      <w:pPr>
        <w:pStyle w:val="Heading2"/>
      </w:pPr>
      <w:r>
        <w:rPr>
          <w:rFonts w:ascii="Arial" w:hAnsi="Arial"/>
        </w:rPr>
        <w:t xml:space="preserve">S2.4 Independence of the three landfalls</w:t>
      </w:r>
    </w:p>
    <w:p>
      <w:pPr>
        <w:pStyle w:val="FirstParagraph"/>
      </w:pPr>
      <w:r>
        <w:rPr>
          <w:rFonts w:ascii="Arial" w:hAnsi="Arial"/>
          <w:sz w:val="20"/>
        </w:rPr>
        <w:t xml:space="preserve">A reasonable concern with three consecutive treatment years is that the three storms could share a common multi-year driver — for example, a phase-locked El Niño / La Niña teleconnection, or a regime shift in the boreal-spring sub-tropical jet — which would induce correlation in</w:t>
      </w:r>
      <w:r>
        <w:rPr>
          <w:rFonts w:ascii="Arial" w:hAnsi="Arial"/>
          <w:sz w:val="20"/>
        </w:rPr>
        <w:t xml:space="preserve"> </w:t>
      </w:r>
      <m:oMath>
        <m:sSub>
          <m:e>
            <m:r>
              <m:t>ε</m:t>
            </m:r>
          </m:e>
          <m:sub>
            <m:r>
              <m:t>d</m:t>
            </m:r>
            <m:r>
              <m:t>t</m:t>
            </m:r>
          </m:sub>
        </m:sSub>
      </m:oMath>
      <w:r>
        <w:rPr>
          <w:rFonts w:ascii="Arial" w:hAnsi="Arial"/>
          <w:sz w:val="20"/>
        </w:rPr>
        <w:t xml:space="preserve"> </w:t>
      </w:r>
      <w:r>
        <w:rPr>
          <w:rFonts w:ascii="Arial" w:hAnsi="Arial"/>
          <w:sz w:val="20"/>
        </w:rPr>
        <w:t xml:space="preserve">and inflate the effective standard error. Three pieces of evidence speak against this:</w:t>
      </w:r>
    </w:p>
    <w:p>
      <w:pPr>
        <w:pStyle w:val="Compact"/>
        <w:numPr>
          <w:ilvl w:val="0"/>
          <w:numId w:val="1003"/>
        </w:numPr>
      </w:pPr>
      <w:r>
        <w:rPr>
          <w:rFonts w:ascii="Arial" w:hAnsi="Arial"/>
          <w:b/>
          <w:bCs/>
          <w:sz w:val="20"/>
        </w:rPr>
        <w:t xml:space="preserve">Distinct synoptic genesis classes</w:t>
      </w:r>
      <w:r>
        <w:rPr>
          <w:rFonts w:ascii="Arial" w:hAnsi="Arial"/>
          <w:sz w:val="20"/>
        </w:rPr>
        <w:t xml:space="preserve"> </w:t>
      </w:r>
      <w:r>
        <w:rPr>
          <w:rFonts w:ascii="Arial" w:hAnsi="Arial"/>
          <w:sz w:val="20"/>
        </w:rPr>
        <w:t xml:space="preserve">(Table S8,</w:t>
      </w:r>
      <w:r>
        <w:rPr>
          <w:rFonts w:ascii="Arial" w:hAnsi="Arial"/>
          <w:sz w:val="20"/>
        </w:rPr>
        <w:t xml:space="preserve"> </w:t>
      </w:r>
      <w:r>
        <w:rPr>
          <w:rFonts w:ascii="Arial" w:hAnsi="Arial"/>
          <w:sz w:val="20"/>
        </w:rPr>
        <w:t xml:space="preserve">“</w:t>
      </w:r>
      <w:r>
        <w:rPr>
          <w:rFonts w:ascii="Arial" w:hAnsi="Arial"/>
          <w:sz w:val="20"/>
        </w:rPr>
        <w:t xml:space="preserve">Synoptic class</w:t>
      </w:r>
      <w:r>
        <w:rPr>
          <w:rFonts w:ascii="Arial" w:hAnsi="Arial"/>
          <w:sz w:val="20"/>
        </w:rPr>
        <w:t xml:space="preserve">”</w:t>
      </w:r>
      <w:r>
        <w:rPr>
          <w:rFonts w:ascii="Arial" w:hAnsi="Arial"/>
          <w:sz w:val="20"/>
        </w:rPr>
        <w:t xml:space="preserve"> </w:t>
      </w:r>
      <w:r>
        <w:rPr>
          <w:rFonts w:ascii="Arial" w:hAnsi="Arial"/>
          <w:sz w:val="20"/>
        </w:rPr>
        <w:t xml:space="preserve">column).</w:t>
      </w:r>
    </w:p>
    <w:p>
      <w:pPr>
        <w:pStyle w:val="Compact"/>
        <w:numPr>
          <w:ilvl w:val="1"/>
          <w:numId w:val="1004"/>
        </w:numPr>
      </w:pPr>
      <w:r>
        <w:rPr>
          <w:rFonts w:ascii="Arial" w:hAnsi="Arial"/>
          <w:sz w:val="20"/>
        </w:rPr>
        <w:t xml:space="preserve">Fani: equatorial trough genesis (low-latitude cyclogenesis from a tropical disturbance south of 8°N), with rapid intensification over a warm Bay anomaly under low vertical shear.</w:t>
      </w:r>
    </w:p>
    <w:p>
      <w:pPr>
        <w:pStyle w:val="Compact"/>
        <w:numPr>
          <w:ilvl w:val="1"/>
          <w:numId w:val="1004"/>
        </w:numPr>
      </w:pPr>
      <w:r>
        <w:rPr>
          <w:rFonts w:ascii="Arial" w:hAnsi="Arial"/>
          <w:sz w:val="20"/>
        </w:rPr>
        <w:t xml:space="preserve">Amphan: monsoon-trough remnant (mid-latitude westerly burst feeding into a recurving system), with the open-water Vmax peak set by transient extratropical interaction.</w:t>
      </w:r>
    </w:p>
    <w:p>
      <w:pPr>
        <w:pStyle w:val="Compact"/>
        <w:numPr>
          <w:ilvl w:val="1"/>
          <w:numId w:val="1004"/>
        </w:numPr>
      </w:pPr>
      <w:r>
        <w:rPr>
          <w:rFonts w:ascii="Arial" w:hAnsi="Arial"/>
          <w:sz w:val="20"/>
        </w:rPr>
        <w:t xml:space="preserve">Yaas: easterly-wave Bay genesis (westward-tracking system from central Bay genesis), with a more conventional Bay-only synoptic life cycle.</w:t>
      </w:r>
      <w:r>
        <w:rPr>
          <w:rFonts w:ascii="Arial" w:hAnsi="Arial"/>
          <w:sz w:val="20"/>
        </w:rPr>
        <w:t xml:space="preserve"> </w:t>
      </w:r>
      <w:r>
        <w:rPr>
          <w:rFonts w:ascii="Arial" w:hAnsi="Arial"/>
          <w:sz w:val="20"/>
        </w:rPr>
        <w:t xml:space="preserve">These are three of the four canonical pre-Kharif Bay genesis modes (the fourth — extratropical hybrid — is not represented in the cohort) and they impose no shared dependency on a single multi-year mode.</w:t>
      </w:r>
    </w:p>
    <w:p>
      <w:pPr>
        <w:pStyle w:val="Compact"/>
        <w:numPr>
          <w:ilvl w:val="0"/>
          <w:numId w:val="1003"/>
        </w:numPr>
      </w:pPr>
      <w:r>
        <w:rPr>
          <w:rFonts w:ascii="Arial" w:hAnsi="Arial"/>
          <w:b/>
          <w:bCs/>
          <w:sz w:val="20"/>
        </w:rPr>
        <w:t xml:space="preserve">Distinct MJO phases at landfall.</w:t>
      </w:r>
      <w:r>
        <w:rPr>
          <w:rFonts w:ascii="Arial" w:hAnsi="Arial"/>
          <w:sz w:val="20"/>
        </w:rPr>
        <w:t xml:space="preserve"> </w:t>
      </w:r>
      <w:r>
        <w:rPr>
          <w:rFonts w:ascii="Arial" w:hAnsi="Arial"/>
          <w:sz w:val="20"/>
        </w:rPr>
        <w:t xml:space="preserve">Fani landed in MJO phase 3, Amphan in MJO phase 2, Yaas in MJO phase 5. The Madden-Julian Oscillation explains a substantial fraction of intra-seasonal Bay convective activity; three storms drawn from three different MJO phases is consistent with independent intra-seasonal forcing rather than a phase-locked driver.</w:t>
      </w:r>
    </w:p>
    <w:p>
      <w:pPr>
        <w:pStyle w:val="Compact"/>
        <w:numPr>
          <w:ilvl w:val="0"/>
          <w:numId w:val="1003"/>
        </w:numPr>
      </w:pPr>
      <w:r>
        <w:rPr>
          <w:rFonts w:ascii="Arial" w:hAnsi="Arial"/>
          <w:b/>
          <w:bCs/>
          <w:sz w:val="20"/>
        </w:rPr>
        <w:t xml:space="preserve">No ENSO co-phasing.</w:t>
      </w:r>
      <w:r>
        <w:rPr>
          <w:rFonts w:ascii="Arial" w:hAnsi="Arial"/>
          <w:sz w:val="20"/>
        </w:rPr>
        <w:t xml:space="preserve"> </w:t>
      </w:r>
      <w:r>
        <w:rPr>
          <w:rFonts w:ascii="Arial" w:hAnsi="Arial"/>
          <w:sz w:val="20"/>
        </w:rPr>
        <w:t xml:space="preserve">ENSO state at landfall: Fani 2019 — neutral (ONI +0.5); Amphan 2020 — neutral-cool (ONI −0.1); Yaas 2021 — La Niña (ONI −0.7). The three cohort years span the central third of the ENSO distribution rather than clustering at a single phase.</w:t>
      </w:r>
    </w:p>
    <w:p>
      <w:pPr>
        <w:pStyle w:val="FirstParagraph"/>
      </w:pPr>
      <w:r>
        <w:rPr>
          <w:rFonts w:ascii="Arial" w:hAnsi="Arial"/>
          <w:sz w:val="20"/>
        </w:rPr>
        <w:t xml:space="preserve">The three landfalls are therefore best modelled as three independent draws from the pre-Kharif Bay-of-Bengal distribution. The eight-cluster assumption underlying the wild-cluster restricted bootstrap (§3.7.1) and the Donald-Lang small-cluster MDE / power calculation (§3.7.5) is not violated by hidden cross-year synoptic dependence.</w:t>
      </w:r>
    </w:p>
    <w:bookmarkEnd w:id="23"/>
    <w:bookmarkStart w:id="24" w:name="s2.5-mechanism-homogeneity"/>
    <w:p>
      <w:pPr>
        <w:pStyle w:val="Heading2"/>
      </w:pPr>
      <w:r>
        <w:rPr>
          <w:rFonts w:ascii="Arial" w:hAnsi="Arial"/>
        </w:rPr>
        <w:t xml:space="preserve">S2.5 Mechanism homogeneity</w:t>
      </w:r>
    </w:p>
    <w:p>
      <w:pPr>
        <w:pStyle w:val="FirstParagraph"/>
      </w:pPr>
      <w:r>
        <w:rPr>
          <w:rFonts w:ascii="Arial" w:hAnsi="Arial"/>
          <w:sz w:val="20"/>
        </w:rPr>
        <w:t xml:space="preserve">For the TWFE 2 × 2 specification (Eq. 4) to identify a single</w:t>
      </w:r>
      <w:r>
        <w:rPr>
          <w:rFonts w:ascii="Arial" w:hAnsi="Arial"/>
          <w:sz w:val="20"/>
        </w:rPr>
        <w:t xml:space="preserve"> </w:t>
      </w:r>
      <m:oMath>
        <m:r>
          <m:t>τ</m:t>
        </m:r>
      </m:oMath>
      <w:r>
        <w:rPr>
          <w:rFonts w:ascii="Arial" w:hAnsi="Arial"/>
          <w:sz w:val="20"/>
        </w:rPr>
        <w:t xml:space="preserve">, the three storms must be similar enough in</w:t>
      </w:r>
      <w:r>
        <w:rPr>
          <w:rFonts w:ascii="Arial" w:hAnsi="Arial"/>
          <w:sz w:val="20"/>
        </w:rPr>
        <w:t xml:space="preserve"> </w:t>
      </w:r>
      <w:r>
        <w:rPr>
          <w:rFonts w:ascii="Arial" w:hAnsi="Arial"/>
          <w:i/>
          <w:iCs/>
          <w:sz w:val="20"/>
        </w:rPr>
        <w:t xml:space="preserve">outcome-relevant</w:t>
      </w:r>
      <w:r>
        <w:rPr>
          <w:rFonts w:ascii="Arial" w:hAnsi="Arial"/>
          <w:sz w:val="20"/>
        </w:rPr>
        <w:t xml:space="preserve"> </w:t>
      </w:r>
      <w:r>
        <w:rPr>
          <w:rFonts w:ascii="Arial" w:hAnsi="Arial"/>
          <w:sz w:val="20"/>
        </w:rPr>
        <w:t xml:space="preserve">mechanism that pooling them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indicator is defensible. The mechanism that operationalises</w:t>
      </w:r>
      <w:r>
        <w:rPr>
          <w:rFonts w:ascii="Arial" w:hAnsi="Arial"/>
          <w:sz w:val="20"/>
        </w:rPr>
        <w:t xml:space="preserve"> </w:t>
      </w:r>
      <m:oMath>
        <m:r>
          <m:t>τ</m:t>
        </m:r>
      </m:oMath>
      <w:r>
        <w:rPr>
          <w:rFonts w:ascii="Arial" w:hAnsi="Arial"/>
          <w:sz w:val="20"/>
        </w:rPr>
        <w:t xml:space="preserve"> </w:t>
      </w:r>
      <w:r>
        <w:rPr>
          <w:rFonts w:ascii="Arial" w:hAnsi="Arial"/>
          <w:sz w:val="20"/>
        </w:rPr>
        <w:t xml:space="preserve">in the corrected pipeline is</w:t>
      </w:r>
      <w:r>
        <w:rPr>
          <w:rFonts w:ascii="Arial" w:hAnsi="Arial"/>
          <w:sz w:val="20"/>
        </w:rPr>
        <w:t xml:space="preserve"> </w:t>
      </w:r>
      <w:r>
        <w:rPr>
          <w:rFonts w:ascii="Arial" w:hAnsi="Arial"/>
          <w:b/>
          <w:bCs/>
          <w:sz w:val="20"/>
        </w:rPr>
        <w:t xml:space="preserve">saline storm-surge inundation during the pre-Kharif transplanting window</w:t>
      </w:r>
      <w:r>
        <w:rPr>
          <w:rFonts w:ascii="Arial" w:hAnsi="Arial"/>
          <w:sz w:val="20"/>
        </w:rPr>
        <w:t xml:space="preserve">, and on this dimension the three storms are tightly clustered:</w:t>
      </w:r>
    </w:p>
    <w:p>
      <w:pPr>
        <w:pStyle w:val="Compact"/>
        <w:numPr>
          <w:ilvl w:val="0"/>
          <w:numId w:val="1005"/>
        </w:numPr>
      </w:pPr>
      <w:r>
        <w:rPr>
          <w:rFonts w:ascii="Arial" w:hAnsi="Arial"/>
          <w:sz w:val="20"/>
        </w:rPr>
        <w:t xml:space="preserve">All three made landfall within DOY 123 – 146 (3 May – 26 May), i.e., within the same three-week pre-Kharif transplanting window for coastal Odisha rice.</w:t>
      </w:r>
    </w:p>
    <w:p>
      <w:pPr>
        <w:pStyle w:val="Compact"/>
        <w:numPr>
          <w:ilvl w:val="0"/>
          <w:numId w:val="1005"/>
        </w:numPr>
      </w:pPr>
      <w:r>
        <w:rPr>
          <w:rFonts w:ascii="Arial" w:hAnsi="Arial"/>
          <w:sz w:val="20"/>
        </w:rPr>
        <w:t xml:space="preserve">All three produced measurable saline storm-surge ingress at one or more of the five treatment districts (1.5 / 4.6 / 2.0 m peak surge for Fani / Amphan / Yaas, respectively; IMD RSMC reports, district-level surge logs).</w:t>
      </w:r>
    </w:p>
    <w:p>
      <w:pPr>
        <w:pStyle w:val="Compact"/>
        <w:numPr>
          <w:ilvl w:val="0"/>
          <w:numId w:val="1005"/>
        </w:numPr>
      </w:pPr>
      <w:r>
        <w:rPr>
          <w:rFonts w:ascii="Arial" w:hAnsi="Arial"/>
          <w:sz w:val="20"/>
        </w:rPr>
        <w:t xml:space="preserve">All three produced a measurable VH-backscatter trough in the Sentinel-1 archive at the affected districts within 3 – 6 weeks of landfall, consistent with the saline-flood backscatter signature targeted by the Module 02 classifier (§3.3).</w:t>
      </w:r>
    </w:p>
    <w:p>
      <w:pPr>
        <w:pStyle w:val="FirstParagraph"/>
      </w:pPr>
      <w:r>
        <w:rPr>
          <w:rFonts w:ascii="Arial" w:hAnsi="Arial"/>
          <w:sz w:val="20"/>
        </w:rPr>
        <w:t xml:space="preserve">The cohort is therefore</w:t>
      </w:r>
      <w:r>
        <w:rPr>
          <w:rFonts w:ascii="Arial" w:hAnsi="Arial"/>
          <w:sz w:val="20"/>
        </w:rPr>
        <w:t xml:space="preserve"> </w:t>
      </w:r>
      <w:r>
        <w:rPr>
          <w:rFonts w:ascii="Arial" w:hAnsi="Arial"/>
          <w:i/>
          <w:iCs/>
          <w:sz w:val="20"/>
        </w:rPr>
        <w:t xml:space="preserve">heterogeneous</w:t>
      </w:r>
      <w:r>
        <w:rPr>
          <w:rFonts w:ascii="Arial" w:hAnsi="Arial"/>
          <w:sz w:val="20"/>
        </w:rPr>
        <w:t xml:space="preserve"> </w:t>
      </w:r>
      <w:r>
        <w:rPr>
          <w:rFonts w:ascii="Arial" w:hAnsi="Arial"/>
          <w:sz w:val="20"/>
        </w:rPr>
        <w:t xml:space="preserve">in synoptic genesis but</w:t>
      </w:r>
      <w:r>
        <w:rPr>
          <w:rFonts w:ascii="Arial" w:hAnsi="Arial"/>
          <w:sz w:val="20"/>
        </w:rPr>
        <w:t xml:space="preserve"> </w:t>
      </w:r>
      <w:r>
        <w:rPr>
          <w:rFonts w:ascii="Arial" w:hAnsi="Arial"/>
          <w:i/>
          <w:iCs/>
          <w:sz w:val="20"/>
        </w:rPr>
        <w:t xml:space="preserve">homogeneous</w:t>
      </w:r>
      <w:r>
        <w:rPr>
          <w:rFonts w:ascii="Arial" w:hAnsi="Arial"/>
          <w:sz w:val="20"/>
        </w:rPr>
        <w:t xml:space="preserve"> </w:t>
      </w:r>
      <w:r>
        <w:rPr>
          <w:rFonts w:ascii="Arial" w:hAnsi="Arial"/>
          <w:sz w:val="20"/>
        </w:rPr>
        <w:t xml:space="preserve">in the outcome-relevant mechanism. This is the structural condition under which a single pooled</w:t>
      </w:r>
      <w:r>
        <w:rPr>
          <w:rFonts w:ascii="Arial" w:hAnsi="Arial"/>
          <w:sz w:val="20"/>
        </w:rPr>
        <w:t xml:space="preserve"> </w:t>
      </w:r>
      <m:oMath>
        <m:r>
          <m:t>τ</m:t>
        </m:r>
      </m:oMath>
      <w:r>
        <w:rPr>
          <w:rFonts w:ascii="Arial" w:hAnsi="Arial"/>
          <w:sz w:val="20"/>
        </w:rPr>
        <w:t xml:space="preserve"> </w:t>
      </w:r>
      <w:r>
        <w:rPr>
          <w:rFonts w:ascii="Arial" w:hAnsi="Arial"/>
          <w:sz w:val="20"/>
        </w:rPr>
        <w:t xml:space="preserve">is interpretable as the causal effect of</w:t>
      </w:r>
      <w:r>
        <w:rPr>
          <w:rFonts w:ascii="Arial" w:hAnsi="Arial"/>
          <w:sz w:val="20"/>
        </w:rPr>
        <w:t xml:space="preserve"> </w:t>
      </w:r>
      <w:r>
        <w:rPr>
          <w:rFonts w:ascii="Arial" w:hAnsi="Arial"/>
          <w:sz w:val="20"/>
        </w:rPr>
        <w:t xml:space="preserve">“</w:t>
      </w:r>
      <w:r>
        <w:rPr>
          <w:rFonts w:ascii="Arial" w:hAnsi="Arial"/>
          <w:sz w:val="20"/>
        </w:rPr>
        <w:t xml:space="preserve">a pre-Kharif saline-surge inundation event at a coastal Odisha rice district</w:t>
      </w:r>
      <w:r>
        <w:rPr>
          <w:rFonts w:ascii="Arial" w:hAnsi="Arial"/>
          <w:sz w:val="20"/>
        </w:rPr>
        <w:t xml:space="preserve">”</w:t>
      </w:r>
      <w:r>
        <w:rPr>
          <w:rFonts w:ascii="Arial" w:hAnsi="Arial"/>
          <w:sz w:val="20"/>
        </w:rPr>
        <w:t xml:space="preserve">, rather than as a bundle-of-events treatment whose components could plausibly cancel.</w:t>
      </w:r>
    </w:p>
    <w:bookmarkEnd w:id="24"/>
    <w:bookmarkStart w:id="25" w:name="s2.6-falsification-posture"/>
    <w:p>
      <w:pPr>
        <w:pStyle w:val="Heading2"/>
      </w:pPr>
      <w:r>
        <w:rPr>
          <w:rFonts w:ascii="Arial" w:hAnsi="Arial"/>
        </w:rPr>
        <w:t xml:space="preserve">S2.6 Falsification posture</w:t>
      </w:r>
    </w:p>
    <w:p>
      <w:pPr>
        <w:pStyle w:val="FirstParagraph"/>
      </w:pPr>
      <w:r>
        <w:rPr>
          <w:rFonts w:ascii="Arial" w:hAnsi="Arial"/>
          <w:sz w:val="20"/>
        </w:rPr>
        <w:t xml:space="preserve">This climatological framing is</w:t>
      </w:r>
      <w:r>
        <w:rPr>
          <w:rFonts w:ascii="Arial" w:hAnsi="Arial"/>
          <w:sz w:val="20"/>
        </w:rPr>
        <w:t xml:space="preserve"> </w:t>
      </w:r>
      <w:r>
        <w:rPr>
          <w:rFonts w:ascii="Arial" w:hAnsi="Arial"/>
          <w:i/>
          <w:iCs/>
          <w:sz w:val="20"/>
        </w:rPr>
        <w:t xml:space="preserve">non-positivist</w:t>
      </w:r>
      <w:r>
        <w:rPr>
          <w:rFonts w:ascii="Arial" w:hAnsi="Arial"/>
          <w:sz w:val="20"/>
        </w:rPr>
        <w:t xml:space="preserve">: nothing in §S2.3 – §S2.5 constitutes a hypothesis test for</w:t>
      </w:r>
      <w:r>
        <w:rPr>
          <w:rFonts w:ascii="Arial" w:hAnsi="Arial"/>
          <w:sz w:val="20"/>
        </w:rPr>
        <w:t xml:space="preserve"> </w:t>
      </w:r>
      <m:oMath>
        <m:sSub>
          <m:e>
            <m:r>
              <m:t>H</m:t>
            </m:r>
          </m:e>
          <m:sub>
            <m:r>
              <m:t>0</m:t>
            </m:r>
          </m:sub>
        </m:sSub>
        <m:r>
          <m:rPr>
            <m:sty m:val="p"/>
          </m:rPr>
          <m:t>:</m:t>
        </m:r>
        <m:r>
          <m:t>τ</m:t>
        </m:r>
        <m:r>
          <m:rPr>
            <m:sty m:val="p"/>
          </m:rPr>
          <m:t>=</m:t>
        </m:r>
        <m:r>
          <m:t>0</m:t>
        </m:r>
      </m:oMath>
      <w:r>
        <w:rPr>
          <w:rFonts w:ascii="Arial" w:hAnsi="Arial"/>
          <w:sz w:val="20"/>
        </w:rPr>
        <w:t xml:space="preserve">. The role of the climatology note is to establish the</w:t>
      </w:r>
      <w:r>
        <w:rPr>
          <w:rFonts w:ascii="Arial" w:hAnsi="Arial"/>
          <w:sz w:val="20"/>
        </w:rPr>
        <w:t xml:space="preserve"> </w:t>
      </w:r>
      <w:r>
        <w:rPr>
          <w:rFonts w:ascii="Arial" w:hAnsi="Arial"/>
          <w:i/>
          <w:iCs/>
          <w:sz w:val="20"/>
        </w:rPr>
        <w:t xml:space="preserve">context</w:t>
      </w:r>
      <w:r>
        <w:rPr>
          <w:rFonts w:ascii="Arial" w:hAnsi="Arial"/>
          <w:sz w:val="20"/>
        </w:rPr>
        <w:t xml:space="preserve"> </w:t>
      </w:r>
      <w:r>
        <w:rPr>
          <w:rFonts w:ascii="Arial" w:hAnsi="Arial"/>
          <w:sz w:val="20"/>
        </w:rPr>
        <w:t xml:space="preserve">in which the headline result should be read:</w:t>
      </w:r>
    </w:p>
    <w:p>
      <w:pPr>
        <w:pStyle w:val="Compact"/>
        <w:numPr>
          <w:ilvl w:val="0"/>
          <w:numId w:val="1006"/>
        </w:numPr>
      </w:pPr>
      <m:oMath>
        <m:acc>
          <m:accPr>
            <m:chr m:val="̂"/>
          </m:accPr>
          <m:e>
            <m:r>
              <m:t>τ</m:t>
            </m:r>
          </m:e>
        </m:acc>
      </m:oMath>
      <w:r>
        <w:rPr>
          <w:rFonts w:ascii="Arial" w:hAnsi="Arial"/>
          <w:sz w:val="20"/>
        </w:rPr>
        <w:t xml:space="preserve"> </w:t>
      </w:r>
      <w:r>
        <w:rPr>
          <w:rFonts w:ascii="Arial" w:hAnsi="Arial"/>
          <w:sz w:val="20"/>
        </w:rPr>
        <w:t xml:space="preserve">is identified from a representative span of the pre-Kharif distribution, not a single tail draw — the result is therefore a candidate for transferability to a typical pre-Kharif year.</w:t>
      </w:r>
    </w:p>
    <w:p>
      <w:pPr>
        <w:pStyle w:val="Compact"/>
        <w:numPr>
          <w:ilvl w:val="0"/>
          <w:numId w:val="1006"/>
        </w:numPr>
      </w:pPr>
      <w:r>
        <w:rPr>
          <w:rFonts w:ascii="Arial" w:hAnsi="Arial"/>
          <w:sz w:val="20"/>
        </w:rPr>
        <w:t xml:space="preserve">The three landfalls are independent in genesis, MJO phase, and ENSO state — the effective-cluster argument underpinning §3.7.1 holds.</w:t>
      </w:r>
    </w:p>
    <w:p>
      <w:pPr>
        <w:pStyle w:val="Compact"/>
        <w:numPr>
          <w:ilvl w:val="0"/>
          <w:numId w:val="1006"/>
        </w:numPr>
      </w:pPr>
      <w:r>
        <w:rPr>
          <w:rFonts w:ascii="Arial" w:hAnsi="Arial"/>
          <w:sz w:val="20"/>
        </w:rPr>
        <w:t xml:space="preserve">The three landfalls are mechanism-homogeneous in surge-driven pre-Kharif inundation — pooling under a single</w:t>
      </w:r>
      <w:r>
        <w:rPr>
          <w:rFonts w:ascii="Arial" w:hAnsi="Arial"/>
          <w:sz w:val="20"/>
        </w:rPr>
        <w:t xml:space="preserve"> </w:t>
      </w:r>
      <m:oMath>
        <m:sSub>
          <m:e>
            <m:r>
              <m:rPr>
                <m:nor/>
                <m:sty m:val="p"/>
              </m:rPr>
              <m:t>Post</m:t>
            </m:r>
          </m:e>
          <m:sub>
            <m:r>
              <m:t>t</m:t>
            </m:r>
          </m:sub>
        </m:sSub>
      </m:oMath>
      <w:r>
        <w:rPr>
          <w:rFonts w:ascii="Arial" w:hAnsi="Arial"/>
          <w:sz w:val="20"/>
        </w:rPr>
        <w:t xml:space="preserve"> </w:t>
      </w:r>
      <w:r>
        <w:rPr>
          <w:rFonts w:ascii="Arial" w:hAnsi="Arial"/>
          <w:sz w:val="20"/>
        </w:rPr>
        <w:t xml:space="preserve">is defensible.</w:t>
      </w:r>
    </w:p>
    <w:p>
      <w:pPr>
        <w:pStyle w:val="FirstParagraph"/>
      </w:pPr>
      <w:r>
        <w:rPr>
          <w:rFonts w:ascii="Arial" w:hAnsi="Arial"/>
          <w:sz w:val="20"/>
        </w:rPr>
        <w:t xml:space="preserve">Each of these three claims would be</w:t>
      </w:r>
      <w:r>
        <w:rPr>
          <w:rFonts w:ascii="Arial" w:hAnsi="Arial"/>
          <w:sz w:val="20"/>
        </w:rPr>
        <w:t xml:space="preserve"> </w:t>
      </w:r>
      <w:r>
        <w:rPr>
          <w:rFonts w:ascii="Arial" w:hAnsi="Arial"/>
          <w:i/>
          <w:iCs/>
          <w:sz w:val="20"/>
        </w:rPr>
        <w:t xml:space="preserve">falsifiable</w:t>
      </w:r>
      <w:r>
        <w:rPr>
          <w:rFonts w:ascii="Arial" w:hAnsi="Arial"/>
          <w:sz w:val="20"/>
        </w:rPr>
        <w:t xml:space="preserve"> </w:t>
      </w:r>
      <w:r>
        <w:rPr>
          <w:rFonts w:ascii="Arial" w:hAnsi="Arial"/>
          <w:sz w:val="20"/>
        </w:rPr>
        <w:t xml:space="preserve">by a different piece of evidence: a reviewer-supplied alternative climatology, a reviewer-detected shared synoptic driver, or a reviewer-detected mechanism asymmetry. None has been identified at the time of pre-registration finalisation; this note is the formal record of that disclosure.</w:t>
      </w:r>
    </w:p>
    <w:bookmarkEnd w:id="25"/>
    <w:bookmarkStart w:id="26" w:name="s2.7-limitations"/>
    <w:p>
      <w:pPr>
        <w:pStyle w:val="Heading2"/>
      </w:pPr>
      <w:r>
        <w:rPr>
          <w:rFonts w:ascii="Arial" w:hAnsi="Arial"/>
        </w:rPr>
        <w:t xml:space="preserve">S2.7 Limitations</w:t>
      </w:r>
    </w:p>
    <w:p>
      <w:pPr>
        <w:pStyle w:val="Compact"/>
        <w:numPr>
          <w:ilvl w:val="0"/>
          <w:numId w:val="1007"/>
        </w:numPr>
      </w:pPr>
      <w:r>
        <w:rPr>
          <w:rFonts w:ascii="Arial" w:hAnsi="Arial"/>
          <w:b/>
          <w:bCs/>
          <w:sz w:val="20"/>
        </w:rPr>
        <w:t xml:space="preserve">The reference distribution is only 38 years.</w:t>
      </w:r>
      <w:r>
        <w:rPr>
          <w:rFonts w:ascii="Arial" w:hAnsi="Arial"/>
          <w:sz w:val="20"/>
        </w:rPr>
        <w:t xml:space="preserve"> </w:t>
      </w:r>
      <w:r>
        <w:rPr>
          <w:rFonts w:ascii="Arial" w:hAnsi="Arial"/>
          <w:sz w:val="20"/>
        </w:rPr>
        <w:t xml:space="preserve">A 38-year climatology contains 19 systems; bootstrap sampling-variability estimates around the published percentiles are wide (95% binomial CI for the median Vmax breakpoint at p50 covers</w:t>
      </w:r>
      <w:r>
        <w:rPr>
          <w:rFonts w:ascii="Arial" w:hAnsi="Arial"/>
          <w:sz w:val="20"/>
        </w:rPr>
        <w:t xml:space="preserve"> </w:t>
      </w:r>
      <m:oMath>
        <m:r>
          <m:rPr>
            <m:sty m:val="p"/>
          </m:rPr>
          <m:t>±</m:t>
        </m:r>
        <m:r>
          <m:t>6</m:t>
        </m:r>
      </m:oMath>
      <w:r>
        <w:rPr>
          <w:rFonts w:ascii="Arial" w:hAnsi="Arial"/>
          <w:sz w:val="20"/>
        </w:rPr>
        <w:t xml:space="preserve"> </w:t>
      </w:r>
      <w:r>
        <w:rPr>
          <w:rFonts w:ascii="Arial" w:hAnsi="Arial"/>
          <w:sz w:val="20"/>
        </w:rPr>
        <w:t xml:space="preserve">kt). Percentile placements should therefore be read to one significant figure rather than to the decimal precision printed in Table S8.</w:t>
      </w:r>
    </w:p>
    <w:p>
      <w:pPr>
        <w:pStyle w:val="Compact"/>
        <w:numPr>
          <w:ilvl w:val="0"/>
          <w:numId w:val="1007"/>
        </w:numPr>
      </w:pPr>
      <w:r>
        <w:rPr>
          <w:rFonts w:ascii="Arial" w:hAnsi="Arial"/>
          <w:b/>
          <w:bCs/>
          <w:sz w:val="20"/>
        </w:rPr>
        <w:t xml:space="preserve">IBTrACS NI is not homogeneous over 1981–2024.</w:t>
      </w:r>
      <w:r>
        <w:rPr>
          <w:rFonts w:ascii="Arial" w:hAnsi="Arial"/>
          <w:sz w:val="20"/>
        </w:rPr>
        <w:t xml:space="preserve"> </w:t>
      </w:r>
      <w:r>
        <w:rPr>
          <w:rFonts w:ascii="Arial" w:hAnsi="Arial"/>
          <w:sz w:val="20"/>
        </w:rPr>
        <w:t xml:space="preserve">Geostationary observation density and microwave coverage improved substantially in the early-2000s. Pre-1990 Vmax estimates carry larger uncertainty, which compresses the upper tail of the historical distribution and may slightly</w:t>
      </w:r>
      <w:r>
        <w:rPr>
          <w:rFonts w:ascii="Arial" w:hAnsi="Arial"/>
          <w:sz w:val="20"/>
        </w:rPr>
        <w:t xml:space="preserve"> </w:t>
      </w:r>
      <w:r>
        <w:rPr>
          <w:rFonts w:ascii="Arial" w:hAnsi="Arial"/>
          <w:i/>
          <w:iCs/>
          <w:sz w:val="20"/>
        </w:rPr>
        <w:t xml:space="preserve">under-state</w:t>
      </w:r>
      <w:r>
        <w:rPr>
          <w:rFonts w:ascii="Arial" w:hAnsi="Arial"/>
          <w:sz w:val="20"/>
        </w:rPr>
        <w:t xml:space="preserve"> </w:t>
      </w:r>
      <w:r>
        <w:rPr>
          <w:rFonts w:ascii="Arial" w:hAnsi="Arial"/>
          <w:sz w:val="20"/>
        </w:rPr>
        <w:t xml:space="preserve">the percentile at which the identification cyclones sit.</w:t>
      </w:r>
    </w:p>
    <w:p>
      <w:pPr>
        <w:pStyle w:val="Compact"/>
        <w:numPr>
          <w:ilvl w:val="0"/>
          <w:numId w:val="1007"/>
        </w:numPr>
      </w:pPr>
      <w:r>
        <w:rPr>
          <w:rFonts w:ascii="Arial" w:hAnsi="Arial"/>
          <w:b/>
          <w:bCs/>
          <w:sz w:val="20"/>
        </w:rPr>
        <w:t xml:space="preserve">Spatial-coverage caveat.</w:t>
      </w:r>
      <w:r>
        <w:rPr>
          <w:rFonts w:ascii="Arial" w:hAnsi="Arial"/>
          <w:sz w:val="20"/>
        </w:rPr>
        <w:t xml:space="preserve"> </w:t>
      </w:r>
      <w:r>
        <w:rPr>
          <w:rFonts w:ascii="Arial" w:hAnsi="Arial"/>
          <w:sz w:val="20"/>
        </w:rPr>
        <w:t xml:space="preserve">Figure S1A uses Natural Earth 1:50 m coastline and political boundary vectors (Public Domain, naturalearthdata.com) as the basemap. The 1981–2018 climatological points in both panels are the</w:t>
      </w:r>
      <w:r>
        <w:rPr>
          <w:rFonts w:ascii="Arial" w:hAnsi="Arial"/>
          <w:sz w:val="20"/>
        </w:rPr>
        <w:t xml:space="preserve"> </w:t>
      </w:r>
      <w:r>
        <w:rPr>
          <w:rFonts w:ascii="Arial" w:hAnsi="Arial"/>
          <w:b/>
          <w:bCs/>
          <w:sz w:val="20"/>
        </w:rPr>
        <w:t xml:space="preserve">real</w:t>
      </w:r>
      <w:r>
        <w:rPr>
          <w:rFonts w:ascii="Arial" w:hAnsi="Arial"/>
          <w:sz w:val="20"/>
        </w:rPr>
        <w:t xml:space="preserve"> </w:t>
      </w:r>
      <w:r>
        <w:rPr>
          <w:rFonts w:ascii="Arial" w:hAnsi="Arial"/>
          <w:sz w:val="20"/>
        </w:rPr>
        <w:t xml:space="preserve">IBTrACS NI v04r01 (Knapp et al. 2010) landfall positions for named systems whose tracks crossed the Odisha / West Bengal / Bangladesh coast (LON 83–93 °E, LAT 17.5–23.5 °N) at DIST2LAND ≤ 20 km during DOY 105–166, extracted by</w:t>
      </w:r>
      <w:r>
        <w:rPr>
          <w:rFonts w:ascii="Arial" w:hAnsi="Arial"/>
          <w:sz w:val="20"/>
        </w:rPr>
        <w:t xml:space="preserve"> </w:t>
      </w:r>
      <w:r>
        <w:rPr>
          <w:rStyle w:val="VerbatimChar"/>
          <w:rFonts w:ascii="Arial" w:hAnsi="Arial"/>
          <w:sz w:val="20"/>
        </w:rPr>
        <w:t xml:space="preserve">analysis/11b_ibtracs_landfalls.py</w:t>
      </w:r>
      <w:r>
        <w:rPr>
          <w:rFonts w:ascii="Arial" w:hAnsi="Arial"/>
          <w:sz w:val="20"/>
        </w:rPr>
        <w:t xml:space="preserve"> </w:t>
      </w:r>
      <w:r>
        <w:rPr>
          <w:rFonts w:ascii="Arial" w:hAnsi="Arial"/>
          <w:sz w:val="20"/>
        </w:rPr>
        <w:t xml:space="preserve">and frozen at</w:t>
      </w:r>
      <w:r>
        <w:rPr>
          <w:rFonts w:ascii="Arial" w:hAnsi="Arial"/>
          <w:sz w:val="20"/>
        </w:rPr>
        <w:t xml:space="preserve"> </w:t>
      </w:r>
      <w:r>
        <w:rPr>
          <w:rStyle w:val="VerbatimChar"/>
          <w:rFonts w:ascii="Arial" w:hAnsi="Arial"/>
          <w:sz w:val="20"/>
        </w:rPr>
        <w:t xml:space="preserve">data/ibtracs/ibtracs_NI_preKharif_landfalls_1981_2018.csv</w:t>
      </w:r>
      <w:r>
        <w:rPr>
          <w:rFonts w:ascii="Arial" w:hAnsi="Arial"/>
          <w:sz w:val="20"/>
        </w:rPr>
        <w:t xml:space="preserve">. The query returns n = 26 pre-Kharif BoB landfalling systems over the 38-year reference window, slightly higher than the n = 19 named-system count published in IMD (2020) Annex C; the difference reflects (a) the inclusion of unnamed but tracked systems in IBTrACS prior to 1990, and (b) the slightly broader basin definition used here. The quantile statistics in Table S8 use the IMD (2020) Annex C published distribution (n = 19) as the reference cohort, so Figure S1 and Table S8 are computed on</w:t>
      </w:r>
      <w:r>
        <w:rPr>
          <w:rFonts w:ascii="Arial" w:hAnsi="Arial"/>
          <w:sz w:val="20"/>
        </w:rPr>
        <w:t xml:space="preserve"> </w:t>
      </w:r>
      <w:r>
        <w:rPr>
          <w:rFonts w:ascii="Arial" w:hAnsi="Arial"/>
          <w:b/>
          <w:bCs/>
          <w:sz w:val="20"/>
        </w:rPr>
        <w:t xml:space="preserve">two distinct but both real cohorts</w:t>
      </w:r>
      <w:r>
        <w:rPr>
          <w:rFonts w:ascii="Arial" w:hAnsi="Arial"/>
          <w:sz w:val="20"/>
        </w:rPr>
        <w:t xml:space="preserve"> </w:t>
      </w:r>
      <w:r>
        <w:rPr>
          <w:rFonts w:ascii="Arial" w:hAnsi="Arial"/>
          <w:sz w:val="20"/>
        </w:rPr>
        <w:t xml:space="preserve">with explicitly different n; the qualitative percentile placement of Fani, Amphan, and Yaas is unchanged under either definition.</w:t>
      </w:r>
    </w:p>
    <w:bookmarkEnd w:id="26"/>
    <w:bookmarkStart w:id="27" w:name="s2.8-pre-registration-trail"/>
    <w:p>
      <w:pPr>
        <w:pStyle w:val="Heading2"/>
      </w:pPr>
      <w:r>
        <w:rPr>
          <w:rFonts w:ascii="Arial" w:hAnsi="Arial"/>
        </w:rPr>
        <w:t xml:space="preserve">S2.8 Pre-registration trail</w:t>
      </w:r>
    </w:p>
    <w:p>
      <w:pPr>
        <w:pStyle w:val="FirstParagraph"/>
      </w:pPr>
      <w:r>
        <w:rPr>
          <w:rFonts w:ascii="Arial" w:hAnsi="Arial"/>
          <w:sz w:val="20"/>
        </w:rPr>
        <w:t xml:space="preserve">This climatology note was added to the OSF supplement on</w:t>
      </w:r>
      <w:r>
        <w:rPr>
          <w:rFonts w:ascii="Arial" w:hAnsi="Arial"/>
          <w:sz w:val="20"/>
        </w:rPr>
        <w:t xml:space="preserve"> </w:t>
      </w:r>
      <w:r>
        <w:rPr>
          <w:rFonts w:ascii="Arial" w:hAnsi="Arial"/>
          <w:b/>
          <w:bCs/>
          <w:sz w:val="20"/>
        </w:rPr>
        <w:t xml:space="preserve">2026-05-05</w:t>
      </w:r>
      <w:r>
        <w:rPr>
          <w:rFonts w:ascii="Arial" w:hAnsi="Arial"/>
          <w:sz w:val="20"/>
        </w:rPr>
        <w:t xml:space="preserve"> </w:t>
      </w:r>
      <w:r>
        <w:rPr>
          <w:rFonts w:ascii="Arial" w:hAnsi="Arial"/>
          <w:sz w:val="20"/>
        </w:rPr>
        <w:t xml:space="preserve">as a Methods companion to the §3.6 framing; the additional figure (Figure S1) and table (Table S8) were not part of the original 2025 pre-registration. Because the note is descriptive rather than test-forming, no scope amendment was filed; the OSF wiki entry documents the addition under</w:t>
      </w:r>
      <w:r>
        <w:rPr>
          <w:rFonts w:ascii="Arial" w:hAnsi="Arial"/>
          <w:sz w:val="20"/>
        </w:rPr>
        <w:t xml:space="preserve"> </w:t>
      </w:r>
      <w:r>
        <w:rPr>
          <w:rFonts w:ascii="Arial" w:hAnsi="Arial"/>
          <w:sz w:val="20"/>
        </w:rPr>
        <w:t xml:space="preserve">“</w:t>
      </w:r>
      <w:r>
        <w:rPr>
          <w:rFonts w:ascii="Arial" w:hAnsi="Arial"/>
          <w:sz w:val="20"/>
        </w:rPr>
        <w:t xml:space="preserve">Methods supplements</w:t>
      </w:r>
      <w:r>
        <w:rPr>
          <w:rFonts w:ascii="Arial" w:hAnsi="Arial"/>
          <w:sz w:val="20"/>
        </w:rPr>
        <w:t xml:space="preserve">”</w:t>
      </w:r>
      <w:r>
        <w:rPr>
          <w:rFonts w:ascii="Arial" w:hAnsi="Arial"/>
          <w:sz w:val="20"/>
        </w:rPr>
        <w:t xml:space="preserve"> </w:t>
      </w:r>
      <w:r>
        <w:rPr>
          <w:rFonts w:ascii="Arial" w:hAnsi="Arial"/>
          <w:sz w:val="20"/>
        </w:rPr>
        <w:t xml:space="preserve">rather than under</w:t>
      </w:r>
      <w:r>
        <w:rPr>
          <w:rFonts w:ascii="Arial" w:hAnsi="Arial"/>
          <w:sz w:val="20"/>
        </w:rPr>
        <w:t xml:space="preserve"> </w:t>
      </w:r>
      <w:r>
        <w:rPr>
          <w:rFonts w:ascii="Arial" w:hAnsi="Arial"/>
          <w:sz w:val="20"/>
        </w:rPr>
        <w:t xml:space="preserve">“</w:t>
      </w:r>
      <w:r>
        <w:rPr>
          <w:rFonts w:ascii="Arial" w:hAnsi="Arial"/>
          <w:sz w:val="20"/>
        </w:rPr>
        <w:t xml:space="preserve">registered hypotheses.</w:t>
      </w:r>
      <w:r>
        <w:rPr>
          <w:rFonts w:ascii="Arial" w:hAnsi="Arial"/>
          <w:sz w:val="20"/>
        </w:rPr>
        <w:t xml:space="preserve">”</w:t>
      </w:r>
    </w:p>
    <w:bookmarkEnd w:id="27"/>
    <w:bookmarkStart w:id="30" w:name="references"/>
    <w:p>
      <w:pPr>
        <w:pStyle w:val="Heading2"/>
      </w:pPr>
      <w:r>
        <w:rPr>
          <w:rFonts w:ascii="Arial" w:hAnsi="Arial"/>
        </w:rPr>
        <w:t xml:space="preserve">References</w:t>
      </w:r>
    </w:p>
    <w:p>
      <w:pPr>
        <w:pStyle w:val="Compact"/>
        <w:numPr>
          <w:ilvl w:val="0"/>
          <w:numId w:val="1008"/>
        </w:numPr>
      </w:pPr>
      <w:r>
        <w:rPr>
          <w:rFonts w:ascii="Arial" w:hAnsi="Arial"/>
          <w:sz w:val="20"/>
        </w:rPr>
        <w:t xml:space="preserve">Knapp, K.R., Kruk, M.C., Levinson, D.H., Diamond, H.J., Neumann, C.J., 2010. The International Best Track Archive for Climate Stewardship (IBTrACS).</w:t>
      </w:r>
      <w:r>
        <w:rPr>
          <w:rFonts w:ascii="Arial" w:hAnsi="Arial"/>
          <w:sz w:val="20"/>
        </w:rPr>
        <w:t xml:space="preserve"> </w:t>
      </w:r>
      <w:r>
        <w:rPr>
          <w:rFonts w:ascii="Arial" w:hAnsi="Arial"/>
          <w:i/>
          <w:iCs/>
          <w:sz w:val="20"/>
        </w:rPr>
        <w:t xml:space="preserve">Bulletin of the American Meteorological Society</w:t>
      </w:r>
      <w:r>
        <w:rPr>
          <w:rFonts w:ascii="Arial" w:hAnsi="Arial"/>
          <w:sz w:val="20"/>
        </w:rPr>
        <w:t xml:space="preserve"> </w:t>
      </w:r>
      <w:r>
        <w:rPr>
          <w:rFonts w:ascii="Arial" w:hAnsi="Arial"/>
          <w:sz w:val="20"/>
        </w:rPr>
        <w:t xml:space="preserve">91, 363–376.</w:t>
      </w:r>
      <w:r>
        <w:rPr>
          <w:rFonts w:ascii="Arial" w:hAnsi="Arial"/>
          <w:sz w:val="20"/>
        </w:rPr>
        <w:t xml:space="preserve"> </w:t>
      </w:r>
      <w:hyperlink r:id="rId28">
        <w:r>
          <w:rPr>
            <w:rStyle w:val="Hyperlink"/>
          </w:rPr>
          <w:t xml:space="preserve">doi:10.1175/2009BAMS2755.1</w:t>
        </w:r>
      </w:hyperlink>
    </w:p>
    <w:p>
      <w:pPr>
        <w:pStyle w:val="Compact"/>
        <w:numPr>
          <w:ilvl w:val="0"/>
          <w:numId w:val="1008"/>
        </w:numPr>
      </w:pPr>
      <w:r>
        <w:rPr>
          <w:rFonts w:ascii="Arial" w:hAnsi="Arial"/>
          <w:sz w:val="20"/>
        </w:rPr>
        <w:t xml:space="preserve">IMD, 2020.</w:t>
      </w:r>
      <w:r>
        <w:rPr>
          <w:rFonts w:ascii="Arial" w:hAnsi="Arial"/>
          <w:sz w:val="20"/>
        </w:rPr>
        <w:t xml:space="preserve"> </w:t>
      </w:r>
      <w:r>
        <w:rPr>
          <w:rFonts w:ascii="Arial" w:hAnsi="Arial"/>
          <w:i/>
          <w:iCs/>
          <w:sz w:val="20"/>
        </w:rPr>
        <w:t xml:space="preserve">Report on Cyclonic Disturbances over North Indian Ocean during 2019</w:t>
      </w:r>
      <w:r>
        <w:rPr>
          <w:rFonts w:ascii="Arial" w:hAnsi="Arial"/>
          <w:sz w:val="20"/>
        </w:rPr>
        <w:t xml:space="preserve"> </w:t>
      </w:r>
      <w:r>
        <w:rPr>
          <w:rFonts w:ascii="Arial" w:hAnsi="Arial"/>
          <w:sz w:val="20"/>
        </w:rPr>
        <w:t xml:space="preserve">(and corresponding 2020, 2021 reports). India Meteorological Department, New Delhi.</w:t>
      </w:r>
      <w:r>
        <w:rPr>
          <w:rFonts w:ascii="Arial" w:hAnsi="Arial"/>
          <w:sz w:val="20"/>
        </w:rPr>
        <w:t xml:space="preserve"> </w:t>
      </w:r>
      <w:hyperlink r:id="rId29">
        <w:r>
          <w:rPr>
            <w:rStyle w:val="Hyperlink"/>
          </w:rPr>
          <w:t xml:space="preserve">rsmcnewdelhi.imd.gov.in</w:t>
        </w:r>
      </w:hyperlink>
    </w:p>
    <w:bookmarkEnd w:id="30"/>
    <w:bookmarkEnd w:id="31"/>
    <w:p>
      <w:r>
        <w:rPr>
          <w:rFonts w:ascii="Arial" w:hAnsi="Arial"/>
          <w:sz w:val="20"/>
        </w:rPr>
        <w:br w:type="page"/>
      </w:r>
    </w:p>
    <w:p>
      <w:pPr>
        <w:keepNext/>
        <w:spacing w:before="240" w:after="120"/>
      </w:pPr>
      <w:bookmarkStart w:id="58319" w:name="note_s3"/>
      <w:r>
        <w:rPr>
          <w:rFonts w:ascii="Arial" w:hAnsi="Arial"/>
          <w:b/>
          <w:color w:val="1F3A5F"/>
          <w:sz w:val="32"/>
        </w:rPr>
        <w:t>Note S3 — Sentinel-1 dual-polarisation backscatter signatures</w:t>
      </w:r>
      <w:bookmarkEnd w:id="58319"/>
    </w:p>
    <w:bookmarkStart w:id="29" w:name="Xce1958d78618fb7c3de38bca5f65ef8f24e51a2"/>
    <w:p>
      <w:pPr>
        <w:pStyle w:val="Heading1"/>
      </w:pPr>
      <w:r>
        <w:rPr>
          <w:rFonts w:ascii="Arial" w:hAnsi="Arial"/>
        </w:rPr>
        <w:t xml:space="preserve">Supplementary Note S3 — Sentinel-1 dual-polarisation backscatter signatures</w:t>
      </w:r>
    </w:p>
    <w:p>
      <w:pPr>
        <w:pStyle w:val="FirstParagraph"/>
      </w:pPr>
      <w:r>
        <w:rPr>
          <w:rFonts w:ascii="Arial" w:hAnsi="Arial"/>
          <w:b/>
          <w:bCs/>
          <w:sz w:val="20"/>
        </w:rPr>
        <w:t xml:space="preserve">Anchors.</w:t>
      </w:r>
      <w:r>
        <w:rPr>
          <w:rFonts w:ascii="Arial" w:hAnsi="Arial"/>
          <w:sz w:val="20"/>
        </w:rPr>
        <w:t xml:space="preserve"> </w:t>
      </w:r>
      <w:r>
        <w:rPr>
          <w:rFonts w:ascii="Arial" w:hAnsi="Arial"/>
          <w:sz w:val="20"/>
        </w:rPr>
        <w:t xml:space="preserve">Pre-registered as OSF c4mp8 §2.3 (feature space and gating logic).</w:t>
      </w:r>
      <w:r>
        <w:rPr>
          <w:rFonts w:ascii="Arial" w:hAnsi="Arial"/>
          <w:sz w:val="20"/>
        </w:rPr>
        <w:t xml:space="preserve"> </w:t>
      </w:r>
      <w:r>
        <w:rPr>
          <w:rFonts w:ascii="Arial" w:hAnsi="Arial"/>
          <w:sz w:val="20"/>
        </w:rPr>
        <w:t xml:space="preserve">Implementation:</w:t>
      </w:r>
      <w:r>
        <w:rPr>
          <w:rFonts w:ascii="Arial" w:hAnsi="Arial"/>
          <w:sz w:val="20"/>
        </w:rPr>
        <w:t xml:space="preserve"> </w:t>
      </w:r>
      <w:r>
        <w:rPr>
          <w:rStyle w:val="VerbatimChar"/>
          <w:rFonts w:ascii="Arial" w:hAnsi="Arial"/>
          <w:sz w:val="20"/>
        </w:rPr>
        <w:t xml:space="preserve">analysis/18_real_s1_backscatter_signatures.py</w:t>
      </w:r>
      <w:r>
        <w:rPr>
          <w:rFonts w:ascii="Arial" w:hAnsi="Arial"/>
          <w:sz w:val="20"/>
        </w:rPr>
        <w:t xml:space="preserve"> </w:t>
      </w:r>
      <w:r>
        <w:rPr>
          <w:rFonts w:ascii="Arial" w:hAnsi="Arial"/>
          <w:sz w:val="20"/>
        </w:rPr>
        <w:t xml:space="preserve">(extraction) +</w:t>
      </w:r>
      <w:r>
        <w:rPr>
          <w:rFonts w:ascii="Arial" w:hAnsi="Arial"/>
          <w:sz w:val="20"/>
        </w:rPr>
        <w:t xml:space="preserve"> </w:t>
      </w:r>
      <w:r>
        <w:rPr>
          <w:rStyle w:val="VerbatimChar"/>
          <w:rFonts w:ascii="Arial" w:hAnsi="Arial"/>
          <w:sz w:val="20"/>
        </w:rPr>
        <w:t xml:space="preserve">analysis/20_build_table_s9_fig_s2_real.py</w:t>
      </w:r>
      <w:r>
        <w:rPr>
          <w:rFonts w:ascii="Arial" w:hAnsi="Arial"/>
          <w:sz w:val="20"/>
        </w:rPr>
        <w:t xml:space="preserve"> </w:t>
      </w:r>
      <w:r>
        <w:rPr>
          <w:rFonts w:ascii="Arial" w:hAnsi="Arial"/>
          <w:sz w:val="20"/>
        </w:rPr>
        <w:t xml:space="preserve">(table/figure build). Real</w:t>
      </w:r>
      <w:r>
        <w:rPr>
          <w:rFonts w:ascii="Arial" w:hAnsi="Arial"/>
          <w:sz w:val="20"/>
        </w:rPr>
        <w:t xml:space="preserve"> </w:t>
      </w:r>
      <w:r>
        <w:rPr>
          <w:rFonts w:ascii="Arial" w:hAnsi="Arial"/>
          <w:sz w:val="20"/>
        </w:rPr>
        <w:t xml:space="preserve">Sentinel-1 RTC inputs from Microsoft Planetary Computer STAC, 2019. Outputs:</w:t>
      </w:r>
      <w:r>
        <w:rPr>
          <w:rFonts w:ascii="Arial" w:hAnsi="Arial"/>
          <w:sz w:val="20"/>
        </w:rPr>
        <w:t xml:space="preserve"> </w:t>
      </w:r>
      <w:r>
        <w:rPr>
          <w:rFonts w:ascii="Arial" w:hAnsi="Arial"/>
          <w:sz w:val="20"/>
        </w:rPr>
        <w:t xml:space="preserve">Table S9 (phase means and event deltas), Figure S2 (per-district VH/VV/CR</w:t>
      </w:r>
      <w:r>
        <w:rPr>
          <w:rFonts w:ascii="Arial" w:hAnsi="Arial"/>
          <w:sz w:val="20"/>
        </w:rPr>
        <w:t xml:space="preserve"> </w:t>
      </w:r>
      <w:r>
        <w:rPr>
          <w:rFonts w:ascii="Arial" w:hAnsi="Arial"/>
          <w:sz w:val="20"/>
        </w:rPr>
        <w:t xml:space="preserve">time series).</w:t>
      </w:r>
    </w:p>
    <w:bookmarkStart w:id="20" w:name="s3.1-the-discrimination-problem"/>
    <w:p>
      <w:pPr>
        <w:pStyle w:val="Heading2"/>
      </w:pPr>
      <w:r>
        <w:rPr>
          <w:rFonts w:ascii="Arial" w:hAnsi="Arial"/>
        </w:rPr>
        <w:t xml:space="preserve">S3.1 The discrimination problem</w:t>
      </w:r>
    </w:p>
    <w:p>
      <w:pPr>
        <w:pStyle w:val="FirstParagraph"/>
      </w:pPr>
      <w:r>
        <w:rPr>
          <w:rFonts w:ascii="Arial" w:hAnsi="Arial"/>
          <w:sz w:val="20"/>
        </w:rPr>
        <w:t xml:space="preserve">The classifier in Module 02 (manuscript §3.3) must distinguish three rice</w:t>
      </w:r>
      <w:r>
        <w:rPr>
          <w:rFonts w:ascii="Arial" w:hAnsi="Arial"/>
          <w:sz w:val="20"/>
        </w:rPr>
        <w:t xml:space="preserve"> </w:t>
      </w:r>
      <w:r>
        <w:rPr>
          <w:rFonts w:ascii="Arial" w:hAnsi="Arial"/>
          <w:sz w:val="20"/>
        </w:rPr>
        <w:t xml:space="preserve">surface-water states whose visual signatures on a single Sentinel-1 scene</w:t>
      </w:r>
      <w:r>
        <w:rPr>
          <w:rFonts w:ascii="Arial" w:hAnsi="Arial"/>
          <w:sz w:val="20"/>
        </w:rPr>
        <w:t xml:space="preserve"> </w:t>
      </w:r>
      <w:r>
        <w:rPr>
          <w:rFonts w:ascii="Arial" w:hAnsi="Arial"/>
          <w:sz w:val="20"/>
        </w:rPr>
        <w:t xml:space="preserve">are confusable:</w:t>
      </w:r>
    </w:p>
    <w:p>
      <w:pPr>
        <w:pStyle w:val="Compact"/>
        <w:numPr>
          <w:ilvl w:val="0"/>
          <w:numId w:val="1001"/>
        </w:numPr>
      </w:pPr>
      <w:r>
        <w:rPr>
          <w:rFonts w:ascii="Arial" w:hAnsi="Arial"/>
          <w:b/>
          <w:bCs/>
          <w:sz w:val="20"/>
        </w:rPr>
        <w:t xml:space="preserve">Agronomic transplanting flood</w:t>
      </w:r>
      <w:r>
        <w:rPr>
          <w:rFonts w:ascii="Arial" w:hAnsi="Arial"/>
          <w:sz w:val="20"/>
        </w:rPr>
        <w:t xml:space="preserve"> </w:t>
      </w:r>
      <w:r>
        <w:rPr>
          <w:rFonts w:ascii="Arial" w:hAnsi="Arial"/>
          <w:sz w:val="20"/>
        </w:rPr>
        <w:t xml:space="preserve">— shallow standing freshwater under a</w:t>
      </w:r>
      <w:r>
        <w:rPr>
          <w:rFonts w:ascii="Arial" w:hAnsi="Arial"/>
          <w:sz w:val="20"/>
        </w:rPr>
        <w:t xml:space="preserve"> </w:t>
      </w:r>
      <w:r>
        <w:rPr>
          <w:rFonts w:ascii="Arial" w:hAnsi="Arial"/>
          <w:sz w:val="20"/>
        </w:rPr>
        <w:t xml:space="preserve">sparse vegetation canopy, deliberately maintained for two to four weeks</w:t>
      </w:r>
      <w:r>
        <w:rPr>
          <w:rFonts w:ascii="Arial" w:hAnsi="Arial"/>
          <w:sz w:val="20"/>
        </w:rPr>
        <w:t xml:space="preserve"> </w:t>
      </w:r>
      <w:r>
        <w:rPr>
          <w:rFonts w:ascii="Arial" w:hAnsi="Arial"/>
          <w:sz w:val="20"/>
        </w:rPr>
        <w:t xml:space="preserve">while seedlings are puddled into the bunded field.</w:t>
      </w:r>
    </w:p>
    <w:p>
      <w:pPr>
        <w:pStyle w:val="Compact"/>
        <w:numPr>
          <w:ilvl w:val="0"/>
          <w:numId w:val="1001"/>
        </w:numPr>
      </w:pPr>
      <w:r>
        <w:rPr>
          <w:rFonts w:ascii="Arial" w:hAnsi="Arial"/>
          <w:b/>
          <w:bCs/>
          <w:sz w:val="20"/>
        </w:rPr>
        <w:t xml:space="preserve">Cyclone storm-surge saline flood</w:t>
      </w:r>
      <w:r>
        <w:rPr>
          <w:rFonts w:ascii="Arial" w:hAnsi="Arial"/>
          <w:sz w:val="20"/>
        </w:rPr>
        <w:t xml:space="preserve"> </w:t>
      </w:r>
      <w:r>
        <w:rPr>
          <w:rFonts w:ascii="Arial" w:hAnsi="Arial"/>
          <w:sz w:val="20"/>
        </w:rPr>
        <w:t xml:space="preserve">— sea-water inundation following</w:t>
      </w:r>
      <w:r>
        <w:rPr>
          <w:rFonts w:ascii="Arial" w:hAnsi="Arial"/>
          <w:sz w:val="20"/>
        </w:rPr>
        <w:t xml:space="preserve"> </w:t>
      </w:r>
      <w:r>
        <w:rPr>
          <w:rFonts w:ascii="Arial" w:hAnsi="Arial"/>
          <w:sz w:val="20"/>
        </w:rPr>
        <w:t xml:space="preserve">landfall, lasting hours to days, often persisting in low-lying bunded</w:t>
      </w:r>
      <w:r>
        <w:rPr>
          <w:rFonts w:ascii="Arial" w:hAnsi="Arial"/>
          <w:sz w:val="20"/>
        </w:rPr>
        <w:t xml:space="preserve"> </w:t>
      </w:r>
      <w:r>
        <w:rPr>
          <w:rFonts w:ascii="Arial" w:hAnsi="Arial"/>
          <w:sz w:val="20"/>
        </w:rPr>
        <w:t xml:space="preserve">paddy for one to two weeks before drainage.</w:t>
      </w:r>
    </w:p>
    <w:p>
      <w:pPr>
        <w:pStyle w:val="Compact"/>
        <w:numPr>
          <w:ilvl w:val="0"/>
          <w:numId w:val="1001"/>
        </w:numPr>
      </w:pPr>
      <w:r>
        <w:rPr>
          <w:rFonts w:ascii="Arial" w:hAnsi="Arial"/>
          <w:b/>
          <w:bCs/>
          <w:sz w:val="20"/>
        </w:rPr>
        <w:t xml:space="preserve">Post-monsoon freshwater rainfall pond</w:t>
      </w:r>
      <w:r>
        <w:rPr>
          <w:rFonts w:ascii="Arial" w:hAnsi="Arial"/>
          <w:sz w:val="20"/>
        </w:rPr>
        <w:t xml:space="preserve"> </w:t>
      </w:r>
      <w:r>
        <w:rPr>
          <w:rFonts w:ascii="Arial" w:hAnsi="Arial"/>
          <w:sz w:val="20"/>
        </w:rPr>
        <w:t xml:space="preserve">— closed-basin freshwater</w:t>
      </w:r>
      <w:r>
        <w:rPr>
          <w:rFonts w:ascii="Arial" w:hAnsi="Arial"/>
          <w:sz w:val="20"/>
        </w:rPr>
        <w:t xml:space="preserve"> </w:t>
      </w:r>
      <w:r>
        <w:rPr>
          <w:rFonts w:ascii="Arial" w:hAnsi="Arial"/>
          <w:sz w:val="20"/>
        </w:rPr>
        <w:t xml:space="preserve">accumulation under a senescent or harvested canopy, lasting days to</w:t>
      </w:r>
      <w:r>
        <w:rPr>
          <w:rFonts w:ascii="Arial" w:hAnsi="Arial"/>
          <w:sz w:val="20"/>
        </w:rPr>
        <w:t xml:space="preserve"> </w:t>
      </w:r>
      <w:r>
        <w:rPr>
          <w:rFonts w:ascii="Arial" w:hAnsi="Arial"/>
          <w:sz w:val="20"/>
        </w:rPr>
        <w:t xml:space="preserve">weeks (the Bulbul, 2019, rainfall-event signature).</w:t>
      </w:r>
    </w:p>
    <w:p>
      <w:pPr>
        <w:pStyle w:val="FirstParagraph"/>
      </w:pPr>
      <w:r>
        <w:rPr>
          <w:rFonts w:ascii="Arial" w:hAnsi="Arial"/>
          <w:sz w:val="20"/>
        </w:rPr>
        <w:t xml:space="preserve">If these three states cannot be told apart on the satellite record, the</w:t>
      </w:r>
      <w:r>
        <w:rPr>
          <w:rFonts w:ascii="Arial" w:hAnsi="Arial"/>
          <w:sz w:val="20"/>
        </w:rPr>
        <w:t xml:space="preserve"> </w:t>
      </w:r>
      <w:r>
        <w:rPr>
          <w:rFonts w:ascii="Arial" w:hAnsi="Arial"/>
          <w:sz w:val="20"/>
        </w:rPr>
        <w:t xml:space="preserve">identification strategy collapses — every cyclonic-loss estimate becomes</w:t>
      </w:r>
      <w:r>
        <w:rPr>
          <w:rFonts w:ascii="Arial" w:hAnsi="Arial"/>
          <w:sz w:val="20"/>
        </w:rPr>
        <w:t xml:space="preserve"> </w:t>
      </w:r>
      <w:r>
        <w:rPr>
          <w:rFonts w:ascii="Arial" w:hAnsi="Arial"/>
          <w:sz w:val="20"/>
        </w:rPr>
        <w:t xml:space="preserve">vulnerable to confounding by routine agronomic flooding. Note S3 documents</w:t>
      </w:r>
      <w:r>
        <w:rPr>
          <w:rFonts w:ascii="Arial" w:hAnsi="Arial"/>
          <w:sz w:val="20"/>
        </w:rPr>
        <w:t xml:space="preserve"> </w:t>
      </w:r>
      <w:r>
        <w:rPr>
          <w:rFonts w:ascii="Arial" w:hAnsi="Arial"/>
          <w:sz w:val="20"/>
        </w:rPr>
        <w:t xml:space="preserve">the dual-polarisation scattering physics that drives the discriminator, the</w:t>
      </w:r>
      <w:r>
        <w:rPr>
          <w:rFonts w:ascii="Arial" w:hAnsi="Arial"/>
          <w:sz w:val="20"/>
        </w:rPr>
        <w:t xml:space="preserve"> </w:t>
      </w:r>
      <w:r>
        <w:rPr>
          <w:rFonts w:ascii="Arial" w:hAnsi="Arial"/>
          <w:sz w:val="20"/>
        </w:rPr>
        <w:t xml:space="preserve">empirical signatures recorded over the four Bulbul probe districts in 2019,</w:t>
      </w:r>
      <w:r>
        <w:rPr>
          <w:rFonts w:ascii="Arial" w:hAnsi="Arial"/>
          <w:sz w:val="20"/>
        </w:rPr>
        <w:t xml:space="preserve"> </w:t>
      </w:r>
      <w:r>
        <w:rPr>
          <w:rFonts w:ascii="Arial" w:hAnsi="Arial"/>
          <w:sz w:val="20"/>
        </w:rPr>
        <w:t xml:space="preserve">and the falsifiability conditions under which the classifier should be</w:t>
      </w:r>
      <w:r>
        <w:rPr>
          <w:rFonts w:ascii="Arial" w:hAnsi="Arial"/>
          <w:sz w:val="20"/>
        </w:rPr>
        <w:t xml:space="preserve"> </w:t>
      </w:r>
      <w:r>
        <w:rPr>
          <w:rFonts w:ascii="Arial" w:hAnsi="Arial"/>
          <w:sz w:val="20"/>
        </w:rPr>
        <w:t xml:space="preserve">rejected.</w:t>
      </w:r>
    </w:p>
    <w:bookmarkEnd w:id="20"/>
    <w:bookmarkStart w:id="21" w:name="s3.2-data-and-method"/>
    <w:p>
      <w:pPr>
        <w:pStyle w:val="Heading2"/>
      </w:pPr>
      <w:r>
        <w:rPr>
          <w:rFonts w:ascii="Arial" w:hAnsi="Arial"/>
        </w:rPr>
        <w:t xml:space="preserve">S3.2 Data and method</w:t>
      </w:r>
    </w:p>
    <w:p>
      <w:pPr>
        <w:pStyle w:val="FirstParagraph"/>
      </w:pPr>
      <w:r>
        <w:rPr>
          <w:rFonts w:ascii="Arial" w:hAnsi="Arial"/>
          <w:b/>
          <w:bCs/>
          <w:sz w:val="20"/>
        </w:rPr>
        <w:t xml:space="preserve">Sentinel-1 RTC retrieval.</w:t>
      </w:r>
      <w:r>
        <w:rPr>
          <w:rFonts w:ascii="Arial" w:hAnsi="Arial"/>
          <w:sz w:val="20"/>
        </w:rPr>
        <w:t xml:space="preserve"> </w:t>
      </w:r>
      <w:r>
        <w:rPr>
          <w:rFonts w:ascii="Arial" w:hAnsi="Arial"/>
          <w:sz w:val="20"/>
        </w:rPr>
        <w:t xml:space="preserve">All backscatter signatures in Table S9 and</w:t>
      </w:r>
      <w:r>
        <w:rPr>
          <w:rFonts w:ascii="Arial" w:hAnsi="Arial"/>
          <w:sz w:val="20"/>
        </w:rPr>
        <w:t xml:space="preserve"> </w:t>
      </w:r>
      <w:r>
        <w:rPr>
          <w:rFonts w:ascii="Arial" w:hAnsi="Arial"/>
          <w:sz w:val="20"/>
        </w:rPr>
        <w:t xml:space="preserve">Figure S2 are extracted from the Microsoft Planetary Computer</w:t>
      </w:r>
      <w:r>
        <w:rPr>
          <w:rFonts w:ascii="Arial" w:hAnsi="Arial"/>
          <w:sz w:val="20"/>
        </w:rPr>
        <w:t xml:space="preserve"> </w:t>
      </w:r>
      <w:r>
        <w:rPr>
          <w:rStyle w:val="VerbatimChar"/>
          <w:rFonts w:ascii="Arial" w:hAnsi="Arial"/>
          <w:sz w:val="20"/>
        </w:rPr>
        <w:t xml:space="preserve">sentinel-1-rtc</w:t>
      </w:r>
      <w:r>
        <w:rPr>
          <w:rFonts w:ascii="Arial" w:hAnsi="Arial"/>
          <w:sz w:val="20"/>
        </w:rPr>
        <w:t xml:space="preserve"> </w:t>
      </w:r>
      <w:r>
        <w:rPr>
          <w:rFonts w:ascii="Arial" w:hAnsi="Arial"/>
          <w:sz w:val="20"/>
        </w:rPr>
        <w:t xml:space="preserve">STAC collection (10 m, Interferometric Wide swath, Ground</w:t>
      </w:r>
      <w:r>
        <w:rPr>
          <w:rFonts w:ascii="Arial" w:hAnsi="Arial"/>
          <w:sz w:val="20"/>
        </w:rPr>
        <w:t xml:space="preserve"> </w:t>
      </w:r>
      <w:r>
        <w:rPr>
          <w:rFonts w:ascii="Arial" w:hAnsi="Arial"/>
          <w:sz w:val="20"/>
        </w:rPr>
        <w:t xml:space="preserve">Range Detected, dual-pol VV+VH, gamma_0 radiometric- and</w:t>
      </w:r>
      <w:r>
        <w:rPr>
          <w:rFonts w:ascii="Arial" w:hAnsi="Arial"/>
          <w:sz w:val="20"/>
        </w:rPr>
        <w:t xml:space="preserve"> </w:t>
      </w:r>
      <w:r>
        <w:rPr>
          <w:rFonts w:ascii="Arial" w:hAnsi="Arial"/>
          <w:sz w:val="20"/>
        </w:rPr>
        <w:t xml:space="preserve">terrain-corrected). Query window 2019-05-01 to 2019-12-15; coverage</w:t>
      </w:r>
      <w:r>
        <w:rPr>
          <w:rFonts w:ascii="Arial" w:hAnsi="Arial"/>
          <w:sz w:val="20"/>
        </w:rPr>
        <w:t xml:space="preserve"> </w:t>
      </w:r>
      <w:r>
        <w:rPr>
          <w:rFonts w:ascii="Arial" w:hAnsi="Arial"/>
          <w:sz w:val="20"/>
        </w:rPr>
        <w:t xml:space="preserve">spans the four paddy-dominant Bulbul probe districts (Boudh, Ganjam,</w:t>
      </w:r>
      <w:r>
        <w:rPr>
          <w:rFonts w:ascii="Arial" w:hAnsi="Arial"/>
          <w:sz w:val="20"/>
        </w:rPr>
        <w:t xml:space="preserve"> </w:t>
      </w:r>
      <w:r>
        <w:rPr>
          <w:rFonts w:ascii="Arial" w:hAnsi="Arial"/>
          <w:sz w:val="20"/>
        </w:rPr>
        <w:t xml:space="preserve">Khordha, Nayagarh) as identified in Note S1 §S1.2. Total = 85</w:t>
      </w:r>
      <w:r>
        <w:rPr>
          <w:rFonts w:ascii="Arial" w:hAnsi="Arial"/>
          <w:sz w:val="20"/>
        </w:rPr>
        <w:t xml:space="preserve"> </w:t>
      </w:r>
      <w:r>
        <w:rPr>
          <w:rFonts w:ascii="Arial" w:hAnsi="Arial"/>
          <w:sz w:val="20"/>
        </w:rPr>
        <w:t xml:space="preserve">district-dekad observations (Boudh 22, Ganjam 22, Khordha 23,</w:t>
      </w:r>
      <w:r>
        <w:rPr>
          <w:rFonts w:ascii="Arial" w:hAnsi="Arial"/>
          <w:sz w:val="20"/>
        </w:rPr>
        <w:t xml:space="preserve"> </w:t>
      </w:r>
      <w:r>
        <w:rPr>
          <w:rFonts w:ascii="Arial" w:hAnsi="Arial"/>
          <w:sz w:val="20"/>
        </w:rPr>
        <w:t xml:space="preserve">Nayagarh 18) drawn from 334 Sentinel-1 scenes.</w:t>
      </w:r>
    </w:p>
    <w:p>
      <w:pPr>
        <w:pStyle w:val="BodyText"/>
      </w:pPr>
      <w:r>
        <w:rPr>
          <w:rFonts w:ascii="Arial" w:hAnsi="Arial"/>
          <w:b/>
          <w:bCs/>
          <w:sz w:val="20"/>
        </w:rPr>
        <w:t xml:space="preserve">Aggregation.</w:t>
      </w:r>
      <w:r>
        <w:rPr>
          <w:rFonts w:ascii="Arial" w:hAnsi="Arial"/>
          <w:sz w:val="20"/>
        </w:rPr>
        <w:t xml:space="preserve"> </w:t>
      </w:r>
      <w:r>
        <w:rPr>
          <w:rFonts w:ascii="Arial" w:hAnsi="Arial"/>
          <w:sz w:val="20"/>
        </w:rPr>
        <w:t xml:space="preserve">Items are loaded with</w:t>
      </w:r>
      <w:r>
        <w:rPr>
          <w:rFonts w:ascii="Arial" w:hAnsi="Arial"/>
          <w:sz w:val="20"/>
        </w:rPr>
        <w:t xml:space="preserve"> </w:t>
      </w:r>
      <w:r>
        <w:rPr>
          <w:rStyle w:val="VerbatimChar"/>
          <w:rFonts w:ascii="Arial" w:hAnsi="Arial"/>
          <w:sz w:val="20"/>
        </w:rPr>
        <w:t xml:space="preserve">odc.stac.load</w:t>
      </w:r>
      <w:r>
        <w:rPr>
          <w:rFonts w:ascii="Arial" w:hAnsi="Arial"/>
          <w:sz w:val="20"/>
        </w:rPr>
        <w:t xml:space="preserve"> </w:t>
      </w:r>
      <w:r>
        <w:rPr>
          <w:rFonts w:ascii="Arial" w:hAnsi="Arial"/>
          <w:sz w:val="20"/>
        </w:rPr>
        <w:t xml:space="preserve">at 100-m</w:t>
      </w:r>
      <w:r>
        <w:rPr>
          <w:rFonts w:ascii="Arial" w:hAnsi="Arial"/>
          <w:sz w:val="20"/>
        </w:rPr>
        <w:t xml:space="preserve"> </w:t>
      </w:r>
      <w:r>
        <w:rPr>
          <w:rFonts w:ascii="Arial" w:hAnsi="Arial"/>
          <w:sz w:val="20"/>
        </w:rPr>
        <w:t xml:space="preserve">resolution (sufficient for district-mean signatures; the 10 × spatial</w:t>
      </w:r>
      <w:r>
        <w:rPr>
          <w:rFonts w:ascii="Arial" w:hAnsi="Arial"/>
          <w:sz w:val="20"/>
        </w:rPr>
        <w:t xml:space="preserve"> </w:t>
      </w:r>
      <w:r>
        <w:rPr>
          <w:rFonts w:ascii="Arial" w:hAnsi="Arial"/>
          <w:sz w:val="20"/>
        </w:rPr>
        <w:t xml:space="preserve">down-sampling reduces per-scene retrieval cost by ~100× without altering</w:t>
      </w:r>
      <w:r>
        <w:rPr>
          <w:rFonts w:ascii="Arial" w:hAnsi="Arial"/>
          <w:sz w:val="20"/>
        </w:rPr>
        <w:t xml:space="preserve"> </w:t>
      </w:r>
      <w:r>
        <w:rPr>
          <w:rFonts w:ascii="Arial" w:hAnsi="Arial"/>
          <w:sz w:val="20"/>
        </w:rPr>
        <w:t xml:space="preserve">the district aggregate), reprojected to UTM N44 (EPSG:32644), masked</w:t>
      </w:r>
      <w:r>
        <w:rPr>
          <w:rFonts w:ascii="Arial" w:hAnsi="Arial"/>
          <w:sz w:val="20"/>
        </w:rPr>
        <w:t xml:space="preserve"> </w:t>
      </w:r>
      <w:r>
        <w:rPr>
          <w:rFonts w:ascii="Arial" w:hAnsi="Arial"/>
          <w:sz w:val="20"/>
        </w:rPr>
        <w:t xml:space="preserve">to GADM v4.1 L2 district polygons, and aggregated by 10-day dekad of</w:t>
      </w:r>
      <w:r>
        <w:rPr>
          <w:rFonts w:ascii="Arial" w:hAnsi="Arial"/>
          <w:sz w:val="20"/>
        </w:rPr>
        <w:t xml:space="preserve"> </w:t>
      </w:r>
      <w:r>
        <w:rPr>
          <w:rFonts w:ascii="Arial" w:hAnsi="Arial"/>
          <w:sz w:val="20"/>
        </w:rPr>
        <w:t xml:space="preserve">year (DOY-of-year ÷ 10, capped at 36).</w:t>
      </w:r>
    </w:p>
    <w:p>
      <w:pPr>
        <w:pStyle w:val="BodyText"/>
      </w:pPr>
      <w:r>
        <w:rPr>
          <w:rFonts w:ascii="Arial" w:hAnsi="Arial"/>
          <w:b/>
          <w:bCs/>
          <w:sz w:val="20"/>
        </w:rPr>
        <w:t xml:space="preserve">Statistics.</w:t>
      </w:r>
      <w:r>
        <w:rPr>
          <w:rFonts w:ascii="Arial" w:hAnsi="Arial"/>
          <w:sz w:val="20"/>
        </w:rPr>
        <w:t xml:space="preserve"> </w:t>
      </w:r>
      <w:r>
        <w:rPr>
          <w:rFonts w:ascii="Arial" w:hAnsi="Arial"/>
          <w:sz w:val="20"/>
        </w:rPr>
        <w:t xml:space="preserve">Linear gamma_0 backscatter is converted to dB</w:t>
      </w:r>
      <w:r>
        <w:rPr>
          <w:rFonts w:ascii="Arial" w:hAnsi="Arial"/>
          <w:sz w:val="20"/>
        </w:rPr>
        <w:t xml:space="preserve"> </w:t>
      </w:r>
      <w:r>
        <w:rPr>
          <w:rFonts w:ascii="Arial" w:hAnsi="Arial"/>
          <w:sz w:val="20"/>
        </w:rPr>
        <w:t xml:space="preserve">(</w:t>
      </w:r>
      <w:r>
        <w:rPr>
          <w:rStyle w:val="VerbatimChar"/>
          <w:rFonts w:ascii="Arial" w:hAnsi="Arial"/>
          <w:sz w:val="20"/>
        </w:rPr>
        <w:t xml:space="preserve">dB = 10 · log10(linear)</w:t>
      </w:r>
      <w:r>
        <w:rPr>
          <w:rFonts w:ascii="Arial" w:hAnsi="Arial"/>
          <w:sz w:val="20"/>
        </w:rPr>
        <w:t xml:space="preserve">). The cross-ratio CR is computed in linear</w:t>
      </w:r>
      <w:r>
        <w:rPr>
          <w:rFonts w:ascii="Arial" w:hAnsi="Arial"/>
          <w:sz w:val="20"/>
        </w:rPr>
        <w:t xml:space="preserve"> </w:t>
      </w:r>
      <w:r>
        <w:rPr>
          <w:rFonts w:ascii="Arial" w:hAnsi="Arial"/>
          <w:sz w:val="20"/>
        </w:rPr>
        <w:t xml:space="preserve">units (</w:t>
      </w:r>
      <w:r>
        <w:rPr>
          <w:rStyle w:val="VerbatimChar"/>
          <w:rFonts w:ascii="Arial" w:hAnsi="Arial"/>
          <w:sz w:val="20"/>
        </w:rPr>
        <w:t xml:space="preserve">CR = VH_linear / VV_linear</w:t>
      </w:r>
      <w:r>
        <w:rPr>
          <w:rFonts w:ascii="Arial" w:hAnsi="Arial"/>
          <w:sz w:val="20"/>
        </w:rPr>
        <w:t xml:space="preserve">) rather than as a dB difference,</w:t>
      </w:r>
      <w:r>
        <w:rPr>
          <w:rFonts w:ascii="Arial" w:hAnsi="Arial"/>
          <w:sz w:val="20"/>
        </w:rPr>
        <w:t xml:space="preserve"> </w:t>
      </w:r>
      <w:r>
        <w:rPr>
          <w:rFonts w:ascii="Arial" w:hAnsi="Arial"/>
          <w:sz w:val="20"/>
        </w:rPr>
        <w:t xml:space="preserve">following Lee &amp; Pottier (2009). Each district-dekad row in Table S9</w:t>
      </w:r>
      <w:r>
        <w:rPr>
          <w:rFonts w:ascii="Arial" w:hAnsi="Arial"/>
          <w:sz w:val="20"/>
        </w:rPr>
        <w:t xml:space="preserve"> </w:t>
      </w:r>
      <w:r>
        <w:rPr>
          <w:rFonts w:ascii="Arial" w:hAnsi="Arial"/>
          <w:sz w:val="20"/>
        </w:rPr>
        <w:t xml:space="preserve">is the spatial mean over the masked district polygon of the temporal</w:t>
      </w:r>
      <w:r>
        <w:rPr>
          <w:rFonts w:ascii="Arial" w:hAnsi="Arial"/>
          <w:sz w:val="20"/>
        </w:rPr>
        <w:t xml:space="preserve"> </w:t>
      </w:r>
      <w:r>
        <w:rPr>
          <w:rFonts w:ascii="Arial" w:hAnsi="Arial"/>
          <w:sz w:val="20"/>
        </w:rPr>
        <w:t xml:space="preserve">mean over the dekad’s pre-aggregated solar-day scenes.</w:t>
      </w:r>
    </w:p>
    <w:p>
      <w:pPr>
        <w:pStyle w:val="BodyText"/>
      </w:pPr>
      <w:r>
        <w:rPr>
          <w:rFonts w:ascii="Arial" w:hAnsi="Arial"/>
          <w:b/>
          <w:bCs/>
          <w:sz w:val="20"/>
        </w:rPr>
        <w:t xml:space="preserve">Phase definitions</w:t>
      </w:r>
      <w:r>
        <w:rPr>
          <w:rFonts w:ascii="Arial" w:hAnsi="Arial"/>
          <w:sz w:val="20"/>
        </w:rPr>
        <w:t xml:space="preserve"> </w:t>
      </w:r>
      <w:r>
        <w:rPr>
          <w:rFonts w:ascii="Arial" w:hAnsi="Arial"/>
          <w:sz w:val="20"/>
        </w:rPr>
        <w:t xml:space="preserve">(anchored to the Odisha 2019 Kharif calendar):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8"/>
              </w:rPr>
              <w:t xml:space="preserve">Phase</w:t>
            </w:r>
          </w:p>
        </w:tc>
        <w:tc>
          <w:tcPr/>
          <w:p>
            <w:pPr>
              <w:pStyle w:val="Compact"/>
              <w:jc w:val="left"/>
            </w:pPr>
            <w:r>
              <w:rPr>
                <w:rFonts w:ascii="Arial" w:hAnsi="Arial"/>
                <w:sz w:val="18"/>
              </w:rPr>
              <w:t xml:space="preserve">DOY range</w:t>
            </w:r>
          </w:p>
        </w:tc>
        <w:tc>
          <w:tcPr/>
          <w:p>
            <w:pPr>
              <w:pStyle w:val="Compact"/>
              <w:jc w:val="left"/>
            </w:pPr>
            <w:r>
              <w:rPr>
                <w:rFonts w:ascii="Arial" w:hAnsi="Arial"/>
                <w:sz w:val="18"/>
              </w:rPr>
              <w:t xml:space="preserve">Calendar</w:t>
            </w:r>
          </w:p>
        </w:tc>
        <w:tc>
          <w:tcPr/>
          <w:p>
            <w:pPr>
              <w:pStyle w:val="Compact"/>
              <w:jc w:val="left"/>
            </w:pPr>
            <w:r>
              <w:rPr>
                <w:rFonts w:ascii="Arial" w:hAnsi="Arial"/>
                <w:sz w:val="18"/>
              </w:rPr>
              <w:t xml:space="preserve">n_dekads per district</w:t>
            </w:r>
          </w:p>
        </w:tc>
      </w:tr>
      <w:tr>
        <w:tc>
          <w:tcPr/>
          <w:p>
            <w:pPr>
              <w:pStyle w:val="Compact"/>
              <w:jc w:val="left"/>
            </w:pPr>
            <w:r>
              <w:rPr>
                <w:rFonts w:ascii="Arial" w:hAnsi="Arial"/>
                <w:sz w:val="18"/>
              </w:rPr>
              <w:t xml:space="preserve">Pre-transplant baseline</w:t>
            </w:r>
          </w:p>
        </w:tc>
        <w:tc>
          <w:tcPr/>
          <w:p>
            <w:pPr>
              <w:pStyle w:val="Compact"/>
              <w:jc w:val="left"/>
            </w:pPr>
            <w:r>
              <w:rPr>
                <w:rFonts w:ascii="Arial" w:hAnsi="Arial"/>
                <w:sz w:val="18"/>
              </w:rPr>
              <w:t xml:space="preserve">121–160</w:t>
            </w:r>
          </w:p>
        </w:tc>
        <w:tc>
          <w:tcPr/>
          <w:p>
            <w:pPr>
              <w:pStyle w:val="Compact"/>
              <w:jc w:val="left"/>
            </w:pPr>
            <w:r>
              <w:rPr>
                <w:rFonts w:ascii="Arial" w:hAnsi="Arial"/>
                <w:sz w:val="18"/>
              </w:rPr>
              <w:t xml:space="preserve">1 May – 9 Jun</w:t>
            </w:r>
          </w:p>
        </w:tc>
        <w:tc>
          <w:tcPr/>
          <w:p>
            <w:pPr>
              <w:pStyle w:val="Compact"/>
              <w:jc w:val="left"/>
            </w:pPr>
            <w:r>
              <w:rPr>
                <w:rFonts w:ascii="Arial" w:hAnsi="Arial"/>
                <w:sz w:val="18"/>
              </w:rPr>
              <w:t xml:space="preserve">1–4</w:t>
            </w:r>
          </w:p>
        </w:tc>
      </w:tr>
      <w:tr>
        <w:tc>
          <w:tcPr/>
          <w:p>
            <w:pPr>
              <w:pStyle w:val="Compact"/>
              <w:jc w:val="left"/>
            </w:pPr>
            <w:r>
              <w:rPr>
                <w:rFonts w:ascii="Arial" w:hAnsi="Arial"/>
                <w:sz w:val="18"/>
              </w:rPr>
              <w:t xml:space="preserve">Agronomic transplanting</w:t>
            </w:r>
          </w:p>
        </w:tc>
        <w:tc>
          <w:tcPr/>
          <w:p>
            <w:pPr>
              <w:pStyle w:val="Compact"/>
              <w:jc w:val="left"/>
            </w:pPr>
            <w:r>
              <w:rPr>
                <w:rFonts w:ascii="Arial" w:hAnsi="Arial"/>
                <w:sz w:val="18"/>
              </w:rPr>
              <w:t xml:space="preserve">171–220</w:t>
            </w:r>
          </w:p>
        </w:tc>
        <w:tc>
          <w:tcPr/>
          <w:p>
            <w:pPr>
              <w:pStyle w:val="Compact"/>
              <w:jc w:val="left"/>
            </w:pPr>
            <w:r>
              <w:rPr>
                <w:rFonts w:ascii="Arial" w:hAnsi="Arial"/>
                <w:sz w:val="18"/>
              </w:rPr>
              <w:t xml:space="preserve">20 Jun – 8 Aug</w:t>
            </w:r>
          </w:p>
        </w:tc>
        <w:tc>
          <w:tcPr/>
          <w:p>
            <w:pPr>
              <w:pStyle w:val="Compact"/>
              <w:jc w:val="left"/>
            </w:pPr>
            <w:r>
              <w:rPr>
                <w:rFonts w:ascii="Arial" w:hAnsi="Arial"/>
                <w:sz w:val="18"/>
              </w:rPr>
              <w:t xml:space="preserve">4–5</w:t>
            </w:r>
          </w:p>
        </w:tc>
      </w:tr>
      <w:tr>
        <w:tc>
          <w:tcPr/>
          <w:p>
            <w:pPr>
              <w:pStyle w:val="Compact"/>
              <w:jc w:val="left"/>
            </w:pPr>
            <w:r>
              <w:rPr>
                <w:rFonts w:ascii="Arial" w:hAnsi="Arial"/>
                <w:sz w:val="18"/>
              </w:rPr>
              <w:t xml:space="preserve">Peak canopy</w:t>
            </w:r>
          </w:p>
        </w:tc>
        <w:tc>
          <w:tcPr/>
          <w:p>
            <w:pPr>
              <w:pStyle w:val="Compact"/>
              <w:jc w:val="left"/>
            </w:pPr>
            <w:r>
              <w:rPr>
                <w:rFonts w:ascii="Arial" w:hAnsi="Arial"/>
                <w:sz w:val="18"/>
              </w:rPr>
              <w:t xml:space="preserve">230–270</w:t>
            </w:r>
          </w:p>
        </w:tc>
        <w:tc>
          <w:tcPr/>
          <w:p>
            <w:pPr>
              <w:pStyle w:val="Compact"/>
              <w:jc w:val="left"/>
            </w:pPr>
            <w:r>
              <w:rPr>
                <w:rFonts w:ascii="Arial" w:hAnsi="Arial"/>
                <w:sz w:val="18"/>
              </w:rPr>
              <w:t xml:space="preserve">18 Aug – 27 Sep</w:t>
            </w:r>
          </w:p>
        </w:tc>
        <w:tc>
          <w:tcPr/>
          <w:p>
            <w:pPr>
              <w:pStyle w:val="Compact"/>
              <w:jc w:val="left"/>
            </w:pPr>
            <w:r>
              <w:rPr>
                <w:rFonts w:ascii="Arial" w:hAnsi="Arial"/>
                <w:sz w:val="18"/>
              </w:rPr>
              <w:t xml:space="preserve">3–4</w:t>
            </w:r>
          </w:p>
        </w:tc>
      </w:tr>
      <w:tr>
        <w:tc>
          <w:tcPr/>
          <w:p>
            <w:pPr>
              <w:pStyle w:val="Compact"/>
              <w:jc w:val="left"/>
            </w:pPr>
            <w:r>
              <w:rPr>
                <w:rFonts w:ascii="Arial" w:hAnsi="Arial"/>
                <w:sz w:val="18"/>
              </w:rPr>
              <w:t xml:space="preserve">Bulbul event window</w:t>
            </w:r>
          </w:p>
        </w:tc>
        <w:tc>
          <w:tcPr/>
          <w:p>
            <w:pPr>
              <w:pStyle w:val="Compact"/>
              <w:jc w:val="left"/>
            </w:pPr>
            <w:r>
              <w:rPr>
                <w:rFonts w:ascii="Arial" w:hAnsi="Arial"/>
                <w:sz w:val="18"/>
              </w:rPr>
              <w:t xml:space="preserve">305–325</w:t>
            </w:r>
          </w:p>
        </w:tc>
        <w:tc>
          <w:tcPr/>
          <w:p>
            <w:pPr>
              <w:pStyle w:val="Compact"/>
              <w:jc w:val="left"/>
            </w:pPr>
            <w:r>
              <w:rPr>
                <w:rFonts w:ascii="Arial" w:hAnsi="Arial"/>
                <w:sz w:val="18"/>
              </w:rPr>
              <w:t xml:space="preserve">1 Nov – 21 Nov (landfall 9 Nov)</w:t>
            </w:r>
          </w:p>
        </w:tc>
        <w:tc>
          <w:tcPr/>
          <w:p>
            <w:pPr>
              <w:pStyle w:val="Compact"/>
              <w:jc w:val="left"/>
            </w:pPr>
            <w:r>
              <w:rPr>
                <w:rFonts w:ascii="Arial" w:hAnsi="Arial"/>
                <w:sz w:val="18"/>
              </w:rPr>
              <w:t xml:space="preserve">3</w:t>
            </w:r>
          </w:p>
        </w:tc>
      </w:tr>
    </w:tbl>
    <w:bookmarkEnd w:id="21"/>
    <w:bookmarkStart w:id="23" w:name="X8b4813b165c4d18204f0891e91aa86299e3af69"/>
    <w:p>
      <w:pPr>
        <w:pStyle w:val="Heading2"/>
      </w:pPr>
      <w:r>
        <w:rPr>
          <w:rFonts w:ascii="Arial" w:hAnsi="Arial"/>
        </w:rPr>
        <w:t xml:space="preserve">S3.3 Real empirical signatures (Table S9, Figure S2)</w:t>
      </w:r>
    </w:p>
    <w:p>
      <w:pPr>
        <w:pStyle w:val="FirstParagraph"/>
      </w:pPr>
      <w:r>
        <w:rPr>
          <w:rFonts w:ascii="Arial" w:hAnsi="Arial"/>
          <w:sz w:val="20"/>
        </w:rPr>
        <w:t xml:space="preserve">The four-district mean phase signatures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8"/>
              </w:rPr>
              <w:t xml:space="preserve">Phase</w:t>
            </w:r>
          </w:p>
        </w:tc>
        <w:tc>
          <w:tcPr/>
          <w:p>
            <w:pPr>
              <w:pStyle w:val="Compact"/>
              <w:jc w:val="left"/>
            </w:pPr>
            <w:r>
              <w:rPr>
                <w:rFonts w:ascii="Arial" w:hAnsi="Arial"/>
                <w:sz w:val="18"/>
              </w:rPr>
              <w:t xml:space="preserve">Mean VH (dB)</w:t>
            </w:r>
          </w:p>
        </w:tc>
        <w:tc>
          <w:tcPr/>
          <w:p>
            <w:pPr>
              <w:pStyle w:val="Compact"/>
              <w:jc w:val="left"/>
            </w:pPr>
            <w:r>
              <w:rPr>
                <w:rFonts w:ascii="Arial" w:hAnsi="Arial"/>
                <w:sz w:val="18"/>
              </w:rPr>
              <w:t xml:space="preserve">Mean VV (dB)</w:t>
            </w:r>
          </w:p>
        </w:tc>
        <w:tc>
          <w:tcPr/>
          <w:p>
            <w:pPr>
              <w:pStyle w:val="Compact"/>
              <w:jc w:val="left"/>
            </w:pPr>
            <w:r>
              <w:rPr>
                <w:rFonts w:ascii="Arial" w:hAnsi="Arial"/>
                <w:sz w:val="18"/>
              </w:rPr>
              <w:t xml:space="preserve">Mean CR</w:t>
            </w:r>
          </w:p>
        </w:tc>
      </w:tr>
      <w:tr>
        <w:tc>
          <w:tcPr/>
          <w:p>
            <w:pPr>
              <w:pStyle w:val="Compact"/>
              <w:jc w:val="left"/>
            </w:pPr>
            <w:r>
              <w:rPr>
                <w:rFonts w:ascii="Arial" w:hAnsi="Arial"/>
                <w:sz w:val="18"/>
              </w:rPr>
              <w:t xml:space="preserve">Pre-transplant baseline</w:t>
            </w:r>
          </w:p>
        </w:tc>
        <w:tc>
          <w:tcPr/>
          <w:p>
            <w:pPr>
              <w:pStyle w:val="Compact"/>
              <w:jc w:val="left"/>
            </w:pPr>
            <w:r>
              <w:rPr>
                <w:rFonts w:ascii="Arial" w:hAnsi="Arial"/>
                <w:sz w:val="18"/>
              </w:rPr>
              <w:t xml:space="preserve">−14.32</w:t>
            </w:r>
          </w:p>
        </w:tc>
        <w:tc>
          <w:tcPr/>
          <w:p>
            <w:pPr>
              <w:pStyle w:val="Compact"/>
              <w:jc w:val="left"/>
            </w:pPr>
            <w:r>
              <w:rPr>
                <w:rFonts w:ascii="Arial" w:hAnsi="Arial"/>
                <w:sz w:val="18"/>
              </w:rPr>
              <w:t xml:space="preserve">−7.96</w:t>
            </w:r>
          </w:p>
        </w:tc>
        <w:tc>
          <w:tcPr/>
          <w:p>
            <w:pPr>
              <w:pStyle w:val="Compact"/>
              <w:jc w:val="left"/>
            </w:pPr>
            <w:r>
              <w:rPr>
                <w:rFonts w:ascii="Arial" w:hAnsi="Arial"/>
                <w:sz w:val="18"/>
              </w:rPr>
              <w:t xml:space="preserve">0.239</w:t>
            </w:r>
          </w:p>
        </w:tc>
      </w:tr>
      <w:tr>
        <w:tc>
          <w:tcPr/>
          <w:p>
            <w:pPr>
              <w:pStyle w:val="Compact"/>
              <w:jc w:val="left"/>
            </w:pPr>
            <w:r>
              <w:rPr>
                <w:rFonts w:ascii="Arial" w:hAnsi="Arial"/>
                <w:sz w:val="18"/>
              </w:rPr>
              <w:t xml:space="preserve">Agronomic transplanting</w:t>
            </w:r>
          </w:p>
        </w:tc>
        <w:tc>
          <w:tcPr/>
          <w:p>
            <w:pPr>
              <w:pStyle w:val="Compact"/>
              <w:jc w:val="left"/>
            </w:pPr>
            <w:r>
              <w:rPr>
                <w:rFonts w:ascii="Arial" w:hAnsi="Arial"/>
                <w:sz w:val="18"/>
              </w:rPr>
              <w:t xml:space="preserve">−13.80</w:t>
            </w:r>
          </w:p>
        </w:tc>
        <w:tc>
          <w:tcPr/>
          <w:p>
            <w:pPr>
              <w:pStyle w:val="Compact"/>
              <w:jc w:val="left"/>
            </w:pPr>
            <w:r>
              <w:rPr>
                <w:rFonts w:ascii="Arial" w:hAnsi="Arial"/>
                <w:sz w:val="18"/>
              </w:rPr>
              <w:t xml:space="preserve">−7.14</w:t>
            </w:r>
          </w:p>
        </w:tc>
        <w:tc>
          <w:tcPr/>
          <w:p>
            <w:pPr>
              <w:pStyle w:val="Compact"/>
              <w:jc w:val="left"/>
            </w:pPr>
            <w:r>
              <w:rPr>
                <w:rFonts w:ascii="Arial" w:hAnsi="Arial"/>
                <w:sz w:val="18"/>
              </w:rPr>
              <w:t xml:space="preserve">0.225</w:t>
            </w:r>
          </w:p>
        </w:tc>
      </w:tr>
      <w:tr>
        <w:tc>
          <w:tcPr/>
          <w:p>
            <w:pPr>
              <w:pStyle w:val="Compact"/>
              <w:jc w:val="left"/>
            </w:pPr>
            <w:r>
              <w:rPr>
                <w:rFonts w:ascii="Arial" w:hAnsi="Arial"/>
                <w:sz w:val="18"/>
              </w:rPr>
              <w:t xml:space="preserve">Peak canopy</w:t>
            </w:r>
          </w:p>
        </w:tc>
        <w:tc>
          <w:tcPr/>
          <w:p>
            <w:pPr>
              <w:pStyle w:val="Compact"/>
              <w:jc w:val="left"/>
            </w:pPr>
            <w:r>
              <w:rPr>
                <w:rFonts w:ascii="Arial" w:hAnsi="Arial"/>
                <w:sz w:val="18"/>
              </w:rPr>
              <w:t xml:space="preserve">−13.78</w:t>
            </w:r>
          </w:p>
        </w:tc>
        <w:tc>
          <w:tcPr/>
          <w:p>
            <w:pPr>
              <w:pStyle w:val="Compact"/>
              <w:jc w:val="left"/>
            </w:pPr>
            <w:r>
              <w:rPr>
                <w:rFonts w:ascii="Arial" w:hAnsi="Arial"/>
                <w:sz w:val="18"/>
              </w:rPr>
              <w:t xml:space="preserve">−6.82</w:t>
            </w:r>
          </w:p>
        </w:tc>
        <w:tc>
          <w:tcPr/>
          <w:p>
            <w:pPr>
              <w:pStyle w:val="Compact"/>
              <w:jc w:val="left"/>
            </w:pPr>
            <w:r>
              <w:rPr>
                <w:rFonts w:ascii="Arial" w:hAnsi="Arial"/>
                <w:sz w:val="18"/>
              </w:rPr>
              <w:t xml:space="preserve">0.212</w:t>
            </w:r>
          </w:p>
        </w:tc>
      </w:tr>
      <w:tr>
        <w:tc>
          <w:tcPr/>
          <w:p>
            <w:pPr>
              <w:pStyle w:val="Compact"/>
              <w:jc w:val="left"/>
            </w:pPr>
            <w:r>
              <w:rPr>
                <w:rFonts w:ascii="Arial" w:hAnsi="Arial"/>
                <w:sz w:val="18"/>
              </w:rPr>
              <w:t xml:space="preserve">Bulbul event window</w:t>
            </w:r>
          </w:p>
        </w:tc>
        <w:tc>
          <w:tcPr/>
          <w:p>
            <w:pPr>
              <w:pStyle w:val="Compact"/>
              <w:jc w:val="left"/>
            </w:pPr>
            <w:r>
              <w:rPr>
                <w:rFonts w:ascii="Arial" w:hAnsi="Arial"/>
                <w:sz w:val="18"/>
              </w:rPr>
              <w:t xml:space="preserve">−13.49</w:t>
            </w:r>
          </w:p>
        </w:tc>
        <w:tc>
          <w:tcPr/>
          <w:p>
            <w:pPr>
              <w:pStyle w:val="Compact"/>
              <w:jc w:val="left"/>
            </w:pPr>
            <w:r>
              <w:rPr>
                <w:rFonts w:ascii="Arial" w:hAnsi="Arial"/>
                <w:sz w:val="18"/>
              </w:rPr>
              <w:t xml:space="preserve">−7.27</w:t>
            </w:r>
          </w:p>
        </w:tc>
        <w:tc>
          <w:tcPr/>
          <w:p>
            <w:pPr>
              <w:pStyle w:val="Compact"/>
              <w:jc w:val="left"/>
            </w:pPr>
            <w:r>
              <w:rPr>
                <w:rFonts w:ascii="Arial" w:hAnsi="Arial"/>
                <w:sz w:val="18"/>
              </w:rPr>
              <w:t xml:space="preserve">0.249</w:t>
            </w:r>
          </w:p>
        </w:tc>
      </w:tr>
    </w:tbl>
    <w:p>
      <w:pPr>
        <w:pStyle w:val="BodyText"/>
      </w:pPr>
      <w:r>
        <w:rPr>
          <w:rFonts w:ascii="Arial" w:hAnsi="Arial"/>
          <w:sz w:val="20"/>
        </w:rPr>
        <w:t xml:space="preserve">The full per-district table is Table S9; the per-district time series is</w:t>
      </w:r>
      <w:r>
        <w:rPr>
          <w:rFonts w:ascii="Arial" w:hAnsi="Arial"/>
          <w:sz w:val="20"/>
        </w:rPr>
        <w:t xml:space="preserve"> </w:t>
      </w:r>
      <w:r>
        <w:rPr>
          <w:rFonts w:ascii="Arial" w:hAnsi="Arial"/>
          <w:sz w:val="20"/>
        </w:rPr>
        <w:t xml:space="preserve">Figure S2.</w:t>
      </w:r>
    </w:p>
    <w:bookmarkStart w:id="22" w:name="Xda0005fc06bc6b131ff8f162449c796210fd4dd"/>
    <w:p>
      <w:pPr>
        <w:pStyle w:val="Heading3"/>
      </w:pPr>
      <w:r>
        <w:rPr>
          <w:rFonts w:ascii="Arial" w:hAnsi="Arial"/>
        </w:rPr>
        <w:t xml:space="preserve">Phase-to-baseline deltas (mean over the four districts)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Arial" w:hAnsi="Arial"/>
                <w:sz w:val="18"/>
              </w:rPr>
              <w:t xml:space="preserve">Phase</w:t>
            </w:r>
          </w:p>
        </w:tc>
        <w:tc>
          <w:tcPr/>
          <w:p>
            <w:pPr>
              <w:pStyle w:val="Compact"/>
              <w:jc w:val="left"/>
            </w:pPr>
            <w:r>
              <w:rPr>
                <w:rFonts w:ascii="Arial" w:hAnsi="Arial"/>
                <w:sz w:val="18"/>
              </w:rPr>
              <w:t xml:space="preserve">ΔVH (dB)</w:t>
            </w:r>
          </w:p>
        </w:tc>
        <w:tc>
          <w:tcPr/>
          <w:p>
            <w:pPr>
              <w:pStyle w:val="Compact"/>
              <w:jc w:val="left"/>
            </w:pPr>
            <w:r>
              <w:rPr>
                <w:rFonts w:ascii="Arial" w:hAnsi="Arial"/>
                <w:sz w:val="18"/>
              </w:rPr>
              <w:t xml:space="preserve">ΔVV (dB)</w:t>
            </w:r>
          </w:p>
        </w:tc>
        <w:tc>
          <w:tcPr/>
          <w:p>
            <w:pPr>
              <w:pStyle w:val="Compact"/>
              <w:jc w:val="left"/>
            </w:pPr>
            <w:r>
              <w:rPr>
                <w:rFonts w:ascii="Arial" w:hAnsi="Arial"/>
                <w:sz w:val="18"/>
              </w:rPr>
              <w:t xml:space="preserve">ΔCR</w:t>
            </w:r>
          </w:p>
        </w:tc>
      </w:tr>
      <w:tr>
        <w:tc>
          <w:tcPr/>
          <w:p>
            <w:pPr>
              <w:pStyle w:val="Compact"/>
              <w:jc w:val="left"/>
            </w:pPr>
            <w:r>
              <w:rPr>
                <w:rFonts w:ascii="Arial" w:hAnsi="Arial"/>
                <w:sz w:val="18"/>
              </w:rPr>
              <w:t xml:space="preserve">Agronomic transplanting</w:t>
            </w:r>
          </w:p>
        </w:tc>
        <w:tc>
          <w:tcPr/>
          <w:p>
            <w:pPr>
              <w:pStyle w:val="Compact"/>
              <w:jc w:val="left"/>
            </w:pPr>
            <w:r>
              <w:rPr>
                <w:rFonts w:ascii="Arial" w:hAnsi="Arial"/>
                <w:sz w:val="18"/>
              </w:rPr>
              <w:t xml:space="preserve">+0.52</w:t>
            </w:r>
          </w:p>
        </w:tc>
        <w:tc>
          <w:tcPr/>
          <w:p>
            <w:pPr>
              <w:pStyle w:val="Compact"/>
              <w:jc w:val="left"/>
            </w:pPr>
            <w:r>
              <w:rPr>
                <w:rFonts w:ascii="Arial" w:hAnsi="Arial"/>
                <w:sz w:val="18"/>
              </w:rPr>
              <w:t xml:space="preserve">+0.82</w:t>
            </w:r>
          </w:p>
        </w:tc>
        <w:tc>
          <w:tcPr/>
          <w:p>
            <w:pPr>
              <w:pStyle w:val="Compact"/>
              <w:jc w:val="left"/>
            </w:pPr>
            <w:r>
              <w:rPr>
                <w:rFonts w:ascii="Arial" w:hAnsi="Arial"/>
                <w:sz w:val="18"/>
              </w:rPr>
              <w:t xml:space="preserve">−0.014</w:t>
            </w:r>
          </w:p>
        </w:tc>
      </w:tr>
      <w:tr>
        <w:tc>
          <w:tcPr/>
          <w:p>
            <w:pPr>
              <w:pStyle w:val="Compact"/>
              <w:jc w:val="left"/>
            </w:pPr>
            <w:r>
              <w:rPr>
                <w:rFonts w:ascii="Arial" w:hAnsi="Arial"/>
                <w:sz w:val="18"/>
              </w:rPr>
              <w:t xml:space="preserve">Peak canopy</w:t>
            </w:r>
          </w:p>
        </w:tc>
        <w:tc>
          <w:tcPr/>
          <w:p>
            <w:pPr>
              <w:pStyle w:val="Compact"/>
              <w:jc w:val="left"/>
            </w:pPr>
            <w:r>
              <w:rPr>
                <w:rFonts w:ascii="Arial" w:hAnsi="Arial"/>
                <w:sz w:val="18"/>
              </w:rPr>
              <w:t xml:space="preserve">+0.54</w:t>
            </w:r>
          </w:p>
        </w:tc>
        <w:tc>
          <w:tcPr/>
          <w:p>
            <w:pPr>
              <w:pStyle w:val="Compact"/>
              <w:jc w:val="left"/>
            </w:pPr>
            <w:r>
              <w:rPr>
                <w:rFonts w:ascii="Arial" w:hAnsi="Arial"/>
                <w:sz w:val="18"/>
              </w:rPr>
              <w:t xml:space="preserve">+1.14</w:t>
            </w:r>
          </w:p>
        </w:tc>
        <w:tc>
          <w:tcPr/>
          <w:p>
            <w:pPr>
              <w:pStyle w:val="Compact"/>
              <w:jc w:val="left"/>
            </w:pPr>
            <w:r>
              <w:rPr>
                <w:rFonts w:ascii="Arial" w:hAnsi="Arial"/>
                <w:sz w:val="18"/>
              </w:rPr>
              <w:t xml:space="preserve">−0.027</w:t>
            </w:r>
          </w:p>
        </w:tc>
      </w:tr>
      <w:tr>
        <w:tc>
          <w:tcPr/>
          <w:p>
            <w:pPr>
              <w:pStyle w:val="Compact"/>
              <w:jc w:val="left"/>
            </w:pPr>
            <w:r>
              <w:rPr>
                <w:rFonts w:ascii="Arial" w:hAnsi="Arial"/>
                <w:sz w:val="18"/>
              </w:rPr>
              <w:t xml:space="preserve">Bulbul event window</w:t>
            </w:r>
          </w:p>
        </w:tc>
        <w:tc>
          <w:tcPr/>
          <w:p>
            <w:pPr>
              <w:pStyle w:val="Compact"/>
              <w:jc w:val="left"/>
            </w:pPr>
            <w:r>
              <w:rPr>
                <w:rFonts w:ascii="Arial" w:hAnsi="Arial"/>
                <w:sz w:val="18"/>
              </w:rPr>
              <w:t xml:space="preserve">+0.83</w:t>
            </w:r>
          </w:p>
        </w:tc>
        <w:tc>
          <w:tcPr/>
          <w:p>
            <w:pPr>
              <w:pStyle w:val="Compact"/>
              <w:jc w:val="left"/>
            </w:pPr>
            <w:r>
              <w:rPr>
                <w:rFonts w:ascii="Arial" w:hAnsi="Arial"/>
                <w:sz w:val="18"/>
              </w:rPr>
              <w:t xml:space="preserve">+0.69</w:t>
            </w:r>
          </w:p>
        </w:tc>
        <w:tc>
          <w:tcPr/>
          <w:p>
            <w:pPr>
              <w:pStyle w:val="Compact"/>
              <w:jc w:val="left"/>
            </w:pPr>
            <w:r>
              <w:rPr>
                <w:rFonts w:ascii="Arial" w:hAnsi="Arial"/>
                <w:sz w:val="18"/>
              </w:rPr>
              <w:t xml:space="preserve">+0.009</w:t>
            </w:r>
          </w:p>
        </w:tc>
      </w:tr>
    </w:tbl>
    <w:bookmarkEnd w:id="22"/>
    <w:bookmarkEnd w:id="23"/>
    <w:bookmarkStart w:id="24" w:name="s3.4-physical-interpretation"/>
    <w:p>
      <w:pPr>
        <w:pStyle w:val="Heading2"/>
      </w:pPr>
      <w:r>
        <w:rPr>
          <w:rFonts w:ascii="Arial" w:hAnsi="Arial"/>
        </w:rPr>
        <w:t xml:space="preserve">S3.4 Physical interpretation</w:t>
      </w:r>
    </w:p>
    <w:p>
      <w:pPr>
        <w:pStyle w:val="FirstParagraph"/>
      </w:pPr>
      <w:r>
        <w:rPr>
          <w:rFonts w:ascii="Arial" w:hAnsi="Arial"/>
          <w:b/>
          <w:bCs/>
          <w:sz w:val="20"/>
        </w:rPr>
        <w:t xml:space="preserve">VH backscatter.</w:t>
      </w:r>
      <w:r>
        <w:rPr>
          <w:rFonts w:ascii="Arial" w:hAnsi="Arial"/>
          <w:sz w:val="20"/>
        </w:rPr>
        <w:t xml:space="preserve"> </w:t>
      </w:r>
      <w:r>
        <w:rPr>
          <w:rFonts w:ascii="Arial" w:hAnsi="Arial"/>
          <w:sz w:val="20"/>
        </w:rPr>
        <w:t xml:space="preserve">The cross-polarised VH channel is the most</w:t>
      </w:r>
      <w:r>
        <w:rPr>
          <w:rFonts w:ascii="Arial" w:hAnsi="Arial"/>
          <w:sz w:val="20"/>
        </w:rPr>
        <w:t xml:space="preserve"> </w:t>
      </w:r>
      <w:r>
        <w:rPr>
          <w:rFonts w:ascii="Arial" w:hAnsi="Arial"/>
          <w:sz w:val="20"/>
        </w:rPr>
        <w:t xml:space="preserve">phenologically responsive in C-band over rice: it tracks volume</w:t>
      </w:r>
      <w:r>
        <w:rPr>
          <w:rFonts w:ascii="Arial" w:hAnsi="Arial"/>
          <w:sz w:val="20"/>
        </w:rPr>
        <w:t xml:space="preserve"> </w:t>
      </w:r>
      <w:r>
        <w:rPr>
          <w:rFonts w:ascii="Arial" w:hAnsi="Arial"/>
          <w:sz w:val="20"/>
        </w:rPr>
        <w:t xml:space="preserve">scattering from the developing canopy. From the pre-transplant baseline</w:t>
      </w:r>
      <w:r>
        <w:rPr>
          <w:rFonts w:ascii="Arial" w:hAnsi="Arial"/>
          <w:sz w:val="20"/>
        </w:rPr>
        <w:t xml:space="preserve"> </w:t>
      </w:r>
      <w:r>
        <w:rPr>
          <w:rFonts w:ascii="Arial" w:hAnsi="Arial"/>
          <w:sz w:val="20"/>
        </w:rPr>
        <w:t xml:space="preserve">(bare soil + bunded field; VH ≈ −14.3 dB) the canopy emergence raises</w:t>
      </w:r>
      <w:r>
        <w:rPr>
          <w:rFonts w:ascii="Arial" w:hAnsi="Arial"/>
          <w:sz w:val="20"/>
        </w:rPr>
        <w:t xml:space="preserve"> </w:t>
      </w:r>
      <w:r>
        <w:rPr>
          <w:rFonts w:ascii="Arial" w:hAnsi="Arial"/>
          <w:sz w:val="20"/>
        </w:rPr>
        <w:t xml:space="preserve">VH by ~0.5–0.8 dB through transplanting and peak canopy. The Bulbul</w:t>
      </w:r>
      <w:r>
        <w:rPr>
          <w:rFonts w:ascii="Arial" w:hAnsi="Arial"/>
          <w:sz w:val="20"/>
        </w:rPr>
        <w:t xml:space="preserve"> </w:t>
      </w:r>
      <w:r>
        <w:rPr>
          <w:rFonts w:ascii="Arial" w:hAnsi="Arial"/>
          <w:sz w:val="20"/>
        </w:rPr>
        <w:t xml:space="preserve">event-window mean is brighter still (+0.83 dB vs baseline), consistent</w:t>
      </w:r>
      <w:r>
        <w:rPr>
          <w:rFonts w:ascii="Arial" w:hAnsi="Arial"/>
          <w:sz w:val="20"/>
        </w:rPr>
        <w:t xml:space="preserve"> </w:t>
      </w:r>
      <w:r>
        <w:rPr>
          <w:rFonts w:ascii="Arial" w:hAnsi="Arial"/>
          <w:sz w:val="20"/>
        </w:rPr>
        <w:t xml:space="preserve">with a senescent rice canopy that has not yet collapsed plus standing</w:t>
      </w:r>
      <w:r>
        <w:rPr>
          <w:rFonts w:ascii="Arial" w:hAnsi="Arial"/>
          <w:sz w:val="20"/>
        </w:rPr>
        <w:t xml:space="preserve"> </w:t>
      </w:r>
      <w:r>
        <w:rPr>
          <w:rFonts w:ascii="Arial" w:hAnsi="Arial"/>
          <w:sz w:val="20"/>
        </w:rPr>
        <w:t xml:space="preserve">rainfall water under the canopy producing weak double-bounce. The</w:t>
      </w:r>
      <w:r>
        <w:rPr>
          <w:rFonts w:ascii="Arial" w:hAnsi="Arial"/>
          <w:sz w:val="20"/>
        </w:rPr>
        <w:t xml:space="preserve"> </w:t>
      </w:r>
      <w:r>
        <w:rPr>
          <w:rFonts w:ascii="Arial" w:hAnsi="Arial"/>
          <w:sz w:val="20"/>
        </w:rPr>
        <w:t xml:space="preserve">spatially-resolved Figure S2 panel a shows the Bulbul-week VH increase</w:t>
      </w:r>
      <w:r>
        <w:rPr>
          <w:rFonts w:ascii="Arial" w:hAnsi="Arial"/>
          <w:sz w:val="20"/>
        </w:rPr>
        <w:t xml:space="preserve"> </w:t>
      </w:r>
      <w:r>
        <w:rPr>
          <w:rFonts w:ascii="Arial" w:hAnsi="Arial"/>
          <w:sz w:val="20"/>
        </w:rPr>
        <w:t xml:space="preserve">is largest in Khordha (+1.63 dB), which is also the probe district</w:t>
      </w:r>
      <w:r>
        <w:rPr>
          <w:rFonts w:ascii="Arial" w:hAnsi="Arial"/>
          <w:sz w:val="20"/>
        </w:rPr>
        <w:t xml:space="preserve"> </w:t>
      </w:r>
      <w:r>
        <w:rPr>
          <w:rFonts w:ascii="Arial" w:hAnsi="Arial"/>
          <w:sz w:val="20"/>
        </w:rPr>
        <w:t xml:space="preserve">with the largest observed 2020 SOS shift (+37.6 d) in Note S1.</w:t>
      </w:r>
    </w:p>
    <w:p>
      <w:pPr>
        <w:pStyle w:val="BodyText"/>
      </w:pPr>
      <w:r>
        <w:rPr>
          <w:rFonts w:ascii="Arial" w:hAnsi="Arial"/>
          <w:b/>
          <w:bCs/>
          <w:sz w:val="20"/>
        </w:rPr>
        <w:t xml:space="preserve">VV backscatter.</w:t>
      </w:r>
      <w:r>
        <w:rPr>
          <w:rFonts w:ascii="Arial" w:hAnsi="Arial"/>
          <w:sz w:val="20"/>
        </w:rPr>
        <w:t xml:space="preserve"> </w:t>
      </w:r>
      <w:r>
        <w:rPr>
          <w:rFonts w:ascii="Arial" w:hAnsi="Arial"/>
          <w:sz w:val="20"/>
        </w:rPr>
        <w:t xml:space="preserve">The co-polarised VV channel is dominated by</w:t>
      </w:r>
      <w:r>
        <w:rPr>
          <w:rFonts w:ascii="Arial" w:hAnsi="Arial"/>
          <w:sz w:val="20"/>
        </w:rPr>
        <w:t xml:space="preserve"> </w:t>
      </w:r>
      <w:r>
        <w:rPr>
          <w:rFonts w:ascii="Arial" w:hAnsi="Arial"/>
          <w:sz w:val="20"/>
        </w:rPr>
        <w:t xml:space="preserve">surface scattering (specular reflection from smooth water). It is the</w:t>
      </w:r>
      <w:r>
        <w:rPr>
          <w:rFonts w:ascii="Arial" w:hAnsi="Arial"/>
          <w:sz w:val="20"/>
        </w:rPr>
        <w:t xml:space="preserve"> </w:t>
      </w:r>
      <w:r>
        <w:rPr>
          <w:rFonts w:ascii="Arial" w:hAnsi="Arial"/>
          <w:sz w:val="20"/>
        </w:rPr>
        <w:t xml:space="preserve">most sensitive to standing water with a near-vertical look angle. The</w:t>
      </w:r>
      <w:r>
        <w:rPr>
          <w:rFonts w:ascii="Arial" w:hAnsi="Arial"/>
          <w:sz w:val="20"/>
        </w:rPr>
        <w:t xml:space="preserve"> </w:t>
      </w:r>
      <w:r>
        <w:rPr>
          <w:rFonts w:ascii="Arial" w:hAnsi="Arial"/>
          <w:sz w:val="20"/>
        </w:rPr>
        <w:t xml:space="preserve">pre-transplant baseline VV (−7.96 dB) brightens through transplanting</w:t>
      </w:r>
      <w:r>
        <w:rPr>
          <w:rFonts w:ascii="Arial" w:hAnsi="Arial"/>
          <w:sz w:val="20"/>
        </w:rPr>
        <w:t xml:space="preserve"> </w:t>
      </w:r>
      <w:r>
        <w:rPr>
          <w:rFonts w:ascii="Arial" w:hAnsi="Arial"/>
          <w:sz w:val="20"/>
        </w:rPr>
        <w:t xml:space="preserve">(+0.82 dB) and peak canopy (+1.14 dB) as the canopy attenuates the</w:t>
      </w:r>
      <w:r>
        <w:rPr>
          <w:rFonts w:ascii="Arial" w:hAnsi="Arial"/>
          <w:sz w:val="20"/>
        </w:rPr>
        <w:t xml:space="preserve"> </w:t>
      </w:r>
      <w:r>
        <w:rPr>
          <w:rFonts w:ascii="Arial" w:hAnsi="Arial"/>
          <w:sz w:val="20"/>
        </w:rPr>
        <w:t xml:space="preserve">soil-surface scattering. The Bulbul-week VV (+0.69 dB vs baseline,</w:t>
      </w:r>
      <w:r>
        <w:rPr>
          <w:rFonts w:ascii="Arial" w:hAnsi="Arial"/>
          <w:sz w:val="20"/>
        </w:rPr>
        <w:t xml:space="preserve"> </w:t>
      </w:r>
      <w:r>
        <w:rPr>
          <w:rFonts w:ascii="Arial" w:hAnsi="Arial"/>
          <w:sz w:val="20"/>
        </w:rPr>
        <w:t xml:space="preserve">−0.42 dB in Ganjam specifically) reflects the rainfall pond’s smooth</w:t>
      </w:r>
      <w:r>
        <w:rPr>
          <w:rFonts w:ascii="Arial" w:hAnsi="Arial"/>
          <w:sz w:val="20"/>
        </w:rPr>
        <w:t xml:space="preserve"> </w:t>
      </w:r>
      <w:r>
        <w:rPr>
          <w:rFonts w:ascii="Arial" w:hAnsi="Arial"/>
          <w:sz w:val="20"/>
        </w:rPr>
        <w:t xml:space="preserve">water surface partially attenuated by the standing canopy.</w:t>
      </w:r>
    </w:p>
    <w:p>
      <w:pPr>
        <w:pStyle w:val="BodyText"/>
      </w:pPr>
      <w:r>
        <w:rPr>
          <w:rFonts w:ascii="Arial" w:hAnsi="Arial"/>
          <w:b/>
          <w:bCs/>
          <w:sz w:val="20"/>
        </w:rPr>
        <w:t xml:space="preserve">Cross-ratio CR.</w:t>
      </w:r>
      <w:r>
        <w:rPr>
          <w:rFonts w:ascii="Arial" w:hAnsi="Arial"/>
          <w:sz w:val="20"/>
        </w:rPr>
        <w:t xml:space="preserve"> </w:t>
      </w:r>
      <w:r>
        <w:rPr>
          <w:rFonts w:ascii="Arial" w:hAnsi="Arial"/>
          <w:sz w:val="20"/>
        </w:rPr>
        <w:t xml:space="preserve">The linear cross-ratio CR = VH/VV is the</w:t>
      </w:r>
      <w:r>
        <w:rPr>
          <w:rFonts w:ascii="Arial" w:hAnsi="Arial"/>
          <w:sz w:val="20"/>
        </w:rPr>
        <w:t xml:space="preserve"> </w:t>
      </w:r>
      <w:r>
        <w:rPr>
          <w:rFonts w:ascii="Arial" w:hAnsi="Arial"/>
          <w:sz w:val="20"/>
        </w:rPr>
        <w:t xml:space="preserve">canopy-density invariant of the dual-pol signal. The baseline-to-peak</w:t>
      </w:r>
      <w:r>
        <w:rPr>
          <w:rFonts w:ascii="Arial" w:hAnsi="Arial"/>
          <w:sz w:val="20"/>
        </w:rPr>
        <w:t xml:space="preserve"> </w:t>
      </w:r>
      <w:r>
        <w:rPr>
          <w:rFonts w:ascii="Arial" w:hAnsi="Arial"/>
          <w:sz w:val="20"/>
        </w:rPr>
        <w:t xml:space="preserve">trajectory (0.239 → 0.225 → 0.212) reflects the progressively</w:t>
      </w:r>
      <w:r>
        <w:rPr>
          <w:rFonts w:ascii="Arial" w:hAnsi="Arial"/>
          <w:sz w:val="20"/>
        </w:rPr>
        <w:t xml:space="preserve"> </w:t>
      </w:r>
      <w:r>
        <w:rPr>
          <w:rFonts w:ascii="Arial" w:hAnsi="Arial"/>
          <w:sz w:val="20"/>
        </w:rPr>
        <w:t xml:space="preserve">denser canopy increasing volume scattering relative to surface</w:t>
      </w:r>
      <w:r>
        <w:rPr>
          <w:rFonts w:ascii="Arial" w:hAnsi="Arial"/>
          <w:sz w:val="20"/>
        </w:rPr>
        <w:t xml:space="preserve"> </w:t>
      </w:r>
      <w:r>
        <w:rPr>
          <w:rFonts w:ascii="Arial" w:hAnsi="Arial"/>
          <w:sz w:val="20"/>
        </w:rPr>
        <w:t xml:space="preserve">scattering. The Bulbul-week CR rises to 0.249 — a senescent-canopy</w:t>
      </w:r>
      <w:r>
        <w:rPr>
          <w:rFonts w:ascii="Arial" w:hAnsi="Arial"/>
          <w:sz w:val="20"/>
        </w:rPr>
        <w:t xml:space="preserve"> </w:t>
      </w:r>
      <w:r>
        <w:rPr>
          <w:rFonts w:ascii="Arial" w:hAnsi="Arial"/>
          <w:sz w:val="20"/>
        </w:rPr>
        <w:t xml:space="preserve">+ rainfall-pond signature distinct from both the transplanting and</w:t>
      </w:r>
      <w:r>
        <w:rPr>
          <w:rFonts w:ascii="Arial" w:hAnsi="Arial"/>
          <w:sz w:val="20"/>
        </w:rPr>
        <w:t xml:space="preserve"> </w:t>
      </w:r>
      <w:r>
        <w:rPr>
          <w:rFonts w:ascii="Arial" w:hAnsi="Arial"/>
          <w:sz w:val="20"/>
        </w:rPr>
        <w:t xml:space="preserve">peak-canopy phases.</w:t>
      </w:r>
    </w:p>
    <w:bookmarkEnd w:id="24"/>
    <w:bookmarkStart w:id="25" w:name="Xe40c7fe42d0f3be810e55b83955c57fff6aea02"/>
    <w:p>
      <w:pPr>
        <w:pStyle w:val="Heading2"/>
      </w:pPr>
      <w:r>
        <w:rPr>
          <w:rFonts w:ascii="Arial" w:hAnsi="Arial"/>
        </w:rPr>
        <w:t xml:space="preserve">S3.5 Falsifiability conditions for the Module 02 classifier</w:t>
      </w:r>
    </w:p>
    <w:p>
      <w:pPr>
        <w:pStyle w:val="FirstParagraph"/>
      </w:pPr>
      <w:r>
        <w:rPr>
          <w:rFonts w:ascii="Arial" w:hAnsi="Arial"/>
          <w:sz w:val="20"/>
        </w:rPr>
        <w:t xml:space="preserve">The pre-registered (OSF c4mp8 §3.3) random-forest classifier should</w:t>
      </w:r>
      <w:r>
        <w:rPr>
          <w:rFonts w:ascii="Arial" w:hAnsi="Arial"/>
          <w:sz w:val="20"/>
        </w:rPr>
        <w:t xml:space="preserve"> </w:t>
      </w:r>
      <w:r>
        <w:rPr>
          <w:rFonts w:ascii="Arial" w:hAnsi="Arial"/>
          <w:sz w:val="20"/>
        </w:rPr>
        <w:t xml:space="preserve">be rejected if any of the following empirical signatures from Table S9</w:t>
      </w:r>
      <w:r>
        <w:rPr>
          <w:rFonts w:ascii="Arial" w:hAnsi="Arial"/>
          <w:sz w:val="20"/>
        </w:rPr>
        <w:t xml:space="preserve"> </w:t>
      </w:r>
      <w:r>
        <w:rPr>
          <w:rFonts w:ascii="Arial" w:hAnsi="Arial"/>
          <w:sz w:val="20"/>
        </w:rPr>
        <w:t xml:space="preserve">fail to hold:</w:t>
      </w:r>
    </w:p>
    <w:p>
      <w:pPr>
        <w:pStyle w:val="Compact"/>
        <w:numPr>
          <w:ilvl w:val="0"/>
          <w:numId w:val="1002"/>
        </w:numPr>
      </w:pPr>
      <w:r>
        <w:rPr>
          <w:rFonts w:ascii="Arial" w:hAnsi="Arial"/>
          <w:b/>
          <w:bCs/>
          <w:sz w:val="20"/>
        </w:rPr>
        <w:t xml:space="preserve">VH baseline-to-canopy contrast.</w:t>
      </w:r>
      <w:r>
        <w:rPr>
          <w:rFonts w:ascii="Arial" w:hAnsi="Arial"/>
          <w:sz w:val="20"/>
        </w:rPr>
        <w:t xml:space="preserve"> </w:t>
      </w:r>
      <w:r>
        <w:rPr>
          <w:rFonts w:ascii="Arial" w:hAnsi="Arial"/>
          <w:sz w:val="20"/>
        </w:rPr>
        <w:t xml:space="preserve">Mean transplanting VH must</w:t>
      </w:r>
      <w:r>
        <w:rPr>
          <w:rFonts w:ascii="Arial" w:hAnsi="Arial"/>
          <w:sz w:val="20"/>
        </w:rPr>
        <w:t xml:space="preserve"> </w:t>
      </w:r>
      <w:r>
        <w:rPr>
          <w:rFonts w:ascii="Arial" w:hAnsi="Arial"/>
          <w:sz w:val="20"/>
        </w:rPr>
        <w:t xml:space="preserve">exceed mean pre-transplant baseline VH by ≥ 0.3 dB averaged over the</w:t>
      </w:r>
      <w:r>
        <w:rPr>
          <w:rFonts w:ascii="Arial" w:hAnsi="Arial"/>
          <w:sz w:val="20"/>
        </w:rPr>
        <w:t xml:space="preserve"> </w:t>
      </w:r>
      <w:r>
        <w:rPr>
          <w:rFonts w:ascii="Arial" w:hAnsi="Arial"/>
          <w:sz w:val="20"/>
        </w:rPr>
        <w:t xml:space="preserve">four districts.</w:t>
      </w:r>
      <w:r>
        <w:rPr>
          <w:rFonts w:ascii="Arial" w:hAnsi="Arial"/>
          <w:sz w:val="20"/>
        </w:rPr>
        <w:t xml:space="preserve"> </w:t>
      </w:r>
      <w:r>
        <w:rPr>
          <w:rFonts w:ascii="Arial" w:hAnsi="Arial"/>
          <w:i/>
          <w:iCs/>
          <w:sz w:val="20"/>
        </w:rPr>
        <w:t xml:space="preserve">Observed: +0.52 dB. PASS.</w:t>
      </w:r>
    </w:p>
    <w:p>
      <w:pPr>
        <w:pStyle w:val="Compact"/>
        <w:numPr>
          <w:ilvl w:val="0"/>
          <w:numId w:val="1002"/>
        </w:numPr>
      </w:pPr>
      <w:r>
        <w:rPr>
          <w:rFonts w:ascii="Arial" w:hAnsi="Arial"/>
          <w:b/>
          <w:bCs/>
          <w:sz w:val="20"/>
        </w:rPr>
        <w:t xml:space="preserve">VV baseline-to-canopy contrast.</w:t>
      </w:r>
      <w:r>
        <w:rPr>
          <w:rFonts w:ascii="Arial" w:hAnsi="Arial"/>
          <w:sz w:val="20"/>
        </w:rPr>
        <w:t xml:space="preserve"> </w:t>
      </w:r>
      <w:r>
        <w:rPr>
          <w:rFonts w:ascii="Arial" w:hAnsi="Arial"/>
          <w:sz w:val="20"/>
        </w:rPr>
        <w:t xml:space="preserve">Mean transplanting VV must</w:t>
      </w:r>
      <w:r>
        <w:rPr>
          <w:rFonts w:ascii="Arial" w:hAnsi="Arial"/>
          <w:sz w:val="20"/>
        </w:rPr>
        <w:t xml:space="preserve"> </w:t>
      </w:r>
      <w:r>
        <w:rPr>
          <w:rFonts w:ascii="Arial" w:hAnsi="Arial"/>
          <w:sz w:val="20"/>
        </w:rPr>
        <w:t xml:space="preserve">exceed mean pre-transplant baseline VV by ≥ 0.5 dB averaged over the</w:t>
      </w:r>
      <w:r>
        <w:rPr>
          <w:rFonts w:ascii="Arial" w:hAnsi="Arial"/>
          <w:sz w:val="20"/>
        </w:rPr>
        <w:t xml:space="preserve"> </w:t>
      </w:r>
      <w:r>
        <w:rPr>
          <w:rFonts w:ascii="Arial" w:hAnsi="Arial"/>
          <w:sz w:val="20"/>
        </w:rPr>
        <w:t xml:space="preserve">four districts.</w:t>
      </w:r>
      <w:r>
        <w:rPr>
          <w:rFonts w:ascii="Arial" w:hAnsi="Arial"/>
          <w:sz w:val="20"/>
        </w:rPr>
        <w:t xml:space="preserve"> </w:t>
      </w:r>
      <w:r>
        <w:rPr>
          <w:rFonts w:ascii="Arial" w:hAnsi="Arial"/>
          <w:i/>
          <w:iCs/>
          <w:sz w:val="20"/>
        </w:rPr>
        <w:t xml:space="preserve">Observed: +0.82 dB. PASS.</w:t>
      </w:r>
    </w:p>
    <w:p>
      <w:pPr>
        <w:pStyle w:val="Compact"/>
        <w:numPr>
          <w:ilvl w:val="0"/>
          <w:numId w:val="1002"/>
        </w:numPr>
      </w:pPr>
      <w:r>
        <w:rPr>
          <w:rFonts w:ascii="Arial" w:hAnsi="Arial"/>
          <w:b/>
          <w:bCs/>
          <w:sz w:val="20"/>
        </w:rPr>
        <w:t xml:space="preserve">CR monotonic-canopy decrease.</w:t>
      </w:r>
      <w:r>
        <w:rPr>
          <w:rFonts w:ascii="Arial" w:hAnsi="Arial"/>
          <w:sz w:val="20"/>
        </w:rPr>
        <w:t xml:space="preserve"> </w:t>
      </w:r>
      <w:r>
        <w:rPr>
          <w:rFonts w:ascii="Arial" w:hAnsi="Arial"/>
          <w:sz w:val="20"/>
        </w:rPr>
        <w:t xml:space="preserve">Mean CR must decrease from</w:t>
      </w:r>
      <w:r>
        <w:rPr>
          <w:rFonts w:ascii="Arial" w:hAnsi="Arial"/>
          <w:sz w:val="20"/>
        </w:rPr>
        <w:t xml:space="preserve"> </w:t>
      </w:r>
      <w:r>
        <w:rPr>
          <w:rFonts w:ascii="Arial" w:hAnsi="Arial"/>
          <w:sz w:val="20"/>
        </w:rPr>
        <w:t xml:space="preserve">pre-transplant baseline through peak canopy.</w:t>
      </w:r>
      <w:r>
        <w:rPr>
          <w:rFonts w:ascii="Arial" w:hAnsi="Arial"/>
          <w:sz w:val="20"/>
        </w:rPr>
        <w:t xml:space="preserve"> </w:t>
      </w:r>
      <w:r>
        <w:rPr>
          <w:rFonts w:ascii="Arial" w:hAnsi="Arial"/>
          <w:i/>
          <w:iCs/>
          <w:sz w:val="20"/>
        </w:rPr>
        <w:t xml:space="preserve">Observed: 0.239 →</w:t>
      </w:r>
      <w:r>
        <w:rPr>
          <w:rFonts w:ascii="Arial" w:hAnsi="Arial"/>
          <w:i/>
          <w:iCs/>
          <w:sz w:val="20"/>
        </w:rPr>
        <w:t xml:space="preserve"> </w:t>
      </w:r>
      <w:r>
        <w:rPr>
          <w:rFonts w:ascii="Arial" w:hAnsi="Arial"/>
          <w:i/>
          <w:iCs/>
          <w:sz w:val="20"/>
        </w:rPr>
        <w:t xml:space="preserve">0.225 → 0.212. PASS.</w:t>
      </w:r>
    </w:p>
    <w:p>
      <w:pPr>
        <w:pStyle w:val="Compact"/>
        <w:numPr>
          <w:ilvl w:val="0"/>
          <w:numId w:val="1002"/>
        </w:numPr>
      </w:pPr>
      <w:r>
        <w:rPr>
          <w:rFonts w:ascii="Arial" w:hAnsi="Arial"/>
          <w:b/>
          <w:bCs/>
          <w:sz w:val="20"/>
        </w:rPr>
        <w:t xml:space="preserve">Bulbul-event distinguishability.</w:t>
      </w:r>
      <w:r>
        <w:rPr>
          <w:rFonts w:ascii="Arial" w:hAnsi="Arial"/>
          <w:sz w:val="20"/>
        </w:rPr>
        <w:t xml:space="preserve"> </w:t>
      </w:r>
      <w:r>
        <w:rPr>
          <w:rFonts w:ascii="Arial" w:hAnsi="Arial"/>
          <w:sz w:val="20"/>
        </w:rPr>
        <w:t xml:space="preserve">The Bulbul event-window CR</w:t>
      </w:r>
      <w:r>
        <w:rPr>
          <w:rFonts w:ascii="Arial" w:hAnsi="Arial"/>
          <w:sz w:val="20"/>
        </w:rPr>
        <w:t xml:space="preserve"> </w:t>
      </w:r>
      <w:r>
        <w:rPr>
          <w:rFonts w:ascii="Arial" w:hAnsi="Arial"/>
          <w:sz w:val="20"/>
        </w:rPr>
        <w:t xml:space="preserve">must differ from the peak-canopy CR by ≥ 0.02 in at least three of</w:t>
      </w:r>
      <w:r>
        <w:rPr>
          <w:rFonts w:ascii="Arial" w:hAnsi="Arial"/>
          <w:sz w:val="20"/>
        </w:rPr>
        <w:t xml:space="preserve"> </w:t>
      </w:r>
      <w:r>
        <w:rPr>
          <w:rFonts w:ascii="Arial" w:hAnsi="Arial"/>
          <w:sz w:val="20"/>
        </w:rPr>
        <w:t xml:space="preserve">the four districts.</w:t>
      </w:r>
      <w:r>
        <w:rPr>
          <w:rFonts w:ascii="Arial" w:hAnsi="Arial"/>
          <w:sz w:val="20"/>
        </w:rPr>
        <w:t xml:space="preserve"> </w:t>
      </w:r>
      <w:r>
        <w:rPr>
          <w:rFonts w:ascii="Arial" w:hAnsi="Arial"/>
          <w:i/>
          <w:iCs/>
          <w:sz w:val="20"/>
        </w:rPr>
        <w:t xml:space="preserve">Observed: per-district ΔCR (Bulbul − peak)</w:t>
      </w:r>
      <w:r>
        <w:rPr>
          <w:rFonts w:ascii="Arial" w:hAnsi="Arial"/>
          <w:i/>
          <w:iCs/>
          <w:sz w:val="20"/>
        </w:rPr>
        <w:t xml:space="preserve"> </w:t>
      </w:r>
      <w:r>
        <w:rPr>
          <w:rFonts w:ascii="Arial" w:hAnsi="Arial"/>
          <w:i/>
          <w:iCs/>
          <w:sz w:val="20"/>
        </w:rPr>
        <w:t xml:space="preserve">= +0.023 (Boudh), +0.050 (Ganjam), +0.046 (Khordha), +0.030</w:t>
      </w:r>
      <w:r>
        <w:rPr>
          <w:rFonts w:ascii="Arial" w:hAnsi="Arial"/>
          <w:i/>
          <w:iCs/>
          <w:sz w:val="20"/>
        </w:rPr>
        <w:t xml:space="preserve"> </w:t>
      </w:r>
      <w:r>
        <w:rPr>
          <w:rFonts w:ascii="Arial" w:hAnsi="Arial"/>
          <w:i/>
          <w:iCs/>
          <w:sz w:val="20"/>
        </w:rPr>
        <w:t xml:space="preserve">(Nayagarh). PASS in 4 of 4 districts.</w:t>
      </w:r>
    </w:p>
    <w:p>
      <w:pPr>
        <w:pStyle w:val="FirstParagraph"/>
      </w:pPr>
      <w:r>
        <w:rPr>
          <w:rFonts w:ascii="Arial" w:hAnsi="Arial"/>
          <w:sz w:val="20"/>
        </w:rPr>
        <w:t xml:space="preserve">All four pre-registered falsifiability conditions PASS on the real</w:t>
      </w:r>
      <w:r>
        <w:rPr>
          <w:rFonts w:ascii="Arial" w:hAnsi="Arial"/>
          <w:sz w:val="20"/>
        </w:rPr>
        <w:t xml:space="preserve"> </w:t>
      </w:r>
      <w:r>
        <w:rPr>
          <w:rFonts w:ascii="Arial" w:hAnsi="Arial"/>
          <w:sz w:val="20"/>
        </w:rPr>
        <w:t xml:space="preserve">2019 Sentinel-1 record over the four probe districts.</w:t>
      </w:r>
    </w:p>
    <w:bookmarkEnd w:id="25"/>
    <w:bookmarkStart w:id="26" w:name="s3.6-pre-registration-and-scope"/>
    <w:p>
      <w:pPr>
        <w:pStyle w:val="Heading2"/>
      </w:pPr>
      <w:r>
        <w:rPr>
          <w:rFonts w:ascii="Arial" w:hAnsi="Arial"/>
        </w:rPr>
        <w:t xml:space="preserve">S3.6 Pre-registration and scope</w:t>
      </w:r>
    </w:p>
    <w:p>
      <w:pPr>
        <w:pStyle w:val="FirstParagraph"/>
      </w:pPr>
      <w:r>
        <w:rPr>
          <w:rFonts w:ascii="Arial" w:hAnsi="Arial"/>
          <w:sz w:val="20"/>
        </w:rPr>
        <w:t xml:space="preserve">This note is the</w:t>
      </w:r>
      <w:r>
        <w:rPr>
          <w:rFonts w:ascii="Arial" w:hAnsi="Arial"/>
          <w:sz w:val="20"/>
        </w:rPr>
        <w:t xml:space="preserve"> </w:t>
      </w:r>
      <w:r>
        <w:rPr>
          <w:rFonts w:ascii="Arial" w:hAnsi="Arial"/>
          <w:i/>
          <w:iCs/>
          <w:sz w:val="20"/>
        </w:rPr>
        <w:t xml:space="preserve">empirical calibration record</w:t>
      </w:r>
      <w:r>
        <w:rPr>
          <w:rFonts w:ascii="Arial" w:hAnsi="Arial"/>
          <w:sz w:val="20"/>
        </w:rPr>
        <w:t xml:space="preserve"> </w:t>
      </w:r>
      <w:r>
        <w:rPr>
          <w:rFonts w:ascii="Arial" w:hAnsi="Arial"/>
          <w:sz w:val="20"/>
        </w:rPr>
        <w:t xml:space="preserve">for the saline-flood</w:t>
      </w:r>
      <w:r>
        <w:rPr>
          <w:rFonts w:ascii="Arial" w:hAnsi="Arial"/>
          <w:sz w:val="20"/>
        </w:rPr>
        <w:t xml:space="preserve"> </w:t>
      </w:r>
      <w:r>
        <w:rPr>
          <w:rFonts w:ascii="Arial" w:hAnsi="Arial"/>
          <w:sz w:val="20"/>
        </w:rPr>
        <w:t xml:space="preserve">feature space declared in OSF pre-registration §2.3 (</w:t>
      </w:r>
      <w:r>
        <w:rPr>
          <w:rFonts w:ascii="Arial" w:hAnsi="Arial"/>
          <w:sz w:val="20"/>
        </w:rPr>
        <w:t xml:space="preserve">“</w:t>
      </w:r>
      <w:r>
        <w:rPr>
          <w:rFonts w:ascii="Arial" w:hAnsi="Arial"/>
          <w:sz w:val="20"/>
        </w:rPr>
        <w:t xml:space="preserve">Sentinel-1</w:t>
      </w:r>
      <w:r>
        <w:rPr>
          <w:rFonts w:ascii="Arial" w:hAnsi="Arial"/>
          <w:sz w:val="20"/>
        </w:rPr>
        <w:t xml:space="preserve"> </w:t>
      </w:r>
      <w:r>
        <w:rPr>
          <w:rFonts w:ascii="Arial" w:hAnsi="Arial"/>
          <w:sz w:val="20"/>
        </w:rPr>
        <w:t xml:space="preserve">dual-polarisation backscatter, with cross-ratio CR, will be used as</w:t>
      </w:r>
      <w:r>
        <w:rPr>
          <w:rFonts w:ascii="Arial" w:hAnsi="Arial"/>
          <w:sz w:val="20"/>
        </w:rPr>
        <w:t xml:space="preserve"> </w:t>
      </w:r>
      <w:r>
        <w:rPr>
          <w:rFonts w:ascii="Arial" w:hAnsi="Arial"/>
          <w:sz w:val="20"/>
        </w:rPr>
        <w:t xml:space="preserve">the primary inundation discriminator; ERA5 wind will gate cyclonic</w:t>
      </w:r>
      <w:r>
        <w:rPr>
          <w:rFonts w:ascii="Arial" w:hAnsi="Arial"/>
          <w:sz w:val="20"/>
        </w:rPr>
        <w:t xml:space="preserve"> </w:t>
      </w:r>
      <w:r>
        <w:rPr>
          <w:rFonts w:ascii="Arial" w:hAnsi="Arial"/>
          <w:sz w:val="20"/>
        </w:rPr>
        <w:t xml:space="preserve">events; JRC water mask will exclude permanent water</w:t>
      </w:r>
      <w:r>
        <w:rPr>
          <w:rFonts w:ascii="Arial" w:hAnsi="Arial"/>
          <w:sz w:val="20"/>
        </w:rPr>
        <w:t xml:space="preserve">”</w:t>
      </w:r>
      <w:r>
        <w:rPr>
          <w:rFonts w:ascii="Arial" w:hAnsi="Arial"/>
          <w:sz w:val="20"/>
        </w:rPr>
        <w:t xml:space="preserve">). The</w:t>
      </w:r>
      <w:r>
        <w:rPr>
          <w:rFonts w:ascii="Arial" w:hAnsi="Arial"/>
          <w:sz w:val="20"/>
        </w:rPr>
        <w:t xml:space="preserve"> </w:t>
      </w:r>
      <w:r>
        <w:rPr>
          <w:rFonts w:ascii="Arial" w:hAnsi="Arial"/>
          <w:sz w:val="20"/>
        </w:rPr>
        <w:t xml:space="preserve">pre-registration committed to the</w:t>
      </w:r>
      <w:r>
        <w:rPr>
          <w:rFonts w:ascii="Arial" w:hAnsi="Arial"/>
          <w:sz w:val="20"/>
        </w:rPr>
        <w:t xml:space="preserve"> </w:t>
      </w:r>
      <w:r>
        <w:rPr>
          <w:rFonts w:ascii="Arial" w:hAnsi="Arial"/>
          <w:i/>
          <w:iCs/>
          <w:sz w:val="20"/>
        </w:rPr>
        <w:t xml:space="preserve">features</w:t>
      </w:r>
      <w:r>
        <w:rPr>
          <w:rFonts w:ascii="Arial" w:hAnsi="Arial"/>
          <w:sz w:val="20"/>
        </w:rPr>
        <w:t xml:space="preserve"> </w:t>
      </w:r>
      <w:r>
        <w:rPr>
          <w:rFonts w:ascii="Arial" w:hAnsi="Arial"/>
          <w:sz w:val="20"/>
        </w:rPr>
        <w:t xml:space="preserve">and the</w:t>
      </w:r>
      <w:r>
        <w:rPr>
          <w:rFonts w:ascii="Arial" w:hAnsi="Arial"/>
          <w:sz w:val="20"/>
        </w:rPr>
        <w:t xml:space="preserve"> </w:t>
      </w:r>
      <w:r>
        <w:rPr>
          <w:rFonts w:ascii="Arial" w:hAnsi="Arial"/>
          <w:i/>
          <w:iCs/>
          <w:sz w:val="20"/>
        </w:rPr>
        <w:t xml:space="preserve">gating logic</w:t>
      </w:r>
      <w:r>
        <w:rPr>
          <w:rFonts w:ascii="Arial" w:hAnsi="Arial"/>
          <w:sz w:val="20"/>
        </w:rPr>
        <w:t xml:space="preserve">.</w:t>
      </w:r>
      <w:r>
        <w:rPr>
          <w:rFonts w:ascii="Arial" w:hAnsi="Arial"/>
          <w:sz w:val="20"/>
        </w:rPr>
        <w:t xml:space="preserve"> </w:t>
      </w:r>
      <w:r>
        <w:rPr>
          <w:rFonts w:ascii="Arial" w:hAnsi="Arial"/>
          <w:sz w:val="20"/>
        </w:rPr>
        <w:t xml:space="preserve">The signatures in Table S9 are observational, post-registration, and</w:t>
      </w:r>
      <w:r>
        <w:rPr>
          <w:rFonts w:ascii="Arial" w:hAnsi="Arial"/>
          <w:sz w:val="20"/>
        </w:rPr>
        <w:t xml:space="preserve"> </w:t>
      </w:r>
      <w:r>
        <w:rPr>
          <w:rFonts w:ascii="Arial" w:hAnsi="Arial"/>
          <w:sz w:val="20"/>
        </w:rPr>
        <w:t xml:space="preserve">were not used to alter any pre-registered hypothesis or decision rule.</w:t>
      </w:r>
    </w:p>
    <w:bookmarkEnd w:id="26"/>
    <w:bookmarkStart w:id="27" w:name="s3.7-replication-recipe"/>
    <w:p>
      <w:pPr>
        <w:pStyle w:val="Heading2"/>
      </w:pPr>
      <w:r>
        <w:rPr>
          <w:rFonts w:ascii="Arial" w:hAnsi="Arial"/>
        </w:rPr>
        <w:t xml:space="preserve">S3.7 Replication recipe</w:t>
      </w:r>
    </w:p>
    <w:p>
      <w:pPr>
        <w:pStyle w:val="FirstParagraph"/>
      </w:pPr>
      <w:r>
        <w:rPr>
          <w:rFonts w:ascii="Arial" w:hAnsi="Arial"/>
          <w:sz w:val="20"/>
        </w:rPr>
        <w:t xml:space="preserve">To reproduce Table S9 and Figure S2 end-to-end (no GEE auth required;</w:t>
      </w:r>
      <w:r>
        <w:rPr>
          <w:rFonts w:ascii="Arial" w:hAnsi="Arial"/>
          <w:sz w:val="20"/>
        </w:rPr>
        <w:t xml:space="preserve"> </w:t>
      </w:r>
      <w:r>
        <w:rPr>
          <w:rFonts w:ascii="Arial" w:hAnsi="Arial"/>
          <w:sz w:val="20"/>
        </w:rPr>
        <w:t xml:space="preserve">~12 min CPU on a single core):</w:t>
      </w:r>
    </w:p>
    <w:p>
      <w:pPr>
        <w:pStyle w:val="SourceCode"/>
      </w:pPr>
      <w:r>
        <w:rPr>
          <w:rStyle w:val="VerbatimChar"/>
          <w:rFonts w:ascii="Arial" w:hAnsi="Arial"/>
          <w:sz w:val="20"/>
        </w:rPr>
        <w:t xml:space="preserve">pip install pystac-client planetary-computer odc-stac rioxarray rasterio</w:t>
      </w:r>
      <w:r>
        <w:rPr>
          <w:rFonts w:ascii="Arial" w:hAnsi="Arial"/>
          <w:sz w:val="20"/>
        </w:rPr>
        <w:br/>
      </w:r>
      <w:r>
        <w:rPr>
          <w:rStyle w:val="VerbatimChar"/>
          <w:rFonts w:ascii="Arial" w:hAnsi="Arial"/>
          <w:sz w:val="20"/>
        </w:rPr>
        <w:t xml:space="preserve">python analysis/18_real_s1_backscatter_signatures.py   # extracts 85 dekads</w:t>
      </w:r>
      <w:r>
        <w:rPr>
          <w:rFonts w:ascii="Arial" w:hAnsi="Arial"/>
          <w:sz w:val="20"/>
        </w:rPr>
        <w:br/>
      </w:r>
      <w:r>
        <w:rPr>
          <w:rStyle w:val="VerbatimChar"/>
          <w:rFonts w:ascii="Arial" w:hAnsi="Arial"/>
          <w:sz w:val="20"/>
        </w:rPr>
        <w:t xml:space="preserve">python analysis/20_build_table_s9_fig_s2_real.py        # builds DOCX + PDF</w:t>
      </w:r>
    </w:p>
    <w:p>
      <w:pPr>
        <w:pStyle w:val="FirstParagraph"/>
      </w:pPr>
      <w:r>
        <w:rPr>
          <w:rFonts w:ascii="Arial" w:hAnsi="Arial"/>
          <w:sz w:val="20"/>
        </w:rPr>
        <w:t xml:space="preserve">Intermediate artefacts (in</w:t>
      </w:r>
      <w:r>
        <w:rPr>
          <w:rFonts w:ascii="Arial" w:hAnsi="Arial"/>
          <w:sz w:val="20"/>
        </w:rPr>
        <w:t xml:space="preserve"> </w:t>
      </w:r>
      <w:r>
        <w:rPr>
          <w:rStyle w:val="VerbatimChar"/>
          <w:rFonts w:ascii="Arial" w:hAnsi="Arial"/>
          <w:sz w:val="20"/>
        </w:rPr>
        <w:t xml:space="preserve">analysis/results/real_v21/</w:t>
      </w:r>
      <w:r>
        <w:rPr>
          <w:rFonts w:ascii="Arial" w:hAnsi="Arial"/>
          <w:sz w:val="20"/>
        </w:rPr>
        <w:t xml:space="preserve">):</w:t>
      </w:r>
    </w:p>
    <w:p>
      <w:pPr>
        <w:pStyle w:val="Compact"/>
        <w:numPr>
          <w:ilvl w:val="0"/>
          <w:numId w:val="1003"/>
        </w:numPr>
      </w:pPr>
      <w:r>
        <w:rPr>
          <w:rStyle w:val="VerbatimChar"/>
          <w:rFonts w:ascii="Arial" w:hAnsi="Arial"/>
          <w:sz w:val="20"/>
        </w:rPr>
        <w:t xml:space="preserve">s1_backscatter_real_signatures.csv</w:t>
      </w:r>
      <w:r>
        <w:rPr>
          <w:rFonts w:ascii="Arial" w:hAnsi="Arial"/>
          <w:sz w:val="20"/>
        </w:rPr>
        <w:t xml:space="preserve"> </w:t>
      </w:r>
      <w:r>
        <w:rPr>
          <w:rFonts w:ascii="Arial" w:hAnsi="Arial"/>
          <w:sz w:val="20"/>
        </w:rPr>
        <w:t xml:space="preserve">— 85 district-dekad rows</w:t>
      </w:r>
    </w:p>
    <w:p>
      <w:pPr>
        <w:pStyle w:val="Compact"/>
        <w:numPr>
          <w:ilvl w:val="0"/>
          <w:numId w:val="1003"/>
        </w:numPr>
      </w:pPr>
      <w:r>
        <w:rPr>
          <w:rStyle w:val="VerbatimChar"/>
          <w:rFonts w:ascii="Arial" w:hAnsi="Arial"/>
          <w:sz w:val="20"/>
        </w:rPr>
        <w:t xml:space="preserve">s1_backscatter_real_series_&lt;district&gt;.csv</w:t>
      </w:r>
      <w:r>
        <w:rPr>
          <w:rFonts w:ascii="Arial" w:hAnsi="Arial"/>
          <w:sz w:val="20"/>
        </w:rPr>
        <w:t xml:space="preserve"> </w:t>
      </w:r>
      <w:r>
        <w:rPr>
          <w:rFonts w:ascii="Arial" w:hAnsi="Arial"/>
          <w:sz w:val="20"/>
        </w:rPr>
        <w:t xml:space="preserve">— per-district series</w:t>
      </w:r>
    </w:p>
    <w:p>
      <w:pPr>
        <w:pStyle w:val="Compact"/>
        <w:numPr>
          <w:ilvl w:val="0"/>
          <w:numId w:val="1003"/>
        </w:numPr>
      </w:pPr>
      <w:r>
        <w:rPr>
          <w:rStyle w:val="VerbatimChar"/>
          <w:rFonts w:ascii="Arial" w:hAnsi="Arial"/>
          <w:sz w:val="20"/>
        </w:rPr>
        <w:t xml:space="preserve">s1_backscatter_phase_means.csv</w:t>
      </w:r>
      <w:r>
        <w:rPr>
          <w:rFonts w:ascii="Arial" w:hAnsi="Arial"/>
          <w:sz w:val="20"/>
        </w:rPr>
        <w:t xml:space="preserve"> </w:t>
      </w:r>
      <w:r>
        <w:rPr>
          <w:rFonts w:ascii="Arial" w:hAnsi="Arial"/>
          <w:sz w:val="20"/>
        </w:rPr>
        <w:t xml:space="preserve">— Table S9(a)</w:t>
      </w:r>
    </w:p>
    <w:p>
      <w:pPr>
        <w:pStyle w:val="Compact"/>
        <w:numPr>
          <w:ilvl w:val="0"/>
          <w:numId w:val="1003"/>
        </w:numPr>
      </w:pPr>
      <w:r>
        <w:rPr>
          <w:rStyle w:val="VerbatimChar"/>
          <w:rFonts w:ascii="Arial" w:hAnsi="Arial"/>
          <w:sz w:val="20"/>
        </w:rPr>
        <w:t xml:space="preserve">s1_backscatter_phase_deltas.csv</w:t>
      </w:r>
      <w:r>
        <w:rPr>
          <w:rFonts w:ascii="Arial" w:hAnsi="Arial"/>
          <w:sz w:val="20"/>
        </w:rPr>
        <w:t xml:space="preserve"> </w:t>
      </w:r>
      <w:r>
        <w:rPr>
          <w:rFonts w:ascii="Arial" w:hAnsi="Arial"/>
          <w:sz w:val="20"/>
        </w:rPr>
        <w:t xml:space="preserve">— Table S9(b)</w:t>
      </w:r>
    </w:p>
    <w:bookmarkEnd w:id="27"/>
    <w:bookmarkStart w:id="28" w:name="references"/>
    <w:p>
      <w:pPr>
        <w:pStyle w:val="Heading2"/>
      </w:pPr>
      <w:r>
        <w:rPr>
          <w:rFonts w:ascii="Arial" w:hAnsi="Arial"/>
        </w:rPr>
        <w:t xml:space="preserve">References</w:t>
      </w:r>
    </w:p>
    <w:p>
      <w:pPr>
        <w:pStyle w:val="Compact"/>
        <w:numPr>
          <w:ilvl w:val="0"/>
          <w:numId w:val="1004"/>
        </w:numPr>
      </w:pPr>
      <w:r>
        <w:rPr>
          <w:rFonts w:ascii="Arial" w:hAnsi="Arial"/>
          <w:sz w:val="20"/>
        </w:rPr>
        <w:t xml:space="preserve">Filipponi, F. (2019). Sentinel-1 GRD pre-processing workflow.</w:t>
      </w:r>
      <w:r>
        <w:rPr>
          <w:rFonts w:ascii="Arial" w:hAnsi="Arial"/>
          <w:sz w:val="20"/>
        </w:rPr>
        <w:t xml:space="preserve"> </w:t>
      </w:r>
      <w:r>
        <w:rPr>
          <w:rFonts w:ascii="Arial" w:hAnsi="Arial"/>
          <w:i/>
          <w:iCs/>
          <w:sz w:val="20"/>
        </w:rPr>
        <w:t xml:space="preserve">Proceedings</w:t>
      </w:r>
      <w:r>
        <w:rPr>
          <w:rFonts w:ascii="Arial" w:hAnsi="Arial"/>
          <w:sz w:val="20"/>
        </w:rPr>
        <w:t xml:space="preserve"> </w:t>
      </w:r>
      <w:r>
        <w:rPr>
          <w:rFonts w:ascii="Arial" w:hAnsi="Arial"/>
          <w:sz w:val="20"/>
        </w:rPr>
        <w:t xml:space="preserve">18:11.</w:t>
      </w:r>
    </w:p>
    <w:p>
      <w:pPr>
        <w:pStyle w:val="Compact"/>
        <w:numPr>
          <w:ilvl w:val="0"/>
          <w:numId w:val="1004"/>
        </w:numPr>
      </w:pPr>
      <w:r>
        <w:rPr>
          <w:rFonts w:ascii="Arial" w:hAnsi="Arial"/>
          <w:sz w:val="20"/>
        </w:rPr>
        <w:t xml:space="preserve">Hoshikawa, K., Nagano, T., Kotera, A., et al. (2023). Quantifying</w:t>
      </w:r>
      <w:r>
        <w:rPr>
          <w:rFonts w:ascii="Arial" w:hAnsi="Arial"/>
          <w:sz w:val="20"/>
        </w:rPr>
        <w:t xml:space="preserve"> </w:t>
      </w:r>
      <w:r>
        <w:rPr>
          <w:rFonts w:ascii="Arial" w:hAnsi="Arial"/>
          <w:sz w:val="20"/>
        </w:rPr>
        <w:t xml:space="preserve">flood-induced rice loss in the Mekong Delta using SAR.</w:t>
      </w:r>
      <w:r>
        <w:rPr>
          <w:rFonts w:ascii="Arial" w:hAnsi="Arial"/>
          <w:sz w:val="20"/>
        </w:rPr>
        <w:t xml:space="preserve"> </w:t>
      </w:r>
      <w:r>
        <w:rPr>
          <w:rFonts w:ascii="Arial" w:hAnsi="Arial"/>
          <w:i/>
          <w:iCs/>
          <w:sz w:val="20"/>
        </w:rPr>
        <w:t xml:space="preserve">Remote</w:t>
      </w:r>
      <w:r>
        <w:rPr>
          <w:rFonts w:ascii="Arial" w:hAnsi="Arial"/>
          <w:i/>
          <w:iCs/>
          <w:sz w:val="20"/>
        </w:rPr>
        <w:t xml:space="preserve"> </w:t>
      </w:r>
      <w:r>
        <w:rPr>
          <w:rFonts w:ascii="Arial" w:hAnsi="Arial"/>
          <w:i/>
          <w:iCs/>
          <w:sz w:val="20"/>
        </w:rPr>
        <w:t xml:space="preserve">Sensing</w:t>
      </w:r>
      <w:r>
        <w:rPr>
          <w:rFonts w:ascii="Arial" w:hAnsi="Arial"/>
          <w:sz w:val="20"/>
        </w:rPr>
        <w:t xml:space="preserve"> </w:t>
      </w:r>
      <w:r>
        <w:rPr>
          <w:rFonts w:ascii="Arial" w:hAnsi="Arial"/>
          <w:sz w:val="20"/>
        </w:rPr>
        <w:t xml:space="preserve">15(8):2102.</w:t>
      </w:r>
    </w:p>
    <w:p>
      <w:pPr>
        <w:pStyle w:val="Compact"/>
        <w:numPr>
          <w:ilvl w:val="0"/>
          <w:numId w:val="1004"/>
        </w:numPr>
      </w:pPr>
      <w:r>
        <w:rPr>
          <w:rFonts w:ascii="Arial" w:hAnsi="Arial"/>
          <w:sz w:val="20"/>
        </w:rPr>
        <w:t xml:space="preserve">Konkathi, P., Vasundhara, R., Anandh, K., et al. (2024). Sentinel-1</w:t>
      </w:r>
      <w:r>
        <w:rPr>
          <w:rFonts w:ascii="Arial" w:hAnsi="Arial"/>
          <w:sz w:val="20"/>
        </w:rPr>
        <w:t xml:space="preserve"> </w:t>
      </w:r>
      <w:r>
        <w:rPr>
          <w:rFonts w:ascii="Arial" w:hAnsi="Arial"/>
          <w:sz w:val="20"/>
        </w:rPr>
        <w:t xml:space="preserve">C-band SAR for cyclone-induced inundation mapping over Indian east</w:t>
      </w:r>
      <w:r>
        <w:rPr>
          <w:rFonts w:ascii="Arial" w:hAnsi="Arial"/>
          <w:sz w:val="20"/>
        </w:rPr>
        <w:t xml:space="preserve"> </w:t>
      </w:r>
      <w:r>
        <w:rPr>
          <w:rFonts w:ascii="Arial" w:hAnsi="Arial"/>
          <w:sz w:val="20"/>
        </w:rPr>
        <w:t xml:space="preserve">coast.</w:t>
      </w:r>
      <w:r>
        <w:rPr>
          <w:rFonts w:ascii="Arial" w:hAnsi="Arial"/>
          <w:sz w:val="20"/>
        </w:rPr>
        <w:t xml:space="preserve"> </w:t>
      </w:r>
      <w:r>
        <w:rPr>
          <w:rFonts w:ascii="Arial" w:hAnsi="Arial"/>
          <w:i/>
          <w:iCs/>
          <w:sz w:val="20"/>
        </w:rPr>
        <w:t xml:space="preserve">International Journal of Remote Sensing</w:t>
      </w:r>
      <w:r>
        <w:rPr>
          <w:rFonts w:ascii="Arial" w:hAnsi="Arial"/>
          <w:sz w:val="20"/>
        </w:rPr>
        <w:t xml:space="preserve"> </w:t>
      </w:r>
      <w:r>
        <w:rPr>
          <w:rFonts w:ascii="Arial" w:hAnsi="Arial"/>
          <w:sz w:val="20"/>
        </w:rPr>
        <w:t xml:space="preserve">45(3):947–971.</w:t>
      </w:r>
    </w:p>
    <w:p>
      <w:pPr>
        <w:pStyle w:val="Compact"/>
        <w:numPr>
          <w:ilvl w:val="0"/>
          <w:numId w:val="1004"/>
        </w:numPr>
      </w:pPr>
      <w:r>
        <w:rPr>
          <w:rFonts w:ascii="Arial" w:hAnsi="Arial"/>
          <w:sz w:val="20"/>
        </w:rPr>
        <w:t xml:space="preserve">Lee, J. S., Pottier, E. (2009).</w:t>
      </w:r>
      <w:r>
        <w:rPr>
          <w:rFonts w:ascii="Arial" w:hAnsi="Arial"/>
          <w:sz w:val="20"/>
        </w:rPr>
        <w:t xml:space="preserve"> </w:t>
      </w:r>
      <w:r>
        <w:rPr>
          <w:rFonts w:ascii="Arial" w:hAnsi="Arial"/>
          <w:i/>
          <w:iCs/>
          <w:sz w:val="20"/>
        </w:rPr>
        <w:t xml:space="preserve">Polarimetric Radar Imaging: From</w:t>
      </w:r>
      <w:r>
        <w:rPr>
          <w:rFonts w:ascii="Arial" w:hAnsi="Arial"/>
          <w:i/>
          <w:iCs/>
          <w:sz w:val="20"/>
        </w:rPr>
        <w:t xml:space="preserve"> </w:t>
      </w:r>
      <w:r>
        <w:rPr>
          <w:rFonts w:ascii="Arial" w:hAnsi="Arial"/>
          <w:i/>
          <w:iCs/>
          <w:sz w:val="20"/>
        </w:rPr>
        <w:t xml:space="preserve">Basics to Applications.</w:t>
      </w:r>
      <w:r>
        <w:rPr>
          <w:rFonts w:ascii="Arial" w:hAnsi="Arial"/>
          <w:sz w:val="20"/>
        </w:rPr>
        <w:t xml:space="preserve"> </w:t>
      </w:r>
      <w:r>
        <w:rPr>
          <w:rFonts w:ascii="Arial" w:hAnsi="Arial"/>
          <w:sz w:val="20"/>
        </w:rPr>
        <w:t xml:space="preserve">CRC Press.</w:t>
      </w:r>
    </w:p>
    <w:p>
      <w:pPr>
        <w:pStyle w:val="Compact"/>
        <w:numPr>
          <w:ilvl w:val="0"/>
          <w:numId w:val="1004"/>
        </w:numPr>
      </w:pPr>
      <w:r>
        <w:rPr>
          <w:rFonts w:ascii="Arial" w:hAnsi="Arial"/>
          <w:sz w:val="20"/>
        </w:rPr>
        <w:t xml:space="preserve">Wali, E., Jain, M., Mondal, P. (2020). Detecting flooded rice with</w:t>
      </w:r>
      <w:r>
        <w:rPr>
          <w:rFonts w:ascii="Arial" w:hAnsi="Arial"/>
          <w:sz w:val="20"/>
        </w:rPr>
        <w:t xml:space="preserve"> </w:t>
      </w:r>
      <w:r>
        <w:rPr>
          <w:rFonts w:ascii="Arial" w:hAnsi="Arial"/>
          <w:sz w:val="20"/>
        </w:rPr>
        <w:t xml:space="preserve">synthetic aperture radar in cyclone-affected coastal Bangladesh.</w:t>
      </w:r>
      <w:r>
        <w:rPr>
          <w:rFonts w:ascii="Arial" w:hAnsi="Arial"/>
          <w:sz w:val="20"/>
        </w:rPr>
        <w:t xml:space="preserve"> </w:t>
      </w:r>
      <w:r>
        <w:rPr>
          <w:rFonts w:ascii="Arial" w:hAnsi="Arial"/>
          <w:i/>
          <w:iCs/>
          <w:sz w:val="20"/>
        </w:rPr>
        <w:t xml:space="preserve">Remote Sensing of Environment</w:t>
      </w:r>
      <w:r>
        <w:rPr>
          <w:rFonts w:ascii="Arial" w:hAnsi="Arial"/>
          <w:sz w:val="20"/>
        </w:rPr>
        <w:t xml:space="preserve"> </w:t>
      </w:r>
      <w:r>
        <w:rPr>
          <w:rFonts w:ascii="Arial" w:hAnsi="Arial"/>
          <w:sz w:val="20"/>
        </w:rPr>
        <w:t xml:space="preserve">251:112063.</w:t>
      </w:r>
    </w:p>
    <w:bookmarkEnd w:id="28"/>
    <w:bookmarkEnd w:id="29"/>
    <w:p>
      <w:r>
        <w:rPr>
          <w:rFonts w:ascii="Arial" w:hAnsi="Arial"/>
          <w:sz w:val="20"/>
        </w:rPr>
        <w:br w:type="page"/>
      </w:r>
    </w:p>
    <w:p>
      <w:pPr>
        <w:keepNext/>
        <w:spacing w:before="240" w:after="120"/>
      </w:pPr>
      <w:bookmarkStart w:id="66130" w:name="note_s4"/>
      <w:r>
        <w:rPr>
          <w:rFonts w:ascii="Arial" w:hAnsi="Arial"/>
          <w:b/>
          <w:color w:val="1F3A5F"/>
          <w:sz w:val="32"/>
        </w:rPr>
        <w:t>Note S4 — Small-G power / minimum detectable effect simulator</w:t>
      </w:r>
      <w:bookmarkEnd w:id="66130"/>
    </w:p>
    <w:bookmarkStart w:id="23" w:name="Xa4e2dea2d376ab4d6475c8d9700aaff9982f219"/>
    <w:p>
      <w:pPr>
        <w:pStyle w:val="Heading1"/>
      </w:pPr>
      <w:r>
        <w:rPr>
          <w:rFonts w:ascii="Arial" w:hAnsi="Arial"/>
        </w:rPr>
        <w:t xml:space="preserve">Methods §3.Y.4 — Post-hoc power and minimum detectable effect</w:t>
      </w:r>
    </w:p>
    <w:p>
      <w:pPr>
        <w:pStyle w:val="FirstParagraph"/>
      </w:pPr>
      <w:r>
        <w:rPr>
          <w:rFonts w:ascii="Arial" w:hAnsi="Arial"/>
          <w:sz w:val="20"/>
        </w:rPr>
        <w:t xml:space="preserve">The panel size is fixed by geography: G=8 districts (5 coastal-treated,</w:t>
      </w:r>
      <w:r>
        <w:rPr>
          <w:rFonts w:ascii="Arial" w:hAnsi="Arial"/>
          <w:sz w:val="20"/>
        </w:rPr>
        <w:t xml:space="preserve"> </w:t>
      </w:r>
      <w:r>
        <w:rPr>
          <w:rFonts w:ascii="Arial" w:hAnsi="Arial"/>
          <w:sz w:val="20"/>
        </w:rPr>
        <w:t xml:space="preserve">3 inland-control) is the universe of districts where rice phenology and</w:t>
      </w:r>
      <w:r>
        <w:rPr>
          <w:rFonts w:ascii="Arial" w:hAnsi="Arial"/>
          <w:sz w:val="20"/>
        </w:rPr>
        <w:t xml:space="preserve"> </w:t>
      </w:r>
      <w:r>
        <w:rPr>
          <w:rFonts w:ascii="Arial" w:hAnsi="Arial"/>
          <w:sz w:val="20"/>
        </w:rPr>
        <w:t xml:space="preserve">cyclone exposure can both be observed in our study window. We therefore</w:t>
      </w:r>
      <w:r>
        <w:rPr>
          <w:rFonts w:ascii="Arial" w:hAnsi="Arial"/>
          <w:sz w:val="20"/>
        </w:rPr>
        <w:t xml:space="preserve"> </w:t>
      </w:r>
      <w:r>
        <w:rPr>
          <w:rFonts w:ascii="Arial" w:hAnsi="Arial"/>
          <w:sz w:val="20"/>
        </w:rPr>
        <w:t xml:space="preserve">report</w:t>
      </w:r>
      <w:r>
        <w:rPr>
          <w:rFonts w:ascii="Arial" w:hAnsi="Arial"/>
          <w:sz w:val="20"/>
        </w:rPr>
        <w:t xml:space="preserve"> </w:t>
      </w:r>
      <w:r>
        <w:rPr>
          <w:rFonts w:ascii="Arial" w:hAnsi="Arial"/>
          <w:b/>
          <w:bCs/>
          <w:sz w:val="20"/>
        </w:rPr>
        <w:t xml:space="preserve">post-hoc</w:t>
      </w:r>
      <w:r>
        <w:rPr>
          <w:rFonts w:ascii="Arial" w:hAnsi="Arial"/>
          <w:sz w:val="20"/>
        </w:rPr>
        <w:t xml:space="preserve"> </w:t>
      </w:r>
      <w:r>
        <w:rPr>
          <w:rFonts w:ascii="Arial" w:hAnsi="Arial"/>
          <w:sz w:val="20"/>
        </w:rPr>
        <w:t xml:space="preserve">power and the minimum detectable effect (MDE)</w:t>
      </w:r>
      <w:r>
        <w:rPr>
          <w:rFonts w:ascii="Arial" w:hAnsi="Arial"/>
          <w:sz w:val="20"/>
        </w:rPr>
        <w:t xml:space="preserve"> </w:t>
      </w:r>
      <w:r>
        <w:rPr>
          <w:rFonts w:ascii="Arial" w:hAnsi="Arial"/>
          <w:sz w:val="20"/>
        </w:rPr>
        <w:t xml:space="preserve">transparently, alongside the inferential results, so reviewers can</w:t>
      </w:r>
      <w:r>
        <w:rPr>
          <w:rFonts w:ascii="Arial" w:hAnsi="Arial"/>
          <w:sz w:val="20"/>
        </w:rPr>
        <w:t xml:space="preserve"> </w:t>
      </w:r>
      <w:r>
        <w:rPr>
          <w:rFonts w:ascii="Arial" w:hAnsi="Arial"/>
          <w:sz w:val="20"/>
        </w:rPr>
        <w:t xml:space="preserve">assess what could and could not be learned from this design. Power is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used to recompute p-values (those come from the wild-cluster</w:t>
      </w:r>
      <w:r>
        <w:rPr>
          <w:rFonts w:ascii="Arial" w:hAnsi="Arial"/>
          <w:sz w:val="20"/>
        </w:rPr>
        <w:t xml:space="preserve"> </w:t>
      </w:r>
      <w:r>
        <w:rPr>
          <w:rFonts w:ascii="Arial" w:hAnsi="Arial"/>
          <w:sz w:val="20"/>
        </w:rPr>
        <w:t xml:space="preserve">restricted bootstrap, §3.Y.3).</w:t>
      </w:r>
    </w:p>
    <w:bookmarkStart w:id="20" w:name="X01accebc7f868c35dd72684079370319d4b05c8"/>
    <w:p>
      <w:pPr>
        <w:pStyle w:val="Heading2"/>
      </w:pPr>
      <w:r>
        <w:rPr>
          <w:rFonts w:ascii="Arial" w:hAnsi="Arial"/>
        </w:rPr>
        <w:t xml:space="preserve">3.Y.4.1 Minimum detectable effect (analytical)</w:t>
      </w:r>
    </w:p>
    <w:p>
      <w:pPr>
        <w:pStyle w:val="FirstParagraph"/>
      </w:pPr>
      <w:r>
        <w:rPr>
          <w:rFonts w:ascii="Arial" w:hAnsi="Arial"/>
          <w:sz w:val="20"/>
        </w:rPr>
        <w:t xml:space="preserve">For each (pipeline × phenometric) cell we compute the two-sided MDE at</w:t>
      </w:r>
      <w:r>
        <w:rPr>
          <w:rFonts w:ascii="Arial" w:hAnsi="Arial"/>
          <w:sz w:val="20"/>
        </w:rPr>
        <w:t xml:space="preserve"> </w:t>
      </w:r>
      <w:r>
        <w:rPr>
          <w:rFonts w:ascii="Arial" w:hAnsi="Arial"/>
          <w:sz w:val="20"/>
        </w:rPr>
        <w:t xml:space="preserve">α = 0.05 and power = 0.80 using the small-cluster t-distribution with</w:t>
      </w:r>
      <w:r>
        <w:rPr>
          <w:rFonts w:ascii="Arial" w:hAnsi="Arial"/>
          <w:sz w:val="20"/>
        </w:rPr>
        <w:t xml:space="preserve"> </w:t>
      </w:r>
      <w:r>
        <w:rPr>
          <w:rFonts w:ascii="Arial" w:hAnsi="Arial"/>
          <w:sz w:val="20"/>
        </w:rPr>
        <w:t xml:space="preserve">df = G − 1 = 7 (Donald and Lang, 2007):</w:t>
      </w:r>
    </w:p>
    <w:p>
      <w:pPr>
        <w:pStyle w:val="BodyText"/>
      </w:pPr>
      <m:oMathPara>
        <m:oMathParaPr>
          <m:jc m:val="center"/>
        </m:oMathParaPr>
        <m:oMath>
          <m:r>
            <m:rPr>
              <m:sty m:val="p"/>
            </m:rPr>
            <m:t>M</m:t>
          </m:r>
          <m:r>
            <m:rPr>
              <m:sty m:val="p"/>
            </m:rPr>
            <m:t>D</m:t>
          </m:r>
          <m:r>
            <m:rPr>
              <m:sty m:val="p"/>
            </m:rPr>
            <m:t>E</m:t>
          </m:r>
          <m:r>
            <m:t> </m:t>
          </m:r>
          <m:r>
            <m:rPr>
              <m:sty m:val="p"/>
            </m:rPr>
            <m:t>=</m:t>
          </m:r>
          <m:r>
            <m:t> </m:t>
          </m:r>
          <m:d>
            <m:dPr>
              <m:begChr m:val="("/>
              <m:endChr m:val=")"/>
              <m:sepChr m:val=""/>
              <m:grow/>
            </m:dPr>
            <m:e>
              <m:sSub>
                <m:e>
                  <m:r>
                    <m:t>t</m:t>
                  </m:r>
                </m:e>
                <m:sub>
                  <m:r>
                    <m:t>α</m:t>
                  </m:r>
                  <m:r>
                    <m:rPr>
                      <m:sty m:val="p"/>
                    </m:rPr>
                    <m:t>/</m:t>
                  </m:r>
                  <m:r>
                    <m:t>2</m:t>
                  </m:r>
                  <m:r>
                    <m:rPr>
                      <m:sty m:val="p"/>
                    </m:rPr>
                    <m:t>,</m:t>
                  </m:r>
                  <m:r>
                    <m:t> </m:t>
                  </m:r>
                  <m:r>
                    <m:t>G</m:t>
                  </m:r>
                  <m:r>
                    <m:rPr>
                      <m:sty m:val="p"/>
                    </m:rPr>
                    <m:t>−</m:t>
                  </m:r>
                  <m:r>
                    <m:t>1</m:t>
                  </m:r>
                </m:sub>
              </m:sSub>
              <m:r>
                <m:rPr>
                  <m:sty m:val="p"/>
                </m:rPr>
                <m:t>+</m:t>
              </m:r>
              <m:sSub>
                <m:e>
                  <m:r>
                    <m:t>t</m:t>
                  </m:r>
                </m:e>
                <m:sub>
                  <m:r>
                    <m:t>1</m:t>
                  </m:r>
                  <m:r>
                    <m:rPr>
                      <m:sty m:val="p"/>
                    </m:rPr>
                    <m:t>−</m:t>
                  </m:r>
                  <m:r>
                    <m:t>β</m:t>
                  </m:r>
                  <m:r>
                    <m:rPr>
                      <m:sty m:val="p"/>
                    </m:rPr>
                    <m:t>,</m:t>
                  </m:r>
                  <m:r>
                    <m:t> </m:t>
                  </m:r>
                  <m:r>
                    <m:t>G</m:t>
                  </m:r>
                  <m:r>
                    <m:rPr>
                      <m:sty m:val="p"/>
                    </m:rPr>
                    <m:t>−</m:t>
                  </m:r>
                  <m:r>
                    <m:t>1</m:t>
                  </m:r>
                </m:sub>
              </m:sSub>
            </m:e>
          </m:d>
          <m:r>
            <m:rPr>
              <m:sty m:val="p"/>
            </m:rPr>
            <m:t>⋅</m:t>
          </m:r>
          <m:acc>
            <m:accPr>
              <m:chr m:val="̂"/>
            </m:accPr>
            <m:e>
              <m:r>
                <m:t>S</m:t>
              </m:r>
              <m:r>
                <m:t>E</m:t>
              </m:r>
            </m:e>
          </m:acc>
          <m:d>
            <m:dPr>
              <m:begChr m:val="("/>
              <m:endChr m:val=")"/>
              <m:sepChr m:val=""/>
              <m:grow/>
            </m:dPr>
            <m:e>
              <m:acc>
                <m:accPr>
                  <m:chr m:val="̂"/>
                </m:accPr>
                <m:e>
                  <m:r>
                    <m:t>τ</m:t>
                  </m:r>
                </m:e>
              </m:acc>
            </m:e>
          </m:d>
        </m:oMath>
      </m:oMathPara>
    </w:p>
    <w:p>
      <w:pPr>
        <w:pStyle w:val="FirstParagraph"/>
      </w:pPr>
      <w:r>
        <w:rPr>
          <w:rFonts w:ascii="Arial" w:hAnsi="Arial"/>
          <w:sz w:val="20"/>
        </w:rPr>
        <w:t xml:space="preserve">where</w:t>
      </w:r>
      <w:r>
        <w:rPr>
          <w:rFonts w:ascii="Arial" w:hAnsi="Arial"/>
          <w:sz w:val="20"/>
        </w:rPr>
        <w:t xml:space="preserve"> </w:t>
      </w:r>
      <m:oMath>
        <m:acc>
          <m:accPr>
            <m:chr m:val="̂"/>
          </m:accPr>
          <m:e>
            <m:r>
              <m:t>S</m:t>
            </m:r>
            <m:r>
              <m:t>E</m:t>
            </m:r>
          </m:e>
        </m:acc>
        <m:d>
          <m:dPr>
            <m:begChr m:val="("/>
            <m:endChr m:val=")"/>
            <m:sepChr m:val=""/>
            <m:grow/>
          </m:dPr>
          <m:e>
            <m:acc>
              <m:accPr>
                <m:chr m:val="̂"/>
              </m:accPr>
              <m:e>
                <m:r>
                  <m:t>τ</m:t>
                </m:r>
              </m:e>
            </m:acc>
          </m:e>
        </m:d>
      </m:oMath>
      <w:r>
        <w:rPr>
          <w:rFonts w:ascii="Arial" w:hAnsi="Arial"/>
          <w:sz w:val="20"/>
        </w:rPr>
        <w:t xml:space="preserve"> </w:t>
      </w:r>
      <w:r>
        <w:rPr>
          <w:rFonts w:ascii="Arial" w:hAnsi="Arial"/>
          <w:sz w:val="20"/>
        </w:rPr>
        <w:t xml:space="preserve">is the cluster-robust standard error</w:t>
      </w:r>
      <w:r>
        <w:rPr>
          <w:rFonts w:ascii="Arial" w:hAnsi="Arial"/>
          <w:sz w:val="20"/>
        </w:rPr>
        <w:t xml:space="preserve"> </w:t>
      </w:r>
      <w:r>
        <w:rPr>
          <w:rFonts w:ascii="Arial" w:hAnsi="Arial"/>
          <w:sz w:val="20"/>
        </w:rPr>
        <w:t xml:space="preserve">recovered in §3.Y.3 (Module 05a). Results land in</w:t>
      </w:r>
      <w:r>
        <w:rPr>
          <w:rFonts w:ascii="Arial" w:hAnsi="Arial"/>
          <w:sz w:val="20"/>
        </w:rPr>
        <w:t xml:space="preserve"> </w:t>
      </w:r>
      <w:r>
        <w:rPr>
          <w:rStyle w:val="VerbatimChar"/>
          <w:rFonts w:ascii="Arial" w:hAnsi="Arial"/>
          <w:sz w:val="20"/>
        </w:rPr>
        <w:t xml:space="preserve">analysis/results/power_mde.csv</w:t>
      </w:r>
      <w:r>
        <w:rPr>
          <w:rFonts w:ascii="Arial" w:hAnsi="Arial"/>
          <w:sz w:val="20"/>
        </w:rPr>
        <w:t xml:space="preserve"> </w:t>
      </w:r>
      <w:r>
        <w:rPr>
          <w:rFonts w:ascii="Arial" w:hAnsi="Arial"/>
          <w:sz w:val="20"/>
        </w:rPr>
        <w:t xml:space="preserve">and Table S6.</w:t>
      </w:r>
    </w:p>
    <w:p>
      <w:pPr>
        <w:pStyle w:val="BodyText"/>
      </w:pPr>
      <w:r>
        <w:rPr>
          <w:rFonts w:ascii="Arial" w:hAnsi="Arial"/>
          <w:sz w:val="20"/>
        </w:rPr>
        <w:t xml:space="preserve">For the six cells in our specification the MDE ranges from</w:t>
      </w:r>
      <w:r>
        <w:rPr>
          <w:rFonts w:ascii="Arial" w:hAnsi="Arial"/>
          <w:sz w:val="20"/>
        </w:rPr>
        <w:t xml:space="preserve"> </w:t>
      </w:r>
      <w:r>
        <w:rPr>
          <w:rFonts w:ascii="Arial" w:hAnsi="Arial"/>
          <w:b/>
          <w:bCs/>
          <w:sz w:val="20"/>
        </w:rPr>
        <w:t xml:space="preserve">1.04 d</w:t>
      </w:r>
      <w:r>
        <w:rPr>
          <w:rFonts w:ascii="Arial" w:hAnsi="Arial"/>
          <w:sz w:val="20"/>
        </w:rPr>
        <w:t xml:space="preserve"> </w:t>
      </w:r>
      <w:r>
        <w:rPr>
          <w:rFonts w:ascii="Arial" w:hAnsi="Arial"/>
          <w:sz w:val="20"/>
        </w:rPr>
        <w:t xml:space="preserve">(raw / POS) to</w:t>
      </w:r>
      <w:r>
        <w:rPr>
          <w:rFonts w:ascii="Arial" w:hAnsi="Arial"/>
          <w:sz w:val="20"/>
        </w:rPr>
        <w:t xml:space="preserve"> </w:t>
      </w:r>
      <w:r>
        <w:rPr>
          <w:rFonts w:ascii="Arial" w:hAnsi="Arial"/>
          <w:b/>
          <w:bCs/>
          <w:sz w:val="20"/>
        </w:rPr>
        <w:t xml:space="preserve">2.49 d</w:t>
      </w:r>
      <w:r>
        <w:rPr>
          <w:rFonts w:ascii="Arial" w:hAnsi="Arial"/>
          <w:sz w:val="20"/>
        </w:rPr>
        <w:t xml:space="preserve"> </w:t>
      </w:r>
      <w:r>
        <w:rPr>
          <w:rFonts w:ascii="Arial" w:hAnsi="Arial"/>
          <w:sz w:val="20"/>
        </w:rPr>
        <w:t xml:space="preserve">(raw / SOS); five of six observed effects</w:t>
      </w:r>
      <w:r>
        <w:rPr>
          <w:rFonts w:ascii="Arial" w:hAnsi="Arial"/>
          <w:sz w:val="20"/>
        </w:rPr>
        <w:t xml:space="preserve"> </w:t>
      </w:r>
      <w:r>
        <w:rPr>
          <w:rFonts w:ascii="Arial" w:hAnsi="Arial"/>
          <w:sz w:val="20"/>
        </w:rPr>
        <w:t xml:space="preserve">exceed their MDE (</w:t>
      </w:r>
      <w:r>
        <w:rPr>
          <w:rStyle w:val="VerbatimChar"/>
          <w:rFonts w:ascii="Arial" w:hAnsi="Arial"/>
          <w:sz w:val="20"/>
        </w:rPr>
        <w:t xml:space="preserve">detectable = "yes"</w:t>
      </w:r>
      <w:r>
        <w:rPr>
          <w:rFonts w:ascii="Arial" w:hAnsi="Arial"/>
          <w:sz w:val="20"/>
        </w:rPr>
        <w:t xml:space="preserve">). The single cell that does not —</w:t>
      </w:r>
      <w:r>
        <w:rPr>
          <w:rFonts w:ascii="Arial" w:hAnsi="Arial"/>
          <w:sz w:val="20"/>
        </w:rPr>
        <w:t xml:space="preserve"> </w:t>
      </w:r>
      <w:r>
        <w:rPr>
          <w:rFonts w:ascii="Arial" w:hAnsi="Arial"/>
          <w:b/>
          <w:bCs/>
          <w:sz w:val="20"/>
        </w:rPr>
        <w:t xml:space="preserve">corrected / EOS, |τ̂| = 0.56 d vs MDE = 1.31 d</w:t>
      </w:r>
      <w:r>
        <w:rPr>
          <w:rFonts w:ascii="Arial" w:hAnsi="Arial"/>
          <w:sz w:val="20"/>
        </w:rPr>
        <w:t xml:space="preserve"> </w:t>
      </w:r>
      <w:r>
        <w:rPr>
          <w:rFonts w:ascii="Arial" w:hAnsi="Arial"/>
          <w:sz w:val="20"/>
        </w:rPr>
        <w:t xml:space="preserve">— is precisely the</w:t>
      </w:r>
      <w:r>
        <w:rPr>
          <w:rFonts w:ascii="Arial" w:hAnsi="Arial"/>
          <w:sz w:val="20"/>
        </w:rPr>
        <w:t xml:space="preserve"> </w:t>
      </w:r>
      <w:r>
        <w:rPr>
          <w:rFonts w:ascii="Arial" w:hAnsi="Arial"/>
          <w:sz w:val="20"/>
        </w:rPr>
        <w:t xml:space="preserve">cell our wild-cluster bootstrap fails to reject (p = 0.20, §3.Y.3).</w:t>
      </w:r>
      <w:r>
        <w:rPr>
          <w:rFonts w:ascii="Arial" w:hAnsi="Arial"/>
          <w:sz w:val="20"/>
        </w:rPr>
        <w:t xml:space="preserve"> </w:t>
      </w:r>
      <w:r>
        <w:rPr>
          <w:rFonts w:ascii="Arial" w:hAnsi="Arial"/>
          <w:sz w:val="20"/>
        </w:rPr>
        <w:t xml:space="preserve">Power and inference therefore tell the same story.</w:t>
      </w:r>
    </w:p>
    <w:bookmarkEnd w:id="20"/>
    <w:bookmarkStart w:id="21" w:name="y.4.2-power-curves-monte-carlo"/>
    <w:p>
      <w:pPr>
        <w:pStyle w:val="Heading2"/>
      </w:pPr>
      <w:r>
        <w:rPr>
          <w:rFonts w:ascii="Arial" w:hAnsi="Arial"/>
        </w:rPr>
        <w:t xml:space="preserve">3.Y.4.2 Power curves (Monte-Carlo)</w:t>
      </w:r>
    </w:p>
    <w:p>
      <w:pPr>
        <w:pStyle w:val="FirstParagraph"/>
      </w:pPr>
      <w:r>
        <w:rPr>
          <w:rFonts w:ascii="Arial" w:hAnsi="Arial"/>
          <w:sz w:val="20"/>
        </w:rPr>
        <w:t xml:space="preserve">To map sensitivity to the cluster count itself, we simulate the data-</w:t>
      </w:r>
      <w:r>
        <w:rPr>
          <w:rFonts w:ascii="Arial" w:hAnsi="Arial"/>
          <w:sz w:val="20"/>
        </w:rPr>
        <w:t xml:space="preserve"> </w:t>
      </w:r>
      <w:r>
        <w:rPr>
          <w:rFonts w:ascii="Arial" w:hAnsi="Arial"/>
          <w:sz w:val="20"/>
        </w:rPr>
        <w:t xml:space="preserve">generating process</w:t>
      </w:r>
    </w:p>
    <w:p>
      <w:pPr>
        <w:pStyle w:val="BodyText"/>
      </w:pPr>
      <m:oMathPara>
        <m:oMathParaPr>
          <m:jc m:val="center"/>
        </m:oMathParaPr>
        <m:oMath>
          <m:sSub>
            <m:e>
              <m:r>
                <m:t>y</m:t>
              </m:r>
            </m:e>
            <m:sub>
              <m:r>
                <m:t>i</m:t>
              </m:r>
              <m:r>
                <m:t>t</m:t>
              </m:r>
            </m:sub>
          </m:sSub>
          <m:r>
            <m:t> </m:t>
          </m:r>
          <m:r>
            <m:rPr>
              <m:sty m:val="p"/>
            </m:rPr>
            <m:t>=</m:t>
          </m:r>
          <m:r>
            <m:t> </m:t>
          </m:r>
          <m:sSub>
            <m:e>
              <m:r>
                <m:t>α</m:t>
              </m:r>
            </m:e>
            <m:sub>
              <m:r>
                <m:t>i</m:t>
              </m:r>
            </m:sub>
          </m:sSub>
          <m:r>
            <m:rPr>
              <m:sty m:val="p"/>
            </m:rPr>
            <m:t>+</m:t>
          </m:r>
          <m:sSub>
            <m:e>
              <m:r>
                <m:t>δ</m:t>
              </m:r>
            </m:e>
            <m:sub>
              <m:r>
                <m:t>t</m:t>
              </m:r>
            </m:sub>
          </m:sSub>
          <m:r>
            <m:rPr>
              <m:sty m:val="p"/>
            </m:rPr>
            <m:t>+</m:t>
          </m:r>
          <m:r>
            <m:t>τ</m:t>
          </m:r>
          <m:r>
            <m:rPr>
              <m:sty m:val="p"/>
            </m:rPr>
            <m:t>⋅</m:t>
          </m:r>
          <m:sSub>
            <m:e>
              <m:r>
                <m:t>D</m:t>
              </m:r>
            </m:e>
            <m:sub>
              <m:r>
                <m:t>i</m:t>
              </m:r>
              <m:r>
                <m:t>t</m:t>
              </m:r>
            </m:sub>
          </m:sSub>
          <m:r>
            <m:rPr>
              <m:sty m:val="p"/>
            </m:rPr>
            <m:t>+</m:t>
          </m:r>
          <m:sSub>
            <m:e>
              <m:r>
                <m:t>ε</m:t>
              </m:r>
            </m:e>
            <m:sub>
              <m:r>
                <m:t>i</m:t>
              </m:r>
              <m:r>
                <m:t>t</m:t>
              </m:r>
            </m:sub>
          </m:sSub>
          <m:r>
            <m:rPr>
              <m:sty m:val="p"/>
            </m:rPr>
            <m:t>,</m:t>
          </m:r>
        </m:oMath>
      </m:oMathPara>
    </w:p>
    <w:p>
      <w:pPr>
        <w:pStyle w:val="FirstParagraph"/>
      </w:pPr>
      <w:r>
        <w:rPr>
          <w:rFonts w:ascii="Arial" w:hAnsi="Arial"/>
          <w:sz w:val="20"/>
        </w:rPr>
        <w:t xml:space="preserve">with district FE</w:t>
      </w:r>
      <w:r>
        <w:rPr>
          <w:rFonts w:ascii="Arial" w:hAnsi="Arial"/>
          <w:sz w:val="20"/>
        </w:rPr>
        <w:t xml:space="preserve"> </w:t>
      </w:r>
      <m:oMath>
        <m:sSub>
          <m:e>
            <m:r>
              <m:t>α</m:t>
            </m:r>
          </m:e>
          <m:sub>
            <m:r>
              <m:t>i</m:t>
            </m:r>
          </m:sub>
        </m:sSub>
        <m:r>
          <m:t>​</m:t>
        </m:r>
        <m:r>
          <m:rPr>
            <m:sty m:val="p"/>
          </m:rPr>
          <m:t>∼</m:t>
        </m:r>
        <m:r>
          <m:t>​</m:t>
        </m:r>
        <m:r>
          <m:t>N</m:t>
        </m:r>
        <m:d>
          <m:dPr>
            <m:begChr m:val="("/>
            <m:endChr m:val=")"/>
            <m:sepChr m:val=""/>
            <m:grow/>
          </m:dPr>
          <m:e>
            <m:r>
              <m:t>0</m:t>
            </m:r>
            <m:r>
              <m:rPr>
                <m:sty m:val="p"/>
              </m:rPr>
              <m:t>,</m:t>
            </m:r>
            <m:sSubSup>
              <m:e>
                <m:r>
                  <m:t>σ</m:t>
                </m:r>
              </m:e>
              <m:sub>
                <m:r>
                  <m:t>u</m:t>
                </m:r>
              </m:sub>
              <m:sup>
                <m:r>
                  <m:t>2</m:t>
                </m:r>
              </m:sup>
            </m:sSubSup>
          </m:e>
        </m:d>
      </m:oMath>
      <w:r>
        <w:rPr>
          <w:rFonts w:ascii="Arial" w:hAnsi="Arial"/>
          <w:sz w:val="20"/>
        </w:rPr>
        <w:t xml:space="preserve"> </w:t>
      </w:r>
      <w:r>
        <w:rPr>
          <w:rFonts w:ascii="Arial" w:hAnsi="Arial"/>
          <w:sz w:val="20"/>
        </w:rPr>
        <w:t xml:space="preserve">(</w:t>
      </w:r>
      <m:oMath>
        <m:sSub>
          <m:e>
            <m:r>
              <m:t>σ</m:t>
            </m:r>
          </m:e>
          <m:sub>
            <m:r>
              <m:t>u</m:t>
            </m:r>
          </m:sub>
        </m:sSub>
        <m:r>
          <m:rPr>
            <m:sty m:val="p"/>
          </m:rPr>
          <m:t>=</m:t>
        </m:r>
        <m:r>
          <m:t>13.06</m:t>
        </m:r>
      </m:oMath>
      <w:r>
        <w:rPr>
          <w:rFonts w:ascii="Arial" w:hAnsi="Arial"/>
          <w:sz w:val="20"/>
        </w:rPr>
        <w:t xml:space="preserve"> </w:t>
      </w:r>
      <w:r>
        <w:rPr>
          <w:rFonts w:ascii="Arial" w:hAnsi="Arial"/>
          <w:sz w:val="20"/>
        </w:rPr>
        <w:t xml:space="preserve">d),</w:t>
      </w:r>
      <w:r>
        <w:rPr>
          <w:rFonts w:ascii="Arial" w:hAnsi="Arial"/>
          <w:sz w:val="20"/>
        </w:rPr>
        <w:t xml:space="preserve"> </w:t>
      </w:r>
      <w:r>
        <w:rPr>
          <w:rFonts w:ascii="Arial" w:hAnsi="Arial"/>
          <w:sz w:val="20"/>
        </w:rPr>
        <w:t xml:space="preserve">year FE</w:t>
      </w:r>
      <w:r>
        <w:rPr>
          <w:rFonts w:ascii="Arial" w:hAnsi="Arial"/>
          <w:sz w:val="20"/>
        </w:rPr>
        <w:t xml:space="preserve"> </w:t>
      </w:r>
      <m:oMath>
        <m:sSub>
          <m:e>
            <m:r>
              <m:t>δ</m:t>
            </m:r>
          </m:e>
          <m:sub>
            <m:r>
              <m:t>t</m:t>
            </m:r>
          </m:sub>
        </m:sSub>
        <m:r>
          <m:t>​</m:t>
        </m:r>
        <m:r>
          <m:rPr>
            <m:sty m:val="p"/>
          </m:rPr>
          <m:t>∼</m:t>
        </m:r>
        <m:r>
          <m:t>​</m:t>
        </m:r>
        <m:r>
          <m:t>N</m:t>
        </m:r>
        <m:d>
          <m:dPr>
            <m:begChr m:val="("/>
            <m:endChr m:val=")"/>
            <m:sepChr m:val=""/>
            <m:grow/>
          </m:dPr>
          <m:e>
            <m:r>
              <m:t>0</m:t>
            </m:r>
            <m:r>
              <m:rPr>
                <m:sty m:val="p"/>
              </m:rPr>
              <m:t>,</m:t>
            </m:r>
            <m:sSubSup>
              <m:e>
                <m:r>
                  <m:t>σ</m:t>
                </m:r>
              </m:e>
              <m:sub>
                <m:r>
                  <m:t>t</m:t>
                </m:r>
              </m:sub>
              <m:sup>
                <m:r>
                  <m:t>2</m:t>
                </m:r>
              </m:sup>
            </m:sSubSup>
          </m:e>
        </m:d>
      </m:oMath>
      <w:r>
        <w:rPr>
          <w:rFonts w:ascii="Arial" w:hAnsi="Arial"/>
          <w:sz w:val="20"/>
        </w:rPr>
        <w:t xml:space="preserve"> </w:t>
      </w:r>
      <w:r>
        <w:rPr>
          <w:rFonts w:ascii="Arial" w:hAnsi="Arial"/>
          <w:sz w:val="20"/>
        </w:rPr>
        <w:t xml:space="preserve">(</w:t>
      </w:r>
      <m:oMath>
        <m:sSub>
          <m:e>
            <m:r>
              <m:t>σ</m:t>
            </m:r>
          </m:e>
          <m:sub>
            <m:r>
              <m:t>t</m:t>
            </m:r>
          </m:sub>
        </m:sSub>
        <m:r>
          <m:rPr>
            <m:sty m:val="p"/>
          </m:rPr>
          <m:t>=</m:t>
        </m:r>
        <m:r>
          <m:t>41.75</m:t>
        </m:r>
      </m:oMath>
      <w:r>
        <w:rPr>
          <w:rFonts w:ascii="Arial" w:hAnsi="Arial"/>
          <w:sz w:val="20"/>
        </w:rPr>
        <w:t xml:space="preserve"> </w:t>
      </w:r>
      <w:r>
        <w:rPr>
          <w:rFonts w:ascii="Arial" w:hAnsi="Arial"/>
          <w:sz w:val="20"/>
        </w:rPr>
        <w:t xml:space="preserve">d), and</w:t>
      </w:r>
      <w:r>
        <w:rPr>
          <w:rFonts w:ascii="Arial" w:hAnsi="Arial"/>
          <w:sz w:val="20"/>
        </w:rPr>
        <w:t xml:space="preserve"> </w:t>
      </w:r>
      <w:r>
        <w:rPr>
          <w:rFonts w:ascii="Arial" w:hAnsi="Arial"/>
          <w:sz w:val="20"/>
        </w:rPr>
        <w:t xml:space="preserve">idiosyncratic noise</w:t>
      </w:r>
      <w:r>
        <w:rPr>
          <w:rFonts w:ascii="Arial" w:hAnsi="Arial"/>
          <w:sz w:val="20"/>
        </w:rPr>
        <w:t xml:space="preserve"> </w:t>
      </w:r>
      <m:oMath>
        <m:sSub>
          <m:e>
            <m:r>
              <m:t>ε</m:t>
            </m:r>
          </m:e>
          <m:sub>
            <m:r>
              <m:t>i</m:t>
            </m:r>
            <m:r>
              <m:t>t</m:t>
            </m:r>
          </m:sub>
        </m:sSub>
        <m:r>
          <m:t>​</m:t>
        </m:r>
        <m:r>
          <m:rPr>
            <m:sty m:val="p"/>
          </m:rPr>
          <m:t>∼</m:t>
        </m:r>
        <m:r>
          <m:t>​</m:t>
        </m:r>
        <m:r>
          <m:t>N</m:t>
        </m:r>
        <m:d>
          <m:dPr>
            <m:begChr m:val="("/>
            <m:endChr m:val=")"/>
            <m:sepChr m:val=""/>
            <m:grow/>
          </m:dPr>
          <m:e>
            <m:r>
              <m:t>0</m:t>
            </m:r>
            <m:r>
              <m:rPr>
                <m:sty m:val="p"/>
              </m:rPr>
              <m:t>,</m:t>
            </m:r>
            <m:sSubSup>
              <m:e>
                <m:r>
                  <m:t>σ</m:t>
                </m:r>
              </m:e>
              <m:sub>
                <m:r>
                  <m:t>ε</m:t>
                </m:r>
              </m:sub>
              <m:sup>
                <m:r>
                  <m:t>2</m:t>
                </m:r>
              </m:sup>
            </m:sSubSup>
          </m:e>
        </m:d>
      </m:oMath>
      <w:r>
        <w:rPr>
          <w:rFonts w:ascii="Arial" w:hAnsi="Arial"/>
          <w:sz w:val="20"/>
        </w:rPr>
        <w:t xml:space="preserve"> </w:t>
      </w:r>
      <w:r>
        <w:rPr>
          <w:rFonts w:ascii="Arial" w:hAnsi="Arial"/>
          <w:sz w:val="20"/>
        </w:rPr>
        <w:t xml:space="preserve">(</w:t>
      </w:r>
      <m:oMath>
        <m:sSub>
          <m:e>
            <m:r>
              <m:t>σ</m:t>
            </m:r>
          </m:e>
          <m:sub>
            <m:r>
              <m:t>ε</m:t>
            </m:r>
          </m:sub>
        </m:sSub>
        <m:r>
          <m:rPr>
            <m:sty m:val="p"/>
          </m:rPr>
          <m:t>=</m:t>
        </m:r>
        <m:r>
          <m:t>31.28</m:t>
        </m:r>
      </m:oMath>
      <w:r>
        <w:rPr>
          <w:rFonts w:ascii="Arial" w:hAnsi="Arial"/>
          <w:sz w:val="20"/>
        </w:rPr>
        <w:t xml:space="preserve"> </w:t>
      </w:r>
      <w:r>
        <w:rPr>
          <w:rFonts w:ascii="Arial" w:hAnsi="Arial"/>
          <w:sz w:val="20"/>
        </w:rPr>
        <w:t xml:space="preserve">d). Variance components are</w:t>
      </w:r>
      <w:r>
        <w:rPr>
          <w:rFonts w:ascii="Arial" w:hAnsi="Arial"/>
          <w:sz w:val="20"/>
        </w:rPr>
        <w:t xml:space="preserve"> </w:t>
      </w:r>
      <w:r>
        <w:rPr>
          <w:rFonts w:ascii="Arial" w:hAnsi="Arial"/>
          <w:b/>
          <w:bCs/>
          <w:sz w:val="20"/>
        </w:rPr>
        <w:t xml:space="preserve">empirical</w:t>
      </w:r>
      <w:r>
        <w:rPr>
          <w:rFonts w:ascii="Arial" w:hAnsi="Arial"/>
          <w:b/>
          <w:bCs/>
          <w:sz w:val="20"/>
        </w:rPr>
        <w:t xml:space="preserve"> </w:t>
      </w:r>
      <w:r>
        <w:rPr>
          <w:rFonts w:ascii="Arial" w:hAnsi="Arial"/>
          <w:b/>
          <w:bCs/>
          <w:sz w:val="20"/>
        </w:rPr>
        <w:t xml:space="preserve">point estimates</w:t>
      </w:r>
      <w:r>
        <w:rPr>
          <w:rFonts w:ascii="Arial" w:hAnsi="Arial"/>
          <w:sz w:val="20"/>
        </w:rPr>
        <w:t xml:space="preserve"> </w:t>
      </w:r>
      <w:r>
        <w:rPr>
          <w:rFonts w:ascii="Arial" w:hAnsi="Arial"/>
          <w:sz w:val="20"/>
        </w:rPr>
        <w:t xml:space="preserve">obtained from a two-way fixed-effects decomposition of</w:t>
      </w:r>
      <w:r>
        <w:rPr>
          <w:rFonts w:ascii="Arial" w:hAnsi="Arial"/>
          <w:sz w:val="20"/>
        </w:rPr>
        <w:t xml:space="preserve"> </w:t>
      </w:r>
      <w:r>
        <w:rPr>
          <w:rFonts w:ascii="Arial" w:hAnsi="Arial"/>
          <w:sz w:val="20"/>
        </w:rPr>
        <w:t xml:space="preserve">the real v2.1 corrected-SOS panel (</w:t>
      </w:r>
      <w:r>
        <w:rPr>
          <w:rStyle w:val="VerbatimChar"/>
          <w:rFonts w:ascii="Arial" w:hAnsi="Arial"/>
          <w:sz w:val="20"/>
        </w:rPr>
        <w:t xml:space="preserve">analysis/17_estimate_panel_variance_components.py</w:t>
      </w:r>
      <w:r>
        <w:rPr>
          <w:rFonts w:ascii="Arial" w:hAnsi="Arial"/>
          <w:sz w:val="20"/>
        </w:rPr>
        <w:t xml:space="preserve">;</w:t>
      </w:r>
      <w:r>
        <w:rPr>
          <w:rFonts w:ascii="Arial" w:hAnsi="Arial"/>
          <w:sz w:val="20"/>
        </w:rPr>
        <w:t xml:space="preserve"> </w:t>
      </w:r>
      <w:r>
        <w:rPr>
          <w:rFonts w:ascii="Arial" w:hAnsi="Arial"/>
          <w:sz w:val="20"/>
        </w:rPr>
        <w:t xml:space="preserve">output</w:t>
      </w:r>
      <w:r>
        <w:rPr>
          <w:rFonts w:ascii="Arial" w:hAnsi="Arial"/>
          <w:sz w:val="20"/>
        </w:rPr>
        <w:t xml:space="preserve"> </w:t>
      </w:r>
      <w:r>
        <w:rPr>
          <w:rStyle w:val="VerbatimChar"/>
          <w:rFonts w:ascii="Arial" w:hAnsi="Arial"/>
          <w:sz w:val="20"/>
        </w:rPr>
        <w:t xml:space="preserve">analysis/results/real_v21/variance_components_real_v21.csv</w:t>
      </w:r>
      <w:r>
        <w:rPr>
          <w:rFonts w:ascii="Arial" w:hAnsi="Arial"/>
          <w:sz w:val="20"/>
        </w:rPr>
        <w:t xml:space="preserve">):</w:t>
      </w:r>
      <w:r>
        <w:rPr>
          <w:rFonts w:ascii="Arial" w:hAnsi="Arial"/>
          <w:sz w:val="20"/>
        </w:rPr>
        <w:t xml:space="preserve"> </w:t>
      </w:r>
      <w:r>
        <w:rPr>
          <w:rFonts w:ascii="Arial" w:hAnsi="Arial"/>
          <w:sz w:val="20"/>
        </w:rPr>
        <w:t xml:space="preserve">district means and year means are removed sequentially with</w:t>
      </w:r>
      <w:r>
        <w:rPr>
          <w:rFonts w:ascii="Arial" w:hAnsi="Arial"/>
          <w:sz w:val="20"/>
        </w:rPr>
        <w:t xml:space="preserve"> </w:t>
      </w:r>
      <w:r>
        <w:rPr>
          <w:rStyle w:val="VerbatimChar"/>
          <w:rFonts w:ascii="Arial" w:hAnsi="Arial"/>
          <w:sz w:val="20"/>
        </w:rPr>
        <w:t xml:space="preserve">ddof=1</w:t>
      </w:r>
      <w:r>
        <w:rPr>
          <w:rFonts w:ascii="Arial" w:hAnsi="Arial"/>
          <w:sz w:val="20"/>
        </w:rPr>
        <w:t xml:space="preserve"> </w:t>
      </w:r>
      <w:r>
        <w:rPr>
          <w:rFonts w:ascii="Arial" w:hAnsi="Arial"/>
          <w:sz w:val="20"/>
        </w:rPr>
        <w:t xml:space="preserve">and</w:t>
      </w:r>
      <w:r>
        <w:rPr>
          <w:rFonts w:ascii="Arial" w:hAnsi="Arial"/>
          <w:sz w:val="20"/>
        </w:rPr>
        <w:t xml:space="preserve"> </w:t>
      </w:r>
      <w:r>
        <w:rPr>
          <w:rFonts w:ascii="Arial" w:hAnsi="Arial"/>
          <w:sz w:val="20"/>
        </w:rPr>
        <w:t xml:space="preserve">the residual variance gives</w:t>
      </w:r>
      <w:r>
        <w:rPr>
          <w:rFonts w:ascii="Arial" w:hAnsi="Arial"/>
          <w:sz w:val="20"/>
        </w:rPr>
        <w:t xml:space="preserve"> </w:t>
      </w:r>
      <m:oMath>
        <m:sSubSup>
          <m:e>
            <m:r>
              <m:t>σ</m:t>
            </m:r>
          </m:e>
          <m:sub>
            <m:r>
              <m:t>ε</m:t>
            </m:r>
          </m:sub>
          <m:sup>
            <m:r>
              <m:t>2</m:t>
            </m:r>
          </m:sup>
        </m:sSubSup>
      </m:oMath>
      <w:r>
        <w:rPr>
          <w:rFonts w:ascii="Arial" w:hAnsi="Arial"/>
          <w:sz w:val="20"/>
        </w:rPr>
        <w:t xml:space="preserve">. No synthetic or</w:t>
      </w:r>
      <w:r>
        <w:rPr>
          <w:rFonts w:ascii="Arial" w:hAnsi="Arial"/>
          <w:sz w:val="20"/>
        </w:rPr>
        <w:t xml:space="preserve"> </w:t>
      </w:r>
      <w:r>
        <w:rPr>
          <w:rFonts w:ascii="Arial" w:hAnsi="Arial"/>
          <w:sz w:val="20"/>
        </w:rPr>
        <w:t xml:space="preserve">literature-derived values enter the simulator.</w:t>
      </w:r>
      <w:r>
        <w:rPr>
          <w:rFonts w:ascii="Arial" w:hAnsi="Arial"/>
          <w:sz w:val="20"/>
        </w:rPr>
        <w:t xml:space="preserve"> </w:t>
      </w:r>
      <w:r>
        <w:rPr>
          <w:rFonts w:ascii="Arial" w:hAnsi="Arial"/>
          <w:sz w:val="20"/>
        </w:rPr>
        <w:t xml:space="preserve">Half the districts are treated, with the post-period covering the</w:t>
      </w:r>
      <w:r>
        <w:rPr>
          <w:rFonts w:ascii="Arial" w:hAnsi="Arial"/>
          <w:sz w:val="20"/>
        </w:rPr>
        <w:t xml:space="preserve"> </w:t>
      </w:r>
      <w:r>
        <w:rPr>
          <w:rFonts w:ascii="Arial" w:hAnsi="Arial"/>
          <w:sz w:val="20"/>
        </w:rPr>
        <w:t xml:space="preserve">second half of T = 8 years. We test</w:t>
      </w:r>
      <w:r>
        <w:rPr>
          <w:rFonts w:ascii="Arial" w:hAnsi="Arial"/>
          <w:sz w:val="20"/>
        </w:rPr>
        <w:t xml:space="preserve"> </w:t>
      </w:r>
      <m:oMath>
        <m:sSub>
          <m:e>
            <m:r>
              <m:t>H</m:t>
            </m:r>
          </m:e>
          <m:sub>
            <m:r>
              <m:t>0</m:t>
            </m:r>
          </m:sub>
        </m:sSub>
        <m:r>
          <m:t>​</m:t>
        </m:r>
        <m:r>
          <m:rPr>
            <m:sty m:val="p"/>
          </m:rPr>
          <m:t>:</m:t>
        </m:r>
        <m:r>
          <m:t> </m:t>
        </m:r>
        <m:r>
          <m:t>τ</m:t>
        </m:r>
        <m:r>
          <m:rPr>
            <m:sty m:val="p"/>
          </m:rPr>
          <m:t>=</m:t>
        </m:r>
        <m:r>
          <m:t>0</m:t>
        </m:r>
      </m:oMath>
      <w:r>
        <w:rPr>
          <w:rFonts w:ascii="Arial" w:hAnsi="Arial"/>
          <w:sz w:val="20"/>
        </w:rPr>
        <w:t xml:space="preserve"> </w:t>
      </w:r>
      <w:r>
        <w:rPr>
          <w:rFonts w:ascii="Arial" w:hAnsi="Arial"/>
          <w:sz w:val="20"/>
        </w:rPr>
        <w:t xml:space="preserve">using OLS with</w:t>
      </w:r>
      <w:r>
        <w:rPr>
          <w:rFonts w:ascii="Arial" w:hAnsi="Arial"/>
          <w:sz w:val="20"/>
        </w:rPr>
        <w:t xml:space="preserve"> </w:t>
      </w:r>
      <w:r>
        <w:rPr>
          <w:rFonts w:ascii="Arial" w:hAnsi="Arial"/>
          <w:sz w:val="20"/>
        </w:rPr>
        <w:t xml:space="preserve">CR1-corrected cluster-robust SE on G clusters and a t-test at df = G−1.</w:t>
      </w:r>
    </w:p>
    <w:p>
      <w:pPr>
        <w:pStyle w:val="BodyText"/>
      </w:pPr>
      <w:r>
        <w:rPr>
          <w:rFonts w:ascii="Arial" w:hAnsi="Arial"/>
          <w:sz w:val="20"/>
        </w:rPr>
        <w:t xml:space="preserve">For each (G, τ) grid point we run R = 999 replications and report the</w:t>
      </w:r>
      <w:r>
        <w:rPr>
          <w:rFonts w:ascii="Arial" w:hAnsi="Arial"/>
          <w:sz w:val="20"/>
        </w:rPr>
        <w:t xml:space="preserve"> </w:t>
      </w:r>
      <w:r>
        <w:rPr>
          <w:rFonts w:ascii="Arial" w:hAnsi="Arial"/>
          <w:sz w:val="20"/>
        </w:rPr>
        <w:t xml:space="preserve">empirical rejection rate. Grid: τ ∈ {0, 5, 10, 15, 20, 30, 40, 60, 80, 100} d,</w:t>
      </w:r>
      <w:r>
        <w:rPr>
          <w:rFonts w:ascii="Arial" w:hAnsi="Arial"/>
          <w:sz w:val="20"/>
        </w:rPr>
        <w:t xml:space="preserve"> </w:t>
      </w:r>
      <w:r>
        <w:rPr>
          <w:rFonts w:ascii="Arial" w:hAnsi="Arial"/>
          <w:sz w:val="20"/>
        </w:rPr>
        <w:t xml:space="preserve">G ∈ {4, 6, 8, 12}.</w:t>
      </w:r>
      <w:r>
        <w:rPr>
          <w:rFonts w:ascii="Arial" w:hAnsi="Arial"/>
          <w:sz w:val="20"/>
        </w:rPr>
        <w:t xml:space="preserve"> </w:t>
      </w:r>
      <w:r>
        <w:rPr>
          <w:rFonts w:ascii="Arial" w:hAnsi="Arial"/>
          <w:sz w:val="20"/>
        </w:rPr>
        <w:t xml:space="preserve">Results in</w:t>
      </w:r>
      <w:r>
        <w:rPr>
          <w:rFonts w:ascii="Arial" w:hAnsi="Arial"/>
          <w:sz w:val="20"/>
        </w:rPr>
        <w:t xml:space="preserve"> </w:t>
      </w:r>
      <w:r>
        <w:rPr>
          <w:rStyle w:val="VerbatimChar"/>
          <w:rFonts w:ascii="Arial" w:hAnsi="Arial"/>
          <w:sz w:val="20"/>
        </w:rPr>
        <w:t xml:space="preserve">analysis/results/power_curves.csv</w:t>
      </w:r>
      <w:r>
        <w:rPr>
          <w:rFonts w:ascii="Arial" w:hAnsi="Arial"/>
          <w:sz w:val="20"/>
        </w:rPr>
        <w:t xml:space="preserve">; visualisation in</w:t>
      </w:r>
      <w:r>
        <w:rPr>
          <w:rFonts w:ascii="Arial" w:hAnsi="Arial"/>
          <w:sz w:val="20"/>
        </w:rPr>
        <w:t xml:space="preserve"> </w:t>
      </w:r>
      <w:r>
        <w:rPr>
          <w:rFonts w:ascii="Arial" w:hAnsi="Arial"/>
          <w:b/>
          <w:bCs/>
          <w:sz w:val="20"/>
        </w:rPr>
        <w:t xml:space="preserve">Figure 5</w:t>
      </w:r>
      <w:r>
        <w:rPr>
          <w:rFonts w:ascii="Arial" w:hAnsi="Arial"/>
          <w:sz w:val="20"/>
        </w:rPr>
        <w:t xml:space="preserve"> </w:t>
      </w:r>
      <w:r>
        <w:rPr>
          <w:rFonts w:ascii="Arial" w:hAnsi="Arial"/>
          <w:sz w:val="20"/>
        </w:rPr>
        <w:t xml:space="preserve">(</w:t>
      </w:r>
      <w:r>
        <w:rPr>
          <w:rStyle w:val="VerbatimChar"/>
          <w:rFonts w:ascii="Arial" w:hAnsi="Arial"/>
          <w:sz w:val="20"/>
        </w:rPr>
        <w:t xml:space="preserve">figures/fig5_power_curves.pdf</w:t>
      </w:r>
      <w:r>
        <w:rPr>
          <w:rFonts w:ascii="Arial" w:hAnsi="Arial"/>
          <w:sz w:val="20"/>
        </w:rPr>
        <w:t xml:space="preserve">).</w:t>
      </w:r>
    </w:p>
    <w:p>
      <w:pPr>
        <w:pStyle w:val="BodyText"/>
      </w:pPr>
      <w:r>
        <w:rPr>
          <w:rFonts w:ascii="Arial" w:hAnsi="Arial"/>
          <w:sz w:val="20"/>
        </w:rPr>
        <w:t xml:space="preserve">Findings (real-σ simulator):</w:t>
      </w:r>
      <w:r>
        <w:rPr>
          <w:rFonts w:ascii="Arial" w:hAnsi="Arial"/>
          <w:sz w:val="20"/>
        </w:rPr>
        <w:t xml:space="preserve"> </w:t>
      </w:r>
      <w:r>
        <w:rPr>
          <w:rFonts w:ascii="Arial" w:hAnsi="Arial"/>
          <w:sz w:val="20"/>
        </w:rPr>
        <w:t xml:space="preserve">-</w:t>
      </w:r>
      <w:r>
        <w:rPr>
          <w:rFonts w:ascii="Arial" w:hAnsi="Arial"/>
          <w:sz w:val="20"/>
        </w:rPr>
        <w:t xml:space="preserve"> </w:t>
      </w:r>
      <w:r>
        <w:rPr>
          <w:rFonts w:ascii="Arial" w:hAnsi="Arial"/>
          <w:b/>
          <w:bCs/>
          <w:sz w:val="20"/>
        </w:rPr>
        <w:t xml:space="preserve">At G = 8 (this study)</w:t>
      </w:r>
      <w:r>
        <w:rPr>
          <w:rFonts w:ascii="Arial" w:hAnsi="Arial"/>
          <w:sz w:val="20"/>
        </w:rPr>
        <w:t xml:space="preserve">: power 0.80 is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reached until</w:t>
      </w:r>
      <w:r>
        <w:rPr>
          <w:rFonts w:ascii="Arial" w:hAnsi="Arial"/>
          <w:sz w:val="20"/>
        </w:rPr>
        <w:t xml:space="preserve"> </w:t>
      </w:r>
      <w:r>
        <w:rPr>
          <w:rFonts w:ascii="Arial" w:hAnsi="Arial"/>
          <w:sz w:val="20"/>
        </w:rPr>
        <w:t xml:space="preserve">τ ≈ 60 d — a far larger MDE than the previous synthetic-σ analysis</w:t>
      </w:r>
      <w:r>
        <w:rPr>
          <w:rFonts w:ascii="Arial" w:hAnsi="Arial"/>
          <w:sz w:val="20"/>
        </w:rPr>
        <w:t xml:space="preserve"> </w:t>
      </w:r>
      <w:r>
        <w:rPr>
          <w:rFonts w:ascii="Arial" w:hAnsi="Arial"/>
          <w:sz w:val="20"/>
        </w:rPr>
        <w:t xml:space="preserve">had implied, because the empirical idiosyncratic SD (σ_ε ≈ 31 d) and</w:t>
      </w:r>
      <w:r>
        <w:rPr>
          <w:rFonts w:ascii="Arial" w:hAnsi="Arial"/>
          <w:sz w:val="20"/>
        </w:rPr>
        <w:t xml:space="preserve"> </w:t>
      </w:r>
      <w:r>
        <w:rPr>
          <w:rFonts w:ascii="Arial" w:hAnsi="Arial"/>
          <w:sz w:val="20"/>
        </w:rPr>
        <w:t xml:space="preserve">year-FE SD (σ_t ≈ 42 d) are an order of magnitude larger than the</w:t>
      </w:r>
      <w:r>
        <w:rPr>
          <w:rFonts w:ascii="Arial" w:hAnsi="Arial"/>
          <w:sz w:val="20"/>
        </w:rPr>
        <w:t xml:space="preserve"> </w:t>
      </w:r>
      <w:r>
        <w:rPr>
          <w:rFonts w:ascii="Arial" w:hAnsi="Arial"/>
          <w:sz w:val="20"/>
        </w:rPr>
        <w:t xml:space="preserve">earlier hand-set values. The type-I rate under</w:t>
      </w:r>
      <w:r>
        <w:rPr>
          <w:rFonts w:ascii="Arial" w:hAnsi="Arial"/>
          <w:sz w:val="20"/>
        </w:rPr>
        <w:t xml:space="preserve"> </w:t>
      </w:r>
      <m:oMath>
        <m:sSub>
          <m:e>
            <m:r>
              <m:t>H</m:t>
            </m:r>
          </m:e>
          <m:sub>
            <m:r>
              <m:t>0</m:t>
            </m:r>
          </m:sub>
        </m:sSub>
      </m:oMath>
      <w:r>
        <w:rPr>
          <w:rFonts w:ascii="Arial" w:hAnsi="Arial"/>
          <w:sz w:val="20"/>
        </w:rPr>
        <w:t xml:space="preserve"> </w:t>
      </w:r>
      <w:r>
        <w:rPr>
          <w:rFonts w:ascii="Arial" w:hAnsi="Arial"/>
          <w:sz w:val="20"/>
        </w:rPr>
        <w:t xml:space="preserve">is 0.07</w:t>
      </w:r>
      <w:r>
        <w:rPr>
          <w:rFonts w:ascii="Arial" w:hAnsi="Arial"/>
          <w:sz w:val="20"/>
        </w:rPr>
        <w:t xml:space="preserve"> </w:t>
      </w:r>
      <w:r>
        <w:rPr>
          <w:rFonts w:ascii="Arial" w:hAnsi="Arial"/>
          <w:sz w:val="20"/>
        </w:rPr>
        <w:t xml:space="preserve">(close to nominal 0.05, indicating CR1 with df = G−1 is well-sized).</w:t>
      </w:r>
      <w:r>
        <w:rPr>
          <w:rFonts w:ascii="Arial" w:hAnsi="Arial"/>
          <w:sz w:val="20"/>
        </w:rPr>
        <w:t xml:space="preserve"> </w:t>
      </w:r>
      <w:r>
        <w:rPr>
          <w:rFonts w:ascii="Arial" w:hAnsi="Arial"/>
          <w:sz w:val="20"/>
        </w:rPr>
        <w:t xml:space="preserve">-</w:t>
      </w:r>
      <w:r>
        <w:rPr>
          <w:rFonts w:ascii="Arial" w:hAnsi="Arial"/>
          <w:sz w:val="20"/>
        </w:rPr>
        <w:t xml:space="preserve"> </w:t>
      </w:r>
      <w:r>
        <w:rPr>
          <w:rFonts w:ascii="Arial" w:hAnsi="Arial"/>
          <w:b/>
          <w:bCs/>
          <w:sz w:val="20"/>
        </w:rPr>
        <w:t xml:space="preserve">At G = 4 (counterfactual minimum)</w:t>
      </w:r>
      <w:r>
        <w:rPr>
          <w:rFonts w:ascii="Arial" w:hAnsi="Arial"/>
          <w:sz w:val="20"/>
        </w:rPr>
        <w:t xml:space="preserve">: 0.80 power not reached within</w:t>
      </w:r>
      <w:r>
        <w:rPr>
          <w:rFonts w:ascii="Arial" w:hAnsi="Arial"/>
          <w:sz w:val="20"/>
        </w:rPr>
        <w:t xml:space="preserve"> </w:t>
      </w:r>
      <w:r>
        <w:rPr>
          <w:rFonts w:ascii="Arial" w:hAnsi="Arial"/>
          <w:sz w:val="20"/>
        </w:rPr>
        <w:t xml:space="preserve">the τ ≤ 100 d grid.</w:t>
      </w:r>
      <w:r>
        <w:rPr>
          <w:rFonts w:ascii="Arial" w:hAnsi="Arial"/>
          <w:sz w:val="20"/>
        </w:rPr>
        <w:t xml:space="preserve"> </w:t>
      </w:r>
      <w:r>
        <w:rPr>
          <w:rFonts w:ascii="Arial" w:hAnsi="Arial"/>
          <w:sz w:val="20"/>
        </w:rPr>
        <w:t xml:space="preserve">-</w:t>
      </w:r>
      <w:r>
        <w:rPr>
          <w:rFonts w:ascii="Arial" w:hAnsi="Arial"/>
          <w:sz w:val="20"/>
        </w:rPr>
        <w:t xml:space="preserve"> </w:t>
      </w:r>
      <w:r>
        <w:rPr>
          <w:rFonts w:ascii="Arial" w:hAnsi="Arial"/>
          <w:b/>
          <w:bCs/>
          <w:sz w:val="20"/>
        </w:rPr>
        <w:t xml:space="preserve">At G = 12 (counterfactual roster)</w:t>
      </w:r>
      <w:r>
        <w:rPr>
          <w:rFonts w:ascii="Arial" w:hAnsi="Arial"/>
          <w:sz w:val="20"/>
        </w:rPr>
        <w:t xml:space="preserve">: 0.80 power reached at</w:t>
      </w:r>
      <w:r>
        <w:rPr>
          <w:rFonts w:ascii="Arial" w:hAnsi="Arial"/>
          <w:sz w:val="20"/>
        </w:rPr>
        <w:t xml:space="preserve"> </w:t>
      </w:r>
      <w:r>
        <w:rPr>
          <w:rFonts w:ascii="Arial" w:hAnsi="Arial"/>
          <w:sz w:val="20"/>
        </w:rPr>
        <w:t xml:space="preserve">τ ≈ 40 d — a useful upper bound for any future replication that</w:t>
      </w:r>
      <w:r>
        <w:rPr>
          <w:rFonts w:ascii="Arial" w:hAnsi="Arial"/>
          <w:sz w:val="20"/>
        </w:rPr>
        <w:t xml:space="preserve"> </w:t>
      </w:r>
      <w:r>
        <w:rPr>
          <w:rFonts w:ascii="Arial" w:hAnsi="Arial"/>
          <w:sz w:val="20"/>
        </w:rPr>
        <w:t xml:space="preserve">pools across state boundaries.</w:t>
      </w:r>
    </w:p>
    <w:p>
      <w:pPr>
        <w:pStyle w:val="BodyText"/>
      </w:pPr>
      <w:r>
        <w:rPr>
          <w:rFonts w:ascii="Arial" w:hAnsi="Arial"/>
          <w:sz w:val="20"/>
        </w:rPr>
        <w:t xml:space="preserve">Implication for the present manuscript: the 15.1 d τ̂_corrected_SOS</w:t>
      </w:r>
      <w:r>
        <w:rPr>
          <w:rFonts w:ascii="Arial" w:hAnsi="Arial"/>
          <w:sz w:val="20"/>
        </w:rPr>
        <w:t xml:space="preserve"> </w:t>
      </w:r>
      <w:r>
        <w:rPr>
          <w:rFonts w:ascii="Arial" w:hAnsi="Arial"/>
          <w:sz w:val="20"/>
        </w:rPr>
        <w:t xml:space="preserve">point estimate is</w:t>
      </w:r>
      <w:r>
        <w:rPr>
          <w:rFonts w:ascii="Arial" w:hAnsi="Arial"/>
          <w:sz w:val="20"/>
        </w:rPr>
        <w:t xml:space="preserve"> </w:t>
      </w:r>
      <w:r>
        <w:rPr>
          <w:rFonts w:ascii="Arial" w:hAnsi="Arial"/>
          <w:b/>
          <w:bCs/>
          <w:sz w:val="20"/>
        </w:rPr>
        <w:t xml:space="preserve">well below</w:t>
      </w:r>
      <w:r>
        <w:rPr>
          <w:rFonts w:ascii="Arial" w:hAnsi="Arial"/>
          <w:sz w:val="20"/>
        </w:rPr>
        <w:t xml:space="preserve"> </w:t>
      </w:r>
      <w:r>
        <w:rPr>
          <w:rFonts w:ascii="Arial" w:hAnsi="Arial"/>
          <w:sz w:val="20"/>
        </w:rPr>
        <w:t xml:space="preserve">the G = 8 / R = 999 MDE of ~60 d, so</w:t>
      </w:r>
      <w:r>
        <w:rPr>
          <w:rFonts w:ascii="Arial" w:hAnsi="Arial"/>
          <w:sz w:val="20"/>
        </w:rPr>
        <w:t xml:space="preserve"> </w:t>
      </w:r>
      <w:r>
        <w:rPr>
          <w:rFonts w:ascii="Arial" w:hAnsi="Arial"/>
          <w:sz w:val="20"/>
        </w:rPr>
        <w:t xml:space="preserve">the non-rejection (p = 0.38, WCR p = 0.41) is</w:t>
      </w:r>
      <w:r>
        <w:rPr>
          <w:rFonts w:ascii="Arial" w:hAnsi="Arial"/>
          <w:sz w:val="20"/>
        </w:rPr>
        <w:t xml:space="preserve"> </w:t>
      </w:r>
      <w:r>
        <w:rPr>
          <w:rFonts w:ascii="Arial" w:hAnsi="Arial"/>
          <w:b/>
          <w:bCs/>
          <w:sz w:val="20"/>
        </w:rPr>
        <w:t xml:space="preserve">inferentially expected</w:t>
      </w:r>
      <w:r>
        <w:rPr>
          <w:rFonts w:ascii="Arial" w:hAnsi="Arial"/>
          <w:sz w:val="20"/>
        </w:rPr>
        <w:t xml:space="preserve"> </w:t>
      </w:r>
      <w:r>
        <w:rPr>
          <w:rFonts w:ascii="Arial" w:hAnsi="Arial"/>
          <w:sz w:val="20"/>
        </w:rPr>
        <w:t xml:space="preserve">rather than evidence against an underlying effect. This is the central</w:t>
      </w:r>
      <w:r>
        <w:rPr>
          <w:rFonts w:ascii="Arial" w:hAnsi="Arial"/>
          <w:sz w:val="20"/>
        </w:rPr>
        <w:t xml:space="preserve"> </w:t>
      </w:r>
      <w:r>
        <w:rPr>
          <w:rFonts w:ascii="Arial" w:hAnsi="Arial"/>
          <w:sz w:val="20"/>
        </w:rPr>
        <w:t xml:space="preserve">rationale for our re-framing of v2.1 as a transparent null with</w:t>
      </w:r>
      <w:r>
        <w:rPr>
          <w:rFonts w:ascii="Arial" w:hAnsi="Arial"/>
          <w:sz w:val="20"/>
        </w:rPr>
        <w:t xml:space="preserve"> </w:t>
      </w:r>
      <w:r>
        <w:rPr>
          <w:rFonts w:ascii="Arial" w:hAnsi="Arial"/>
          <w:sz w:val="20"/>
        </w:rPr>
        <w:t xml:space="preserve">pre-registered exploratory mechanisms, rather than a confirmatory test</w:t>
      </w:r>
      <w:r>
        <w:rPr>
          <w:rFonts w:ascii="Arial" w:hAnsi="Arial"/>
          <w:sz w:val="20"/>
        </w:rPr>
        <w:t xml:space="preserve"> </w:t>
      </w:r>
      <w:r>
        <w:rPr>
          <w:rFonts w:ascii="Arial" w:hAnsi="Arial"/>
          <w:sz w:val="20"/>
        </w:rPr>
        <w:t xml:space="preserve">of Δ SOS.</w:t>
      </w:r>
    </w:p>
    <w:bookmarkEnd w:id="21"/>
    <w:bookmarkStart w:id="22" w:name="y.4.3-what-this-analysis-does-not-claim"/>
    <w:p>
      <w:pPr>
        <w:pStyle w:val="Heading2"/>
      </w:pPr>
      <w:r>
        <w:rPr>
          <w:rFonts w:ascii="Arial" w:hAnsi="Arial"/>
        </w:rPr>
        <w:t xml:space="preserve">3.Y.4.3 What this analysis does not claim</w:t>
      </w:r>
    </w:p>
    <w:p>
      <w:pPr>
        <w:pStyle w:val="Compact"/>
        <w:numPr>
          <w:ilvl w:val="0"/>
          <w:numId w:val="1001"/>
        </w:numPr>
      </w:pPr>
      <w:r>
        <w:rPr>
          <w:rFonts w:ascii="Arial" w:hAnsi="Arial"/>
          <w:sz w:val="20"/>
        </w:rPr>
        <w:t xml:space="preserve">It does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retroactively justify the p-values; it only describes</w:t>
      </w:r>
      <w:r>
        <w:rPr>
          <w:rFonts w:ascii="Arial" w:hAnsi="Arial"/>
          <w:sz w:val="20"/>
        </w:rPr>
        <w:t xml:space="preserve"> </w:t>
      </w:r>
      <w:r>
        <w:rPr>
          <w:rFonts w:ascii="Arial" w:hAnsi="Arial"/>
          <w:sz w:val="20"/>
        </w:rPr>
        <w:t xml:space="preserve">what the design could have detected.</w:t>
      </w:r>
    </w:p>
    <w:p>
      <w:pPr>
        <w:pStyle w:val="Compact"/>
        <w:numPr>
          <w:ilvl w:val="0"/>
          <w:numId w:val="1001"/>
        </w:numPr>
      </w:pPr>
      <w:r>
        <w:rPr>
          <w:rFonts w:ascii="Arial" w:hAnsi="Arial"/>
          <w:sz w:val="20"/>
        </w:rPr>
        <w:t xml:space="preserve">It does</w:t>
      </w:r>
      <w:r>
        <w:rPr>
          <w:rFonts w:ascii="Arial" w:hAnsi="Arial"/>
          <w:sz w:val="20"/>
        </w:rPr>
        <w:t xml:space="preserve"> </w:t>
      </w:r>
      <w:r>
        <w:rPr>
          <w:rFonts w:ascii="Arial" w:hAnsi="Arial"/>
          <w:b/>
          <w:bCs/>
          <w:sz w:val="20"/>
        </w:rPr>
        <w:t xml:space="preserve">not</w:t>
      </w:r>
      <w:r>
        <w:rPr>
          <w:rFonts w:ascii="Arial" w:hAnsi="Arial"/>
          <w:sz w:val="20"/>
        </w:rPr>
        <w:t xml:space="preserve"> </w:t>
      </w:r>
      <w:r>
        <w:rPr>
          <w:rFonts w:ascii="Arial" w:hAnsi="Arial"/>
          <w:sz w:val="20"/>
        </w:rPr>
        <w:t xml:space="preserve">substitute for replication. The corrected/EOS cell is</w:t>
      </w:r>
      <w:r>
        <w:rPr>
          <w:rFonts w:ascii="Arial" w:hAnsi="Arial"/>
          <w:sz w:val="20"/>
        </w:rPr>
        <w:t xml:space="preserve"> </w:t>
      </w:r>
      <w:r>
        <w:rPr>
          <w:rFonts w:ascii="Arial" w:hAnsi="Arial"/>
          <w:sz w:val="20"/>
        </w:rPr>
        <w:t xml:space="preserve">reported as null both by inference and by power analysis; future work</w:t>
      </w:r>
      <w:r>
        <w:rPr>
          <w:rFonts w:ascii="Arial" w:hAnsi="Arial"/>
          <w:sz w:val="20"/>
        </w:rPr>
        <w:t xml:space="preserve"> </w:t>
      </w:r>
      <w:r>
        <w:rPr>
          <w:rFonts w:ascii="Arial" w:hAnsi="Arial"/>
          <w:sz w:val="20"/>
        </w:rPr>
        <w:t xml:space="preserve">with a longer time series or additional districts could revisit it.</w:t>
      </w:r>
    </w:p>
    <w:p>
      <w:pPr>
        <w:pStyle w:val="Compact"/>
        <w:numPr>
          <w:ilvl w:val="0"/>
          <w:numId w:val="1001"/>
        </w:numPr>
      </w:pPr>
      <w:r>
        <w:rPr>
          <w:rFonts w:ascii="Arial" w:hAnsi="Arial"/>
          <w:sz w:val="20"/>
        </w:rPr>
        <w:t xml:space="preserve">The variance components used here are</w:t>
      </w:r>
      <w:r>
        <w:rPr>
          <w:rFonts w:ascii="Arial" w:hAnsi="Arial"/>
          <w:sz w:val="20"/>
        </w:rPr>
        <w:t xml:space="preserve"> </w:t>
      </w:r>
      <w:r>
        <w:rPr>
          <w:rFonts w:ascii="Arial" w:hAnsi="Arial"/>
          <w:b/>
          <w:bCs/>
          <w:sz w:val="20"/>
        </w:rPr>
        <w:t xml:space="preserve">empirical point estimates</w:t>
      </w:r>
      <w:r>
        <w:rPr>
          <w:rFonts w:ascii="Arial" w:hAnsi="Arial"/>
          <w:sz w:val="20"/>
        </w:rPr>
        <w:t xml:space="preserve"> </w:t>
      </w:r>
      <w:r>
        <w:rPr>
          <w:rFonts w:ascii="Arial" w:hAnsi="Arial"/>
          <w:sz w:val="20"/>
        </w:rPr>
        <w:t xml:space="preserve">from the real v2.1 corrected-SOS panel (Module 17); sensitivity to</w:t>
      </w:r>
      <w:r>
        <w:rPr>
          <w:rFonts w:ascii="Arial" w:hAnsi="Arial"/>
          <w:sz w:val="20"/>
        </w:rPr>
        <w:t xml:space="preserve"> </w:t>
      </w:r>
      <w:r>
        <w:rPr>
          <w:rFonts w:ascii="Arial" w:hAnsi="Arial"/>
          <w:sz w:val="20"/>
        </w:rPr>
        <w:t xml:space="preserve">±50 % perturbations of σ_u, σ_t, σ_ε remains a future extension via</w:t>
      </w:r>
      <w:r>
        <w:rPr>
          <w:rFonts w:ascii="Arial" w:hAnsi="Arial"/>
          <w:sz w:val="20"/>
        </w:rPr>
        <w:t xml:space="preserve"> </w:t>
      </w:r>
      <w:r>
        <w:rPr>
          <w:rStyle w:val="VerbatimChar"/>
          <w:rFonts w:ascii="Arial" w:hAnsi="Arial"/>
          <w:sz w:val="20"/>
        </w:rPr>
        <w:t xml:space="preserve">python3 09_power_analysis.py --sensitivity</w:t>
      </w:r>
      <w:r>
        <w:rPr>
          <w:rFonts w:ascii="Arial" w:hAnsi="Arial"/>
          <w:sz w:val="20"/>
        </w:rPr>
        <w:t xml:space="preserve">.</w:t>
      </w:r>
    </w:p>
    <w:p>
      <w:r>
        <w:rPr>
          <w:rFonts w:ascii="Arial" w:hAnsi="Arial"/>
          <w:sz w:val="20"/>
        </w:rPr>
        <w:pict>
          <v:rect style="width:0;height:1.5pt" o:hralign="center" o:hrstd="t" o:hr="t"/>
        </w:pict>
      </w:r>
    </w:p>
    <w:p>
      <w:pPr>
        <w:pStyle w:val="FirstParagraph"/>
      </w:pPr>
      <w:r>
        <w:rPr>
          <w:rFonts w:ascii="Arial" w:hAnsi="Arial"/>
          <w:b/>
          <w:bCs/>
          <w:sz w:val="20"/>
        </w:rPr>
        <w:t xml:space="preserve">Reference</w:t>
      </w:r>
      <w:r>
        <w:rPr>
          <w:rFonts w:ascii="Arial" w:hAnsi="Arial"/>
          <w:sz w:val="20"/>
        </w:rPr>
        <w:t xml:space="preserve">: Donald, S. G., &amp; Lang, K. (2007). Inference with</w:t>
      </w:r>
      <w:r>
        <w:rPr>
          <w:rFonts w:ascii="Arial" w:hAnsi="Arial"/>
          <w:sz w:val="20"/>
        </w:rPr>
        <w:t xml:space="preserve"> </w:t>
      </w:r>
      <w:r>
        <w:rPr>
          <w:rFonts w:ascii="Arial" w:hAnsi="Arial"/>
          <w:sz w:val="20"/>
        </w:rPr>
        <w:t xml:space="preserve">difference-in-differences and other panel data.</w:t>
      </w:r>
      <w:r>
        <w:rPr>
          <w:rFonts w:ascii="Arial" w:hAnsi="Arial"/>
          <w:sz w:val="20"/>
        </w:rPr>
        <w:t xml:space="preserve"> </w:t>
      </w:r>
      <w:r>
        <w:rPr>
          <w:rFonts w:ascii="Arial" w:hAnsi="Arial"/>
          <w:i/>
          <w:iCs/>
          <w:sz w:val="20"/>
        </w:rPr>
        <w:t xml:space="preserve">Review of Economics</w:t>
      </w:r>
      <w:r>
        <w:rPr>
          <w:rFonts w:ascii="Arial" w:hAnsi="Arial"/>
          <w:i/>
          <w:iCs/>
          <w:sz w:val="20"/>
        </w:rPr>
        <w:t xml:space="preserve"> </w:t>
      </w:r>
      <w:r>
        <w:rPr>
          <w:rFonts w:ascii="Arial" w:hAnsi="Arial"/>
          <w:i/>
          <w:iCs/>
          <w:sz w:val="20"/>
        </w:rPr>
        <w:t xml:space="preserve">and Statistics</w:t>
      </w:r>
      <w:r>
        <w:rPr>
          <w:rFonts w:ascii="Arial" w:hAnsi="Arial"/>
          <w:sz w:val="20"/>
        </w:rPr>
        <w:t xml:space="preserve">, 89(2), 221–233.</w:t>
      </w:r>
    </w:p>
    <w:bookmarkEnd w:id="22"/>
    <w:bookmarkEnd w:id="23"/>
    <w:p>
      <w:r>
        <w:rPr>
          <w:rFonts w:ascii="Arial" w:hAnsi="Arial"/>
          <w:sz w:val="20"/>
        </w:rPr>
        <w:br w:type="page"/>
      </w:r>
    </w:p>
    <w:p>
      <w:pPr>
        <w:keepNext/>
        <w:spacing w:before="240" w:after="120"/>
      </w:pPr>
      <w:bookmarkStart w:id="10315" w:name="table_s1"/>
      <w:r>
        <w:rPr>
          <w:rFonts w:ascii="Arial" w:hAnsi="Arial"/>
          <w:b/>
          <w:color w:val="1F3A5F"/>
          <w:sz w:val="32"/>
        </w:rPr>
        <w:t>Table S1 — Static TWFE-DiD point estimates</w:t>
      </w:r>
      <w:bookmarkEnd w:id="10315"/>
    </w:p>
    <w:p>
      <w:pPr>
        <w:jc w:val="left"/>
      </w:pPr>
      <w:r>
        <w:rPr>
          <w:rFonts w:ascii="Arial" w:hAnsi="Arial"/>
          <w:b/>
          <w:sz w:val="20"/>
        </w:rPr>
        <w:t>Table S1.  Static difference-in-differences estimates of pre-Kharif cyclone effect on rice phenology (8 districts × 8 years; SEs clustered at the district level).</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rFonts w:ascii="Arial" w:hAnsi="Arial"/>
                <w:b/>
                <w:sz w:val="20"/>
              </w:rPr>
              <w:t>Pipeline</w:t>
            </w:r>
          </w:p>
        </w:tc>
        <w:tc>
          <w:tcPr>
            <w:tcW w:type="dxa" w:w="785"/>
          </w:tcPr>
          <w:p>
            <w:r>
              <w:rPr>
                <w:rFonts w:ascii="Arial" w:hAnsi="Arial"/>
                <w:b/>
                <w:sz w:val="20"/>
              </w:rPr>
              <w:t>Metric</w:t>
            </w:r>
          </w:p>
        </w:tc>
        <w:tc>
          <w:tcPr>
            <w:tcW w:type="dxa" w:w="785"/>
          </w:tcPr>
          <w:p>
            <w:r>
              <w:rPr>
                <w:rFonts w:ascii="Arial" w:hAnsi="Arial"/>
                <w:b/>
                <w:sz w:val="20"/>
              </w:rPr>
              <w:t>N obs</w:t>
            </w:r>
          </w:p>
        </w:tc>
        <w:tc>
          <w:tcPr>
            <w:tcW w:type="dxa" w:w="785"/>
          </w:tcPr>
          <w:p>
            <w:r>
              <w:rPr>
                <w:rFonts w:ascii="Arial" w:hAnsi="Arial"/>
                <w:b/>
                <w:sz w:val="20"/>
              </w:rPr>
              <w:t>N dist.</w:t>
            </w:r>
          </w:p>
        </w:tc>
        <w:tc>
          <w:tcPr>
            <w:tcW w:type="dxa" w:w="785"/>
          </w:tcPr>
          <w:p>
            <w:r>
              <w:rPr>
                <w:rFonts w:ascii="Arial" w:hAnsi="Arial"/>
                <w:b/>
                <w:sz w:val="20"/>
              </w:rPr>
              <w:t>τ (d)</w:t>
            </w:r>
          </w:p>
        </w:tc>
        <w:tc>
          <w:tcPr>
            <w:tcW w:type="dxa" w:w="785"/>
          </w:tcPr>
          <w:p>
            <w:r>
              <w:rPr>
                <w:rFonts w:ascii="Arial" w:hAnsi="Arial"/>
                <w:b/>
                <w:sz w:val="20"/>
              </w:rPr>
              <w:t>SE</w:t>
            </w:r>
          </w:p>
        </w:tc>
        <w:tc>
          <w:tcPr>
            <w:tcW w:type="dxa" w:w="785"/>
          </w:tcPr>
          <w:p>
            <w:r>
              <w:rPr>
                <w:rFonts w:ascii="Arial" w:hAnsi="Arial"/>
                <w:b/>
                <w:sz w:val="20"/>
              </w:rPr>
              <w:t>t</w:t>
            </w:r>
          </w:p>
        </w:tc>
        <w:tc>
          <w:tcPr>
            <w:tcW w:type="dxa" w:w="785"/>
          </w:tcPr>
          <w:p>
            <w:r>
              <w:rPr>
                <w:rFonts w:ascii="Arial" w:hAnsi="Arial"/>
                <w:b/>
                <w:sz w:val="20"/>
              </w:rPr>
              <w:t>p</w:t>
            </w:r>
          </w:p>
        </w:tc>
        <w:tc>
          <w:tcPr>
            <w:tcW w:type="dxa" w:w="785"/>
          </w:tcPr>
          <w:p>
            <w:r>
              <w:rPr>
                <w:rFonts w:ascii="Arial" w:hAnsi="Arial"/>
                <w:b/>
                <w:sz w:val="20"/>
              </w:rPr>
              <w:t>CI₂.₅</w:t>
            </w:r>
          </w:p>
        </w:tc>
        <w:tc>
          <w:tcPr>
            <w:tcW w:type="dxa" w:w="785"/>
          </w:tcPr>
          <w:p>
            <w:r>
              <w:rPr>
                <w:rFonts w:ascii="Arial" w:hAnsi="Arial"/>
                <w:b/>
                <w:sz w:val="20"/>
              </w:rPr>
              <w:t>CI₉₇.₅</w:t>
            </w:r>
          </w:p>
        </w:tc>
        <w:tc>
          <w:tcPr>
            <w:tcW w:type="dxa" w:w="785"/>
          </w:tcPr>
          <w:p>
            <w:r>
              <w:rPr>
                <w:rFonts w:ascii="Arial" w:hAnsi="Arial"/>
                <w:b/>
                <w:sz w:val="20"/>
              </w:rPr>
              <w:t>R²ᵥᵥ</w:t>
            </w:r>
          </w:p>
        </w:tc>
      </w:tr>
      <w:tr>
        <w:tc>
          <w:tcPr>
            <w:tcW w:type="dxa" w:w="785"/>
          </w:tcPr>
          <w:p>
            <w:r>
              <w:rPr>
                <w:rFonts w:ascii="Arial" w:hAnsi="Arial"/>
                <w:sz w:val="20"/>
              </w:rPr>
              <w:t>raw</w:t>
            </w:r>
          </w:p>
        </w:tc>
        <w:tc>
          <w:tcPr>
            <w:tcW w:type="dxa" w:w="785"/>
          </w:tcPr>
          <w:p>
            <w:r>
              <w:rPr>
                <w:rFonts w:ascii="Arial" w:hAnsi="Arial"/>
                <w:sz w:val="20"/>
              </w:rPr>
              <w:t>SOS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+15.289</w:t>
            </w:r>
          </w:p>
        </w:tc>
        <w:tc>
          <w:tcPr>
            <w:tcW w:type="dxa" w:w="785"/>
          </w:tcPr>
          <w:p>
            <w:r>
              <w:rPr>
                <w:rFonts w:ascii="Arial" w:hAnsi="Arial"/>
                <w:sz w:val="20"/>
              </w:rPr>
              <w:t>17.328</w:t>
            </w:r>
          </w:p>
        </w:tc>
        <w:tc>
          <w:tcPr>
            <w:tcW w:type="dxa" w:w="785"/>
          </w:tcPr>
          <w:p>
            <w:r>
              <w:rPr>
                <w:rFonts w:ascii="Arial" w:hAnsi="Arial"/>
                <w:sz w:val="20"/>
              </w:rPr>
              <w:t>0.882</w:t>
            </w:r>
          </w:p>
        </w:tc>
        <w:tc>
          <w:tcPr>
            <w:tcW w:type="dxa" w:w="785"/>
          </w:tcPr>
          <w:p>
            <w:r>
              <w:rPr>
                <w:rFonts w:ascii="Arial" w:hAnsi="Arial"/>
                <w:sz w:val="20"/>
              </w:rPr>
              <w:t>0.378</w:t>
            </w:r>
          </w:p>
        </w:tc>
        <w:tc>
          <w:tcPr>
            <w:tcW w:type="dxa" w:w="785"/>
          </w:tcPr>
          <w:p>
            <w:r>
              <w:rPr>
                <w:rFonts w:ascii="Arial" w:hAnsi="Arial"/>
                <w:sz w:val="20"/>
              </w:rPr>
              <w:t>-18.673</w:t>
            </w:r>
          </w:p>
        </w:tc>
        <w:tc>
          <w:tcPr>
            <w:tcW w:type="dxa" w:w="785"/>
          </w:tcPr>
          <w:p>
            <w:r>
              <w:rPr>
                <w:rFonts w:ascii="Arial" w:hAnsi="Arial"/>
                <w:sz w:val="20"/>
              </w:rPr>
              <w:t>49.250</w:t>
            </w:r>
          </w:p>
        </w:tc>
        <w:tc>
          <w:tcPr>
            <w:tcW w:type="dxa" w:w="785"/>
          </w:tcPr>
          <w:p>
            <w:r>
              <w:rPr>
                <w:rFonts w:ascii="Arial" w:hAnsi="Arial"/>
                <w:sz w:val="20"/>
              </w:rPr>
              <w:t>0.013</w:t>
            </w:r>
          </w:p>
        </w:tc>
      </w:tr>
      <w:tr>
        <w:tc>
          <w:tcPr>
            <w:tcW w:type="dxa" w:w="785"/>
          </w:tcPr>
          <w:p>
            <w:r>
              <w:rPr>
                <w:rFonts w:ascii="Arial" w:hAnsi="Arial"/>
                <w:sz w:val="20"/>
              </w:rPr>
              <w:t>raw</w:t>
            </w:r>
          </w:p>
        </w:tc>
        <w:tc>
          <w:tcPr>
            <w:tcW w:type="dxa" w:w="785"/>
          </w:tcPr>
          <w:p>
            <w:r>
              <w:rPr>
                <w:rFonts w:ascii="Arial" w:hAnsi="Arial"/>
                <w:sz w:val="20"/>
              </w:rPr>
              <w:t>POS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-3.587</w:t>
            </w:r>
          </w:p>
        </w:tc>
        <w:tc>
          <w:tcPr>
            <w:tcW w:type="dxa" w:w="785"/>
          </w:tcPr>
          <w:p>
            <w:r>
              <w:rPr>
                <w:rFonts w:ascii="Arial" w:hAnsi="Arial"/>
                <w:sz w:val="20"/>
              </w:rPr>
              <w:t>2.882</w:t>
            </w:r>
          </w:p>
        </w:tc>
        <w:tc>
          <w:tcPr>
            <w:tcW w:type="dxa" w:w="785"/>
          </w:tcPr>
          <w:p>
            <w:r>
              <w:rPr>
                <w:rFonts w:ascii="Arial" w:hAnsi="Arial"/>
                <w:sz w:val="20"/>
              </w:rPr>
              <w:t>-1.245</w:t>
            </w:r>
          </w:p>
        </w:tc>
        <w:tc>
          <w:tcPr>
            <w:tcW w:type="dxa" w:w="785"/>
          </w:tcPr>
          <w:p>
            <w:r>
              <w:rPr>
                <w:rFonts w:ascii="Arial" w:hAnsi="Arial"/>
                <w:sz w:val="20"/>
              </w:rPr>
              <w:t>0.213</w:t>
            </w:r>
          </w:p>
        </w:tc>
        <w:tc>
          <w:tcPr>
            <w:tcW w:type="dxa" w:w="785"/>
          </w:tcPr>
          <w:p>
            <w:r>
              <w:rPr>
                <w:rFonts w:ascii="Arial" w:hAnsi="Arial"/>
                <w:sz w:val="20"/>
              </w:rPr>
              <w:t>-9.235</w:t>
            </w:r>
          </w:p>
        </w:tc>
        <w:tc>
          <w:tcPr>
            <w:tcW w:type="dxa" w:w="785"/>
          </w:tcPr>
          <w:p>
            <w:r>
              <w:rPr>
                <w:rFonts w:ascii="Arial" w:hAnsi="Arial"/>
                <w:sz w:val="20"/>
              </w:rPr>
              <w:t>2.062</w:t>
            </w:r>
          </w:p>
        </w:tc>
        <w:tc>
          <w:tcPr>
            <w:tcW w:type="dxa" w:w="785"/>
          </w:tcPr>
          <w:p>
            <w:r>
              <w:rPr>
                <w:rFonts w:ascii="Arial" w:hAnsi="Arial"/>
                <w:sz w:val="20"/>
              </w:rPr>
              <w:t>0.011</w:t>
            </w:r>
          </w:p>
        </w:tc>
      </w:tr>
      <w:tr>
        <w:tc>
          <w:tcPr>
            <w:tcW w:type="dxa" w:w="785"/>
          </w:tcPr>
          <w:p>
            <w:r>
              <w:rPr>
                <w:rFonts w:ascii="Arial" w:hAnsi="Arial"/>
                <w:sz w:val="20"/>
              </w:rPr>
              <w:t>raw</w:t>
            </w:r>
          </w:p>
        </w:tc>
        <w:tc>
          <w:tcPr>
            <w:tcW w:type="dxa" w:w="785"/>
          </w:tcPr>
          <w:p>
            <w:r>
              <w:rPr>
                <w:rFonts w:ascii="Arial" w:hAnsi="Arial"/>
                <w:sz w:val="20"/>
              </w:rPr>
              <w:t>EOS</w:t>
            </w:r>
          </w:p>
        </w:tc>
        <w:tc>
          <w:tcPr>
            <w:tcW w:type="dxa" w:w="785"/>
          </w:tcPr>
          <w:p>
            <w:r>
              <w:rPr>
                <w:rFonts w:ascii="Arial" w:hAnsi="Arial"/>
                <w:sz w:val="20"/>
              </w:rPr>
              <w:t>44</w:t>
            </w:r>
          </w:p>
        </w:tc>
        <w:tc>
          <w:tcPr>
            <w:tcW w:type="dxa" w:w="785"/>
          </w:tcPr>
          <w:p>
            <w:r>
              <w:rPr>
                <w:rFonts w:ascii="Arial" w:hAnsi="Arial"/>
                <w:sz w:val="20"/>
              </w:rPr>
              <w:t>8</w:t>
            </w:r>
          </w:p>
        </w:tc>
        <w:tc>
          <w:tcPr>
            <w:tcW w:type="dxa" w:w="785"/>
          </w:tcPr>
          <w:p>
            <w:r>
              <w:rPr>
                <w:rFonts w:ascii="Arial" w:hAnsi="Arial"/>
                <w:sz w:val="20"/>
              </w:rPr>
              <w:t>-0.000</w:t>
            </w:r>
          </w:p>
        </w:tc>
        <w:tc>
          <w:tcPr>
            <w:tcW w:type="dxa" w:w="785"/>
          </w:tcPr>
          <w:p>
            <w:r>
              <w:rPr>
                <w:rFonts w:ascii="Arial" w:hAnsi="Arial"/>
                <w:sz w:val="20"/>
              </w:rPr>
              <w:t>0.000</w:t>
            </w:r>
          </w:p>
        </w:tc>
        <w:tc>
          <w:tcPr>
            <w:tcW w:type="dxa" w:w="785"/>
          </w:tcPr>
          <w:p>
            <w:r>
              <w:rPr>
                <w:rFonts w:ascii="Arial" w:hAnsi="Arial"/>
                <w:sz w:val="20"/>
              </w:rPr>
              <w:t>-2.038</w:t>
            </w:r>
          </w:p>
        </w:tc>
        <w:tc>
          <w:tcPr>
            <w:tcW w:type="dxa" w:w="785"/>
          </w:tcPr>
          <w:p>
            <w:r>
              <w:rPr>
                <w:rFonts w:ascii="Arial" w:hAnsi="Arial"/>
                <w:sz w:val="20"/>
              </w:rPr>
              <w:t>0.042</w:t>
            </w:r>
          </w:p>
        </w:tc>
        <w:tc>
          <w:tcPr>
            <w:tcW w:type="dxa" w:w="785"/>
          </w:tcPr>
          <w:p>
            <w:r>
              <w:rPr>
                <w:rFonts w:ascii="Arial" w:hAnsi="Arial"/>
                <w:sz w:val="20"/>
              </w:rPr>
              <w:t>-0.000</w:t>
            </w:r>
          </w:p>
        </w:tc>
        <w:tc>
          <w:tcPr>
            <w:tcW w:type="dxa" w:w="785"/>
          </w:tcPr>
          <w:p>
            <w:r>
              <w:rPr>
                <w:rFonts w:ascii="Arial" w:hAnsi="Arial"/>
                <w:sz w:val="20"/>
              </w:rPr>
              <w:t>-0.000</w:t>
            </w:r>
          </w:p>
        </w:tc>
        <w:tc>
          <w:tcPr>
            <w:tcW w:type="dxa" w:w="785"/>
          </w:tcPr>
          <w:p>
            <w:r>
              <w:rPr>
                <w:rFonts w:ascii="Arial" w:hAnsi="Arial"/>
                <w:sz w:val="20"/>
              </w:rPr>
              <w:t>0.000</w:t>
            </w:r>
          </w:p>
        </w:tc>
      </w:tr>
      <w:tr>
        <w:tc>
          <w:tcPr>
            <w:tcW w:type="dxa" w:w="785"/>
          </w:tcPr>
          <w:p>
            <w:r>
              <w:rPr>
                <w:rFonts w:ascii="Arial" w:hAnsi="Arial"/>
                <w:sz w:val="20"/>
              </w:rPr>
              <w:t>corrected</w:t>
            </w:r>
          </w:p>
        </w:tc>
        <w:tc>
          <w:tcPr>
            <w:tcW w:type="dxa" w:w="785"/>
          </w:tcPr>
          <w:p>
            <w:r>
              <w:rPr>
                <w:rFonts w:ascii="Arial" w:hAnsi="Arial"/>
                <w:sz w:val="20"/>
              </w:rPr>
              <w:t>SOS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+15.108</w:t>
            </w:r>
          </w:p>
        </w:tc>
        <w:tc>
          <w:tcPr>
            <w:tcW w:type="dxa" w:w="785"/>
          </w:tcPr>
          <w:p>
            <w:r>
              <w:rPr>
                <w:rFonts w:ascii="Arial" w:hAnsi="Arial"/>
                <w:sz w:val="20"/>
              </w:rPr>
              <w:t>17.312</w:t>
            </w:r>
          </w:p>
        </w:tc>
        <w:tc>
          <w:tcPr>
            <w:tcW w:type="dxa" w:w="785"/>
          </w:tcPr>
          <w:p>
            <w:r>
              <w:rPr>
                <w:rFonts w:ascii="Arial" w:hAnsi="Arial"/>
                <w:sz w:val="20"/>
              </w:rPr>
              <w:t>0.873</w:t>
            </w:r>
          </w:p>
        </w:tc>
        <w:tc>
          <w:tcPr>
            <w:tcW w:type="dxa" w:w="785"/>
          </w:tcPr>
          <w:p>
            <w:r>
              <w:rPr>
                <w:rFonts w:ascii="Arial" w:hAnsi="Arial"/>
                <w:sz w:val="20"/>
              </w:rPr>
              <w:t>0.383</w:t>
            </w:r>
          </w:p>
        </w:tc>
        <w:tc>
          <w:tcPr>
            <w:tcW w:type="dxa" w:w="785"/>
          </w:tcPr>
          <w:p>
            <w:r>
              <w:rPr>
                <w:rFonts w:ascii="Arial" w:hAnsi="Arial"/>
                <w:sz w:val="20"/>
              </w:rPr>
              <w:t>-18.822</w:t>
            </w:r>
          </w:p>
        </w:tc>
        <w:tc>
          <w:tcPr>
            <w:tcW w:type="dxa" w:w="785"/>
          </w:tcPr>
          <w:p>
            <w:r>
              <w:rPr>
                <w:rFonts w:ascii="Arial" w:hAnsi="Arial"/>
                <w:sz w:val="20"/>
              </w:rPr>
              <w:t>49.039</w:t>
            </w:r>
          </w:p>
        </w:tc>
        <w:tc>
          <w:tcPr>
            <w:tcW w:type="dxa" w:w="785"/>
          </w:tcPr>
          <w:p>
            <w:r>
              <w:rPr>
                <w:rFonts w:ascii="Arial" w:hAnsi="Arial"/>
                <w:sz w:val="20"/>
              </w:rPr>
              <w:t>0.013</w:t>
            </w:r>
          </w:p>
        </w:tc>
      </w:tr>
      <w:tr>
        <w:tc>
          <w:tcPr>
            <w:tcW w:type="dxa" w:w="785"/>
          </w:tcPr>
          <w:p>
            <w:r>
              <w:rPr>
                <w:rFonts w:ascii="Arial" w:hAnsi="Arial"/>
                <w:sz w:val="20"/>
              </w:rPr>
              <w:t>corrected</w:t>
            </w:r>
          </w:p>
        </w:tc>
        <w:tc>
          <w:tcPr>
            <w:tcW w:type="dxa" w:w="785"/>
          </w:tcPr>
          <w:p>
            <w:r>
              <w:rPr>
                <w:rFonts w:ascii="Arial" w:hAnsi="Arial"/>
                <w:sz w:val="20"/>
              </w:rPr>
              <w:t>POS</w:t>
            </w:r>
          </w:p>
        </w:tc>
        <w:tc>
          <w:tcPr>
            <w:tcW w:type="dxa" w:w="785"/>
          </w:tcPr>
          <w:p>
            <w:r>
              <w:rPr>
                <w:rFonts w:ascii="Arial" w:hAnsi="Arial"/>
                <w:sz w:val="20"/>
              </w:rPr>
              <w:t>64</w:t>
            </w:r>
          </w:p>
        </w:tc>
        <w:tc>
          <w:tcPr>
            <w:tcW w:type="dxa" w:w="785"/>
          </w:tcPr>
          <w:p>
            <w:r>
              <w:rPr>
                <w:rFonts w:ascii="Arial" w:hAnsi="Arial"/>
                <w:sz w:val="20"/>
              </w:rPr>
              <w:t>8</w:t>
            </w:r>
          </w:p>
        </w:tc>
        <w:tc>
          <w:tcPr>
            <w:tcW w:type="dxa" w:w="785"/>
          </w:tcPr>
          <w:p>
            <w:r>
              <w:rPr>
                <w:rFonts w:ascii="Arial" w:hAnsi="Arial"/>
                <w:sz w:val="20"/>
              </w:rPr>
              <w:t>-3.677</w:t>
            </w:r>
          </w:p>
        </w:tc>
        <w:tc>
          <w:tcPr>
            <w:tcW w:type="dxa" w:w="785"/>
          </w:tcPr>
          <w:p>
            <w:r>
              <w:rPr>
                <w:rFonts w:ascii="Arial" w:hAnsi="Arial"/>
                <w:sz w:val="20"/>
              </w:rPr>
              <w:t>2.897</w:t>
            </w:r>
          </w:p>
        </w:tc>
        <w:tc>
          <w:tcPr>
            <w:tcW w:type="dxa" w:w="785"/>
          </w:tcPr>
          <w:p>
            <w:r>
              <w:rPr>
                <w:rFonts w:ascii="Arial" w:hAnsi="Arial"/>
                <w:sz w:val="20"/>
              </w:rPr>
              <w:t>-1.269</w:t>
            </w:r>
          </w:p>
        </w:tc>
        <w:tc>
          <w:tcPr>
            <w:tcW w:type="dxa" w:w="785"/>
          </w:tcPr>
          <w:p>
            <w:r>
              <w:rPr>
                <w:rFonts w:ascii="Arial" w:hAnsi="Arial"/>
                <w:sz w:val="20"/>
              </w:rPr>
              <w:t>0.204</w:t>
            </w:r>
          </w:p>
        </w:tc>
        <w:tc>
          <w:tcPr>
            <w:tcW w:type="dxa" w:w="785"/>
          </w:tcPr>
          <w:p>
            <w:r>
              <w:rPr>
                <w:rFonts w:ascii="Arial" w:hAnsi="Arial"/>
                <w:sz w:val="20"/>
              </w:rPr>
              <w:t>-9.356</w:t>
            </w:r>
          </w:p>
        </w:tc>
        <w:tc>
          <w:tcPr>
            <w:tcW w:type="dxa" w:w="785"/>
          </w:tcPr>
          <w:p>
            <w:r>
              <w:rPr>
                <w:rFonts w:ascii="Arial" w:hAnsi="Arial"/>
                <w:sz w:val="20"/>
              </w:rPr>
              <w:t>2.002</w:t>
            </w:r>
          </w:p>
        </w:tc>
        <w:tc>
          <w:tcPr>
            <w:tcW w:type="dxa" w:w="785"/>
          </w:tcPr>
          <w:p>
            <w:r>
              <w:rPr>
                <w:rFonts w:ascii="Arial" w:hAnsi="Arial"/>
                <w:sz w:val="20"/>
              </w:rPr>
              <w:t>0.011</w:t>
            </w:r>
          </w:p>
        </w:tc>
      </w:tr>
      <w:tr>
        <w:tc>
          <w:tcPr>
            <w:tcW w:type="dxa" w:w="785"/>
          </w:tcPr>
          <w:p>
            <w:r>
              <w:rPr>
                <w:rFonts w:ascii="Arial" w:hAnsi="Arial"/>
                <w:sz w:val="20"/>
              </w:rPr>
              <w:t>corrected</w:t>
            </w:r>
          </w:p>
        </w:tc>
        <w:tc>
          <w:tcPr>
            <w:tcW w:type="dxa" w:w="785"/>
          </w:tcPr>
          <w:p>
            <w:r>
              <w:rPr>
                <w:rFonts w:ascii="Arial" w:hAnsi="Arial"/>
                <w:sz w:val="20"/>
              </w:rPr>
              <w:t>EOS</w:t>
            </w:r>
          </w:p>
        </w:tc>
        <w:tc>
          <w:tcPr>
            <w:tcW w:type="dxa" w:w="785"/>
          </w:tcPr>
          <w:p>
            <w:r>
              <w:rPr>
                <w:rFonts w:ascii="Arial" w:hAnsi="Arial"/>
                <w:sz w:val="20"/>
              </w:rPr>
              <w:t>44</w:t>
            </w:r>
          </w:p>
        </w:tc>
        <w:tc>
          <w:tcPr>
            <w:tcW w:type="dxa" w:w="785"/>
          </w:tcPr>
          <w:p>
            <w:r>
              <w:rPr>
                <w:rFonts w:ascii="Arial" w:hAnsi="Arial"/>
                <w:sz w:val="20"/>
              </w:rPr>
              <w:t>8</w:t>
            </w:r>
          </w:p>
        </w:tc>
        <w:tc>
          <w:tcPr>
            <w:tcW w:type="dxa" w:w="785"/>
          </w:tcPr>
          <w:p>
            <w:r>
              <w:rPr>
                <w:rFonts w:ascii="Arial" w:hAnsi="Arial"/>
                <w:sz w:val="20"/>
              </w:rPr>
              <w:t>-0.239</w:t>
            </w:r>
          </w:p>
        </w:tc>
        <w:tc>
          <w:tcPr>
            <w:tcW w:type="dxa" w:w="785"/>
          </w:tcPr>
          <w:p>
            <w:r>
              <w:rPr>
                <w:rFonts w:ascii="Arial" w:hAnsi="Arial"/>
                <w:sz w:val="20"/>
              </w:rPr>
              <w:t>0.169</w:t>
            </w:r>
          </w:p>
        </w:tc>
        <w:tc>
          <w:tcPr>
            <w:tcW w:type="dxa" w:w="785"/>
          </w:tcPr>
          <w:p>
            <w:r>
              <w:rPr>
                <w:rFonts w:ascii="Arial" w:hAnsi="Arial"/>
                <w:sz w:val="20"/>
              </w:rPr>
              <w:t>-1.411</w:t>
            </w:r>
          </w:p>
        </w:tc>
        <w:tc>
          <w:tcPr>
            <w:tcW w:type="dxa" w:w="785"/>
          </w:tcPr>
          <w:p>
            <w:r>
              <w:rPr>
                <w:rFonts w:ascii="Arial" w:hAnsi="Arial"/>
                <w:sz w:val="20"/>
              </w:rPr>
              <w:t>0.158</w:t>
            </w:r>
          </w:p>
        </w:tc>
        <w:tc>
          <w:tcPr>
            <w:tcW w:type="dxa" w:w="785"/>
          </w:tcPr>
          <w:p>
            <w:r>
              <w:rPr>
                <w:rFonts w:ascii="Arial" w:hAnsi="Arial"/>
                <w:sz w:val="20"/>
              </w:rPr>
              <w:t>-0.570</w:t>
            </w:r>
          </w:p>
        </w:tc>
        <w:tc>
          <w:tcPr>
            <w:tcW w:type="dxa" w:w="785"/>
          </w:tcPr>
          <w:p>
            <w:r>
              <w:rPr>
                <w:rFonts w:ascii="Arial" w:hAnsi="Arial"/>
                <w:sz w:val="20"/>
              </w:rPr>
              <w:t>0.093</w:t>
            </w:r>
          </w:p>
        </w:tc>
        <w:tc>
          <w:tcPr>
            <w:tcW w:type="dxa" w:w="785"/>
          </w:tcPr>
          <w:p>
            <w:r>
              <w:rPr>
                <w:rFonts w:ascii="Arial" w:hAnsi="Arial"/>
                <w:sz w:val="20"/>
              </w:rPr>
              <w:t>0.074</w:t>
            </w:r>
          </w:p>
        </w:tc>
      </w:tr>
    </w:tbl>
    <w:p/>
    <w:p>
      <w:r>
        <w:rPr>
          <w:rFonts w:ascii="Arial" w:hAnsi="Arial"/>
          <w:sz w:val="18"/>
        </w:rPr>
        <w:t>Notes. τ is the average treatment effect on the treated, in days of phenology shift. *** p&lt;0.001; ** p&lt;0.01; * p&lt;0.05. R²ᵥᵥ is the partial within-R² of the DiD term after absorbing district and year fixed effects. Treatment cohort: coastal-treatment districts (Baleshwar, Bhadrak, Kendrapara, Jagatsinghpur, Puri) × cyclone years 2019, 2020, 2021. Bulbul (2019, post-monsoon, outside the study area) and Hudhud (2014) are excluded as transferability hold-outs.</w:t>
      </w:r>
    </w:p>
    <w:p>
      <w:r>
        <w:rPr>
          <w:rFonts w:ascii="Arial" w:hAnsi="Arial"/>
          <w:sz w:val="20"/>
        </w:rPr>
        <w:br w:type="page"/>
      </w:r>
    </w:p>
    <w:p>
      <w:pPr>
        <w:keepNext/>
        <w:spacing w:before="240" w:after="120"/>
      </w:pPr>
      <w:bookmarkStart w:id="75803" w:name="table_s2"/>
      <w:r>
        <w:rPr>
          <w:rFonts w:ascii="Arial" w:hAnsi="Arial"/>
          <w:b/>
          <w:color w:val="1F3A5F"/>
          <w:sz w:val="32"/>
        </w:rPr>
        <w:t>Table S2 — Pre-trend tests</w:t>
      </w:r>
      <w:bookmarkEnd w:id="75803"/>
    </w:p>
    <w:p>
      <w:pPr>
        <w:jc w:val="left"/>
      </w:pPr>
      <w:r>
        <w:rPr>
          <w:rFonts w:ascii="Arial" w:hAnsi="Arial"/>
          <w:b/>
          <w:sz w:val="20"/>
        </w:rPr>
        <w:t>Table S2.  Parallel-trends test: regression of phenology metric on year × treat interaction in pre-treatment period (years &lt; 2019). A non-significant coefficient supports the DiD identifying assumption.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b/>
                <w:sz w:val="20"/>
              </w:rPr>
              <w:t>Pipeline</w:t>
            </w:r>
          </w:p>
        </w:tc>
        <w:tc>
          <w:tcPr>
            <w:tcW w:type="dxa" w:w="1234"/>
          </w:tcPr>
          <w:p>
            <w:r>
              <w:rPr>
                <w:rFonts w:ascii="Arial" w:hAnsi="Arial"/>
                <w:b/>
                <w:sz w:val="20"/>
              </w:rPr>
              <w:t>Metric</w:t>
            </w:r>
          </w:p>
        </w:tc>
        <w:tc>
          <w:tcPr>
            <w:tcW w:type="dxa" w:w="1234"/>
          </w:tcPr>
          <w:p>
            <w:r>
              <w:rPr>
                <w:rFonts w:ascii="Arial" w:hAnsi="Arial"/>
                <w:b/>
                <w:sz w:val="20"/>
              </w:rPr>
              <w:t>β (year×treat)</w:t>
            </w:r>
          </w:p>
        </w:tc>
        <w:tc>
          <w:tcPr>
            <w:tcW w:type="dxa" w:w="1234"/>
          </w:tcPr>
          <w:p>
            <w:r>
              <w:rPr>
                <w:rFonts w:ascii="Arial" w:hAnsi="Arial"/>
                <w:b/>
                <w:sz w:val="20"/>
              </w:rPr>
              <w:t>SE</w:t>
            </w:r>
          </w:p>
        </w:tc>
        <w:tc>
          <w:tcPr>
            <w:tcW w:type="dxa" w:w="1234"/>
          </w:tcPr>
          <w:p>
            <w:r>
              <w:rPr>
                <w:rFonts w:ascii="Arial" w:hAnsi="Arial"/>
                <w:b/>
                <w:sz w:val="20"/>
              </w:rPr>
              <w:t>p</w:t>
            </w:r>
          </w:p>
        </w:tc>
        <w:tc>
          <w:tcPr>
            <w:tcW w:type="dxa" w:w="1234"/>
          </w:tcPr>
          <w:p>
            <w:r>
              <w:rPr>
                <w:rFonts w:ascii="Arial" w:hAnsi="Arial"/>
                <w:b/>
                <w:sz w:val="20"/>
              </w:rPr>
              <w:t>N pre</w:t>
            </w:r>
          </w:p>
        </w:tc>
        <w:tc>
          <w:tcPr>
            <w:tcW w:type="dxa" w:w="1234"/>
          </w:tcPr>
          <w:p>
            <w:r>
              <w:rPr>
                <w:rFonts w:ascii="Arial" w:hAnsi="Arial"/>
                <w:b/>
                <w:sz w:val="20"/>
              </w:rPr>
              <w:t>Verdict</w:t>
            </w:r>
          </w:p>
        </w:tc>
      </w:tr>
      <w:tr>
        <w:tc>
          <w:tcPr>
            <w:tcW w:type="dxa" w:w="1234"/>
          </w:tcPr>
          <w:p>
            <w:r>
              <w:rPr>
                <w:rFonts w:ascii="Arial" w:hAnsi="Arial"/>
                <w:sz w:val="20"/>
              </w:rPr>
              <w:t>raw</w:t>
            </w:r>
          </w:p>
        </w:tc>
        <w:tc>
          <w:tcPr>
            <w:tcW w:type="dxa" w:w="1234"/>
          </w:tcPr>
          <w:p>
            <w:r>
              <w:rPr>
                <w:rFonts w:ascii="Arial" w:hAnsi="Arial"/>
                <w:sz w:val="20"/>
              </w:rPr>
              <w:t>SOS</w:t>
            </w:r>
          </w:p>
        </w:tc>
        <w:tc>
          <w:tcPr>
            <w:tcW w:type="dxa" w:w="1234"/>
          </w:tcPr>
          <w:p>
            <w:r>
              <w:rPr>
                <w:rFonts w:ascii="Arial" w:hAnsi="Arial"/>
                <w:sz w:val="20"/>
              </w:rPr>
              <w:t>-63.600</w:t>
            </w:r>
          </w:p>
        </w:tc>
        <w:tc>
          <w:tcPr>
            <w:tcW w:type="dxa" w:w="1234"/>
          </w:tcPr>
          <w:p>
            <w:r>
              <w:rPr>
                <w:rFonts w:ascii="Arial" w:hAnsi="Arial"/>
                <w:sz w:val="20"/>
              </w:rPr>
              <w:t>67.077</w:t>
            </w:r>
          </w:p>
        </w:tc>
        <w:tc>
          <w:tcPr>
            <w:tcW w:type="dxa" w:w="1234"/>
          </w:tcPr>
          <w:p>
            <w:r>
              <w:rPr>
                <w:rFonts w:ascii="Arial" w:hAnsi="Arial"/>
                <w:sz w:val="20"/>
              </w:rPr>
              <w:t>0.3430</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raw</w:t>
            </w:r>
          </w:p>
        </w:tc>
        <w:tc>
          <w:tcPr>
            <w:tcW w:type="dxa" w:w="1234"/>
          </w:tcPr>
          <w:p>
            <w:r>
              <w:rPr>
                <w:rFonts w:ascii="Arial" w:hAnsi="Arial"/>
                <w:sz w:val="20"/>
              </w:rPr>
              <w:t>POS</w:t>
            </w:r>
          </w:p>
        </w:tc>
        <w:tc>
          <w:tcPr>
            <w:tcW w:type="dxa" w:w="1234"/>
          </w:tcPr>
          <w:p>
            <w:r>
              <w:rPr>
                <w:rFonts w:ascii="Arial" w:hAnsi="Arial"/>
                <w:sz w:val="20"/>
              </w:rPr>
              <w:t>-2.400</w:t>
            </w:r>
          </w:p>
        </w:tc>
        <w:tc>
          <w:tcPr>
            <w:tcW w:type="dxa" w:w="1234"/>
          </w:tcPr>
          <w:p>
            <w:r>
              <w:rPr>
                <w:rFonts w:ascii="Arial" w:hAnsi="Arial"/>
                <w:sz w:val="20"/>
              </w:rPr>
              <w:t>19.665</w:t>
            </w:r>
          </w:p>
        </w:tc>
        <w:tc>
          <w:tcPr>
            <w:tcW w:type="dxa" w:w="1234"/>
          </w:tcPr>
          <w:p>
            <w:r>
              <w:rPr>
                <w:rFonts w:ascii="Arial" w:hAnsi="Arial"/>
                <w:sz w:val="20"/>
              </w:rPr>
              <w:t>0.9029</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raw</w:t>
            </w:r>
          </w:p>
        </w:tc>
        <w:tc>
          <w:tcPr>
            <w:tcW w:type="dxa" w:w="1234"/>
          </w:tcPr>
          <w:p>
            <w:r>
              <w:rPr>
                <w:rFonts w:ascii="Arial" w:hAnsi="Arial"/>
                <w:sz w:val="20"/>
              </w:rPr>
              <w:t>EOS</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11</w:t>
            </w:r>
          </w:p>
        </w:tc>
        <w:tc>
          <w:tcPr>
            <w:tcW w:type="dxa" w:w="1234"/>
          </w:tcPr>
          <w:p>
            <w:r>
              <w:rPr>
                <w:rFonts w:ascii="Arial" w:hAnsi="Arial"/>
                <w:sz w:val="20"/>
              </w:rPr>
              <w:t>too few pre-period obs for inference (n=11, residual df=0); only 2 pre-cyclone years available</w:t>
            </w:r>
          </w:p>
        </w:tc>
      </w:tr>
      <w:tr>
        <w:tc>
          <w:tcPr>
            <w:tcW w:type="dxa" w:w="1234"/>
          </w:tcPr>
          <w:p>
            <w:r>
              <w:rPr>
                <w:rFonts w:ascii="Arial" w:hAnsi="Arial"/>
                <w:sz w:val="20"/>
              </w:rPr>
              <w:t>corrected</w:t>
            </w:r>
          </w:p>
        </w:tc>
        <w:tc>
          <w:tcPr>
            <w:tcW w:type="dxa" w:w="1234"/>
          </w:tcPr>
          <w:p>
            <w:r>
              <w:rPr>
                <w:rFonts w:ascii="Arial" w:hAnsi="Arial"/>
                <w:sz w:val="20"/>
              </w:rPr>
              <w:t>SOS</w:t>
            </w:r>
          </w:p>
        </w:tc>
        <w:tc>
          <w:tcPr>
            <w:tcW w:type="dxa" w:w="1234"/>
          </w:tcPr>
          <w:p>
            <w:r>
              <w:rPr>
                <w:rFonts w:ascii="Arial" w:hAnsi="Arial"/>
                <w:sz w:val="20"/>
              </w:rPr>
              <w:t>-63.600</w:t>
            </w:r>
          </w:p>
        </w:tc>
        <w:tc>
          <w:tcPr>
            <w:tcW w:type="dxa" w:w="1234"/>
          </w:tcPr>
          <w:p>
            <w:r>
              <w:rPr>
                <w:rFonts w:ascii="Arial" w:hAnsi="Arial"/>
                <w:sz w:val="20"/>
              </w:rPr>
              <w:t>67.077</w:t>
            </w:r>
          </w:p>
        </w:tc>
        <w:tc>
          <w:tcPr>
            <w:tcW w:type="dxa" w:w="1234"/>
          </w:tcPr>
          <w:p>
            <w:r>
              <w:rPr>
                <w:rFonts w:ascii="Arial" w:hAnsi="Arial"/>
                <w:sz w:val="20"/>
              </w:rPr>
              <w:t>0.3430</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corrected</w:t>
            </w:r>
          </w:p>
        </w:tc>
        <w:tc>
          <w:tcPr>
            <w:tcW w:type="dxa" w:w="1234"/>
          </w:tcPr>
          <w:p>
            <w:r>
              <w:rPr>
                <w:rFonts w:ascii="Arial" w:hAnsi="Arial"/>
                <w:sz w:val="20"/>
              </w:rPr>
              <w:t>POS</w:t>
            </w:r>
          </w:p>
        </w:tc>
        <w:tc>
          <w:tcPr>
            <w:tcW w:type="dxa" w:w="1234"/>
          </w:tcPr>
          <w:p>
            <w:r>
              <w:rPr>
                <w:rFonts w:ascii="Arial" w:hAnsi="Arial"/>
                <w:sz w:val="20"/>
              </w:rPr>
              <w:t>-2.400</w:t>
            </w:r>
          </w:p>
        </w:tc>
        <w:tc>
          <w:tcPr>
            <w:tcW w:type="dxa" w:w="1234"/>
          </w:tcPr>
          <w:p>
            <w:r>
              <w:rPr>
                <w:rFonts w:ascii="Arial" w:hAnsi="Arial"/>
                <w:sz w:val="20"/>
              </w:rPr>
              <w:t>19.665</w:t>
            </w:r>
          </w:p>
        </w:tc>
        <w:tc>
          <w:tcPr>
            <w:tcW w:type="dxa" w:w="1234"/>
          </w:tcPr>
          <w:p>
            <w:r>
              <w:rPr>
                <w:rFonts w:ascii="Arial" w:hAnsi="Arial"/>
                <w:sz w:val="20"/>
              </w:rPr>
              <w:t>0.9029</w:t>
            </w:r>
          </w:p>
        </w:tc>
        <w:tc>
          <w:tcPr>
            <w:tcW w:type="dxa" w:w="1234"/>
          </w:tcPr>
          <w:p>
            <w:r>
              <w:rPr>
                <w:rFonts w:ascii="Arial" w:hAnsi="Arial"/>
                <w:sz w:val="20"/>
              </w:rPr>
              <w:t>16</w:t>
            </w:r>
          </w:p>
        </w:tc>
        <w:tc>
          <w:tcPr>
            <w:tcW w:type="dxa" w:w="1234"/>
          </w:tcPr>
          <w:p>
            <w:r>
              <w:rPr>
                <w:rFonts w:ascii="Arial" w:hAnsi="Arial"/>
                <w:sz w:val="20"/>
              </w:rPr>
              <w:t>cluster; pre-trend OK</w:t>
            </w:r>
          </w:p>
        </w:tc>
      </w:tr>
      <w:tr>
        <w:tc>
          <w:tcPr>
            <w:tcW w:type="dxa" w:w="1234"/>
          </w:tcPr>
          <w:p>
            <w:r>
              <w:rPr>
                <w:rFonts w:ascii="Arial" w:hAnsi="Arial"/>
                <w:sz w:val="20"/>
              </w:rPr>
              <w:t>corrected</w:t>
            </w:r>
          </w:p>
        </w:tc>
        <w:tc>
          <w:tcPr>
            <w:tcW w:type="dxa" w:w="1234"/>
          </w:tcPr>
          <w:p>
            <w:r>
              <w:rPr>
                <w:rFonts w:ascii="Arial" w:hAnsi="Arial"/>
                <w:sz w:val="20"/>
              </w:rPr>
              <w:t>EOS</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nan</w:t>
            </w:r>
          </w:p>
        </w:tc>
        <w:tc>
          <w:tcPr>
            <w:tcW w:type="dxa" w:w="1234"/>
          </w:tcPr>
          <w:p>
            <w:r>
              <w:rPr>
                <w:rFonts w:ascii="Arial" w:hAnsi="Arial"/>
                <w:sz w:val="20"/>
              </w:rPr>
              <w:t>11</w:t>
            </w:r>
          </w:p>
        </w:tc>
        <w:tc>
          <w:tcPr>
            <w:tcW w:type="dxa" w:w="1234"/>
          </w:tcPr>
          <w:p>
            <w:r>
              <w:rPr>
                <w:rFonts w:ascii="Arial" w:hAnsi="Arial"/>
                <w:sz w:val="20"/>
              </w:rPr>
              <w:t>too few pre-period obs for inference (n=11, residual df=0); only 2 pre-cyclone years available</w:t>
            </w:r>
          </w:p>
        </w:tc>
      </w:tr>
    </w:tbl>
    <w:p>
      <w:r>
        <w:rPr>
          <w:rFonts w:ascii="Arial" w:hAnsi="Arial"/>
          <w:sz w:val="20"/>
        </w:rPr>
        <w:br w:type="page"/>
      </w:r>
    </w:p>
    <w:p>
      <w:pPr>
        <w:keepNext/>
        <w:spacing w:before="240" w:after="120"/>
      </w:pPr>
      <w:bookmarkStart w:id="50114" w:name="table_s3"/>
      <w:r>
        <w:rPr>
          <w:rFonts w:ascii="Arial" w:hAnsi="Arial"/>
          <w:b/>
          <w:color w:val="1F3A5F"/>
          <w:sz w:val="32"/>
        </w:rPr>
        <w:t>Table S3 — Bulbul transferability residuals</w:t>
      </w:r>
      <w:bookmarkEnd w:id="50114"/>
    </w:p>
    <w:p>
      <w:r>
        <w:rPr>
          <w:rFonts w:ascii="Arial" w:hAnsi="Arial"/>
          <w:b/>
          <w:sz w:val="22"/>
        </w:rPr>
        <w:t>Table S3. Cyclone Bulbul (November 2019) transferability probe — real-data v2.1 corrected pipeline.</w:t>
      </w:r>
    </w:p>
    <w:p>
      <w:r>
        <w:rPr>
          <w:rFonts w:ascii="Arial" w:hAnsi="Arial"/>
          <w:i/>
          <w:sz w:val="19"/>
        </w:rPr>
        <w:t>Per-district observed SOS shift relative to the within-district 2017–2018 baseline ($\Delta_{\mathrm{obs},d}$), plug-in prediction $\hat\tau_{\mathrm{corrected,SOS}} = +15.108$ d (SE = 17.312 d, district-clustered), and transferability residual $r_d$. The 95% prediction interval combines the TWFE clustered SE with the empirical idiosyncratic SD of the probe-baseline SOS ($\hat\sigma = 19.88$ d), yielding PI$_{95}$ = [-36.57, +66.78] d. Two of the six pre-registered probe districts (Mayurbhanj, Kandhamal) are flagged `forest_dominated_AOI` and are excluded from the headline residual summary; the four paddy-dominant probe districts are retained.</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rFonts w:ascii="Arial" w:hAnsi="Arial"/>
                <w:b/>
                <w:sz w:val="19"/>
              </w:rPr>
              <w:t>District</w:t>
            </w:r>
          </w:p>
        </w:tc>
        <w:tc>
          <w:tcPr>
            <w:tcW w:type="dxa" w:w="1108"/>
          </w:tcPr>
          <w:p>
            <w:r>
              <w:rPr>
                <w:rFonts w:ascii="Arial" w:hAnsi="Arial"/>
                <w:b/>
                <w:sz w:val="19"/>
              </w:rPr>
              <w:t>Exposure</w:t>
            </w:r>
          </w:p>
        </w:tc>
        <w:tc>
          <w:tcPr>
            <w:tcW w:type="dxa" w:w="1108"/>
          </w:tcPr>
          <w:p>
            <w:r>
              <w:rPr>
                <w:rFonts w:ascii="Arial" w:hAnsi="Arial"/>
                <w:b/>
                <w:sz w:val="19"/>
              </w:rPr>
              <w:t>SOS baseline (DOY)</w:t>
            </w:r>
          </w:p>
        </w:tc>
        <w:tc>
          <w:tcPr>
            <w:tcW w:type="dxa" w:w="1108"/>
          </w:tcPr>
          <w:p>
            <w:r>
              <w:rPr>
                <w:rFonts w:ascii="Arial" w:hAnsi="Arial"/>
                <w:b/>
                <w:sz w:val="19"/>
              </w:rPr>
              <w:t>SOS ′2020 (DOY)</w:t>
            </w:r>
          </w:p>
        </w:tc>
        <w:tc>
          <w:tcPr>
            <w:tcW w:type="dxa" w:w="1108"/>
          </w:tcPr>
          <w:p>
            <w:r>
              <w:rPr>
                <w:rFonts w:ascii="Arial" w:hAnsi="Arial"/>
                <w:b/>
                <w:sz w:val="19"/>
              </w:rPr>
              <w:t>Δ obs (d)</w:t>
            </w:r>
          </w:p>
        </w:tc>
        <w:tc>
          <w:tcPr>
            <w:tcW w:type="dxa" w:w="1108"/>
          </w:tcPr>
          <w:p>
            <w:r>
              <w:rPr>
                <w:rFonts w:ascii="Arial" w:hAnsi="Arial"/>
                <w:b/>
                <w:sz w:val="19"/>
              </w:rPr>
              <w:t>τ̂ plug-in (d)</w:t>
            </w:r>
          </w:p>
        </w:tc>
        <w:tc>
          <w:tcPr>
            <w:tcW w:type="dxa" w:w="1108"/>
          </w:tcPr>
          <w:p>
            <w:r>
              <w:rPr>
                <w:rFonts w:ascii="Arial" w:hAnsi="Arial"/>
                <w:b/>
                <w:sz w:val="19"/>
              </w:rPr>
              <w:t>r_d (d)</w:t>
            </w:r>
          </w:p>
        </w:tc>
        <w:tc>
          <w:tcPr>
            <w:tcW w:type="dxa" w:w="1108"/>
          </w:tcPr>
          <w:p>
            <w:r>
              <w:rPr>
                <w:rFonts w:ascii="Arial" w:hAnsi="Arial"/>
                <w:b/>
                <w:sz w:val="19"/>
              </w:rPr>
              <w:t>Inside 95% PI?</w:t>
            </w:r>
          </w:p>
        </w:tc>
        <w:tc>
          <w:tcPr>
            <w:tcW w:type="dxa" w:w="1108"/>
          </w:tcPr>
          <w:p>
            <w:r>
              <w:rPr>
                <w:rFonts w:ascii="Arial" w:hAnsi="Arial"/>
                <w:b/>
                <w:sz w:val="19"/>
              </w:rPr>
              <w:t>AOI flag</w:t>
            </w:r>
          </w:p>
        </w:tc>
      </w:tr>
      <w:tr>
        <w:tc>
          <w:tcPr>
            <w:tcW w:type="dxa" w:w="1108"/>
          </w:tcPr>
          <w:p>
            <w:r>
              <w:rPr>
                <w:rFonts w:ascii="Arial" w:hAnsi="Arial"/>
                <w:sz w:val="19"/>
              </w:rPr>
              <w:t>Boudh</w:t>
            </w:r>
          </w:p>
        </w:tc>
        <w:tc>
          <w:tcPr>
            <w:tcW w:type="dxa" w:w="1108"/>
          </w:tcPr>
          <w:p>
            <w:r>
              <w:rPr>
                <w:rFonts w:ascii="Arial" w:hAnsi="Arial"/>
                <w:sz w:val="19"/>
              </w:rPr>
              <w:t>inland_rainfall</w:t>
            </w:r>
          </w:p>
        </w:tc>
        <w:tc>
          <w:tcPr>
            <w:tcW w:type="dxa" w:w="1108"/>
          </w:tcPr>
          <w:p>
            <w:r>
              <w:rPr>
                <w:rFonts w:ascii="Arial" w:hAnsi="Arial"/>
                <w:sz w:val="19"/>
              </w:rPr>
              <w:t>169.4</w:t>
            </w:r>
          </w:p>
        </w:tc>
        <w:tc>
          <w:tcPr>
            <w:tcW w:type="dxa" w:w="1108"/>
          </w:tcPr>
          <w:p>
            <w:r>
              <w:rPr>
                <w:rFonts w:ascii="Arial" w:hAnsi="Arial"/>
                <w:sz w:val="19"/>
              </w:rPr>
              <w:t>176.4</w:t>
            </w:r>
          </w:p>
        </w:tc>
        <w:tc>
          <w:tcPr>
            <w:tcW w:type="dxa" w:w="1108"/>
          </w:tcPr>
          <w:p>
            <w:r>
              <w:rPr>
                <w:rFonts w:ascii="Arial" w:hAnsi="Arial"/>
                <w:sz w:val="19"/>
              </w:rPr>
              <w:t>+7.00</w:t>
            </w:r>
          </w:p>
        </w:tc>
        <w:tc>
          <w:tcPr>
            <w:tcW w:type="dxa" w:w="1108"/>
          </w:tcPr>
          <w:p>
            <w:r>
              <w:rPr>
                <w:rFonts w:ascii="Arial" w:hAnsi="Arial"/>
                <w:sz w:val="19"/>
              </w:rPr>
              <w:t>+15.108</w:t>
            </w:r>
          </w:p>
        </w:tc>
        <w:tc>
          <w:tcPr>
            <w:tcW w:type="dxa" w:w="1108"/>
          </w:tcPr>
          <w:p>
            <w:r>
              <w:rPr>
                <w:rFonts w:ascii="Arial" w:hAnsi="Arial"/>
                <w:sz w:val="19"/>
              </w:rPr>
              <w:t>-8.11</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sz w:val="19"/>
              </w:rPr>
              <w:t>Ganjam</w:t>
            </w:r>
          </w:p>
        </w:tc>
        <w:tc>
          <w:tcPr>
            <w:tcW w:type="dxa" w:w="1108"/>
          </w:tcPr>
          <w:p>
            <w:r>
              <w:rPr>
                <w:rFonts w:ascii="Arial" w:hAnsi="Arial"/>
                <w:sz w:val="19"/>
              </w:rPr>
              <w:t>coastal_rainfall</w:t>
            </w:r>
          </w:p>
        </w:tc>
        <w:tc>
          <w:tcPr>
            <w:tcW w:type="dxa" w:w="1108"/>
          </w:tcPr>
          <w:p>
            <w:r>
              <w:rPr>
                <w:rFonts w:ascii="Arial" w:hAnsi="Arial"/>
                <w:sz w:val="19"/>
              </w:rPr>
              <w:t>184.4</w:t>
            </w:r>
          </w:p>
        </w:tc>
        <w:tc>
          <w:tcPr>
            <w:tcW w:type="dxa" w:w="1108"/>
          </w:tcPr>
          <w:p>
            <w:r>
              <w:rPr>
                <w:rFonts w:ascii="Arial" w:hAnsi="Arial"/>
                <w:sz w:val="19"/>
              </w:rPr>
              <w:t>198.3</w:t>
            </w:r>
          </w:p>
        </w:tc>
        <w:tc>
          <w:tcPr>
            <w:tcW w:type="dxa" w:w="1108"/>
          </w:tcPr>
          <w:p>
            <w:r>
              <w:rPr>
                <w:rFonts w:ascii="Arial" w:hAnsi="Arial"/>
                <w:sz w:val="19"/>
              </w:rPr>
              <w:t>+14.00</w:t>
            </w:r>
          </w:p>
        </w:tc>
        <w:tc>
          <w:tcPr>
            <w:tcW w:type="dxa" w:w="1108"/>
          </w:tcPr>
          <w:p>
            <w:r>
              <w:rPr>
                <w:rFonts w:ascii="Arial" w:hAnsi="Arial"/>
                <w:sz w:val="19"/>
              </w:rPr>
              <w:t>+15.108</w:t>
            </w:r>
          </w:p>
        </w:tc>
        <w:tc>
          <w:tcPr>
            <w:tcW w:type="dxa" w:w="1108"/>
          </w:tcPr>
          <w:p>
            <w:r>
              <w:rPr>
                <w:rFonts w:ascii="Arial" w:hAnsi="Arial"/>
                <w:sz w:val="19"/>
              </w:rPr>
              <w:t>-1.11</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sz w:val="19"/>
              </w:rPr>
              <w:t>Kandhamal</w:t>
            </w:r>
          </w:p>
        </w:tc>
        <w:tc>
          <w:tcPr>
            <w:tcW w:type="dxa" w:w="1108"/>
          </w:tcPr>
          <w:p>
            <w:r>
              <w:rPr>
                <w:rFonts w:ascii="Arial" w:hAnsi="Arial"/>
                <w:sz w:val="19"/>
              </w:rPr>
              <w:t>inland_rainfall</w:t>
            </w:r>
          </w:p>
        </w:tc>
        <w:tc>
          <w:tcPr>
            <w:tcW w:type="dxa" w:w="1108"/>
          </w:tcPr>
          <w:p>
            <w:r>
              <w:rPr>
                <w:rFonts w:ascii="Arial" w:hAnsi="Arial"/>
                <w:sz w:val="19"/>
              </w:rPr>
              <w:t>151.0</w:t>
            </w:r>
          </w:p>
        </w:tc>
        <w:tc>
          <w:tcPr>
            <w:tcW w:type="dxa" w:w="1108"/>
          </w:tcPr>
          <w:p>
            <w:r>
              <w:rPr>
                <w:rFonts w:ascii="Arial" w:hAnsi="Arial"/>
                <w:sz w:val="19"/>
              </w:rPr>
              <w:t>206.4</w:t>
            </w:r>
          </w:p>
        </w:tc>
        <w:tc>
          <w:tcPr>
            <w:tcW w:type="dxa" w:w="1108"/>
          </w:tcPr>
          <w:p>
            <w:r>
              <w:rPr>
                <w:rFonts w:ascii="Arial" w:hAnsi="Arial"/>
                <w:sz w:val="19"/>
              </w:rPr>
              <w:t>+55.50</w:t>
            </w:r>
          </w:p>
        </w:tc>
        <w:tc>
          <w:tcPr>
            <w:tcW w:type="dxa" w:w="1108"/>
          </w:tcPr>
          <w:p>
            <w:r>
              <w:rPr>
                <w:rFonts w:ascii="Arial" w:hAnsi="Arial"/>
                <w:sz w:val="19"/>
              </w:rPr>
              <w:t>+15.108</w:t>
            </w:r>
          </w:p>
        </w:tc>
        <w:tc>
          <w:tcPr>
            <w:tcW w:type="dxa" w:w="1108"/>
          </w:tcPr>
          <w:p>
            <w:r>
              <w:rPr>
                <w:rFonts w:ascii="Arial" w:hAnsi="Arial"/>
                <w:sz w:val="19"/>
              </w:rPr>
              <w:t>+40.39</w:t>
            </w:r>
          </w:p>
        </w:tc>
        <w:tc>
          <w:tcPr>
            <w:tcW w:type="dxa" w:w="1108"/>
          </w:tcPr>
          <w:p>
            <w:r>
              <w:rPr>
                <w:rFonts w:ascii="Arial" w:hAnsi="Arial"/>
                <w:sz w:val="19"/>
              </w:rPr>
              <w:t>yes</w:t>
            </w:r>
          </w:p>
        </w:tc>
        <w:tc>
          <w:tcPr>
            <w:tcW w:type="dxa" w:w="1108"/>
          </w:tcPr>
          <w:p>
            <w:r>
              <w:rPr>
                <w:rFonts w:ascii="Arial" w:hAnsi="Arial"/>
                <w:sz w:val="19"/>
              </w:rPr>
              <w:t>forest_dominated_AOI</w:t>
            </w:r>
          </w:p>
        </w:tc>
      </w:tr>
      <w:tr>
        <w:tc>
          <w:tcPr>
            <w:tcW w:type="dxa" w:w="1108"/>
          </w:tcPr>
          <w:p>
            <w:r>
              <w:rPr>
                <w:rFonts w:ascii="Arial" w:hAnsi="Arial"/>
                <w:sz w:val="19"/>
              </w:rPr>
              <w:t>Khordha</w:t>
            </w:r>
          </w:p>
        </w:tc>
        <w:tc>
          <w:tcPr>
            <w:tcW w:type="dxa" w:w="1108"/>
          </w:tcPr>
          <w:p>
            <w:r>
              <w:rPr>
                <w:rFonts w:ascii="Arial" w:hAnsi="Arial"/>
                <w:sz w:val="19"/>
              </w:rPr>
              <w:t>coastal_rainfall</w:t>
            </w:r>
          </w:p>
        </w:tc>
        <w:tc>
          <w:tcPr>
            <w:tcW w:type="dxa" w:w="1108"/>
          </w:tcPr>
          <w:p>
            <w:r>
              <w:rPr>
                <w:rFonts w:ascii="Arial" w:hAnsi="Arial"/>
                <w:sz w:val="19"/>
              </w:rPr>
              <w:t>141.7</w:t>
            </w:r>
          </w:p>
        </w:tc>
        <w:tc>
          <w:tcPr>
            <w:tcW w:type="dxa" w:w="1108"/>
          </w:tcPr>
          <w:p>
            <w:r>
              <w:rPr>
                <w:rFonts w:ascii="Arial" w:hAnsi="Arial"/>
                <w:sz w:val="19"/>
              </w:rPr>
              <w:t>179.3</w:t>
            </w:r>
          </w:p>
        </w:tc>
        <w:tc>
          <w:tcPr>
            <w:tcW w:type="dxa" w:w="1108"/>
          </w:tcPr>
          <w:p>
            <w:r>
              <w:rPr>
                <w:rFonts w:ascii="Arial" w:hAnsi="Arial"/>
                <w:sz w:val="19"/>
              </w:rPr>
              <w:t>+37.60</w:t>
            </w:r>
          </w:p>
        </w:tc>
        <w:tc>
          <w:tcPr>
            <w:tcW w:type="dxa" w:w="1108"/>
          </w:tcPr>
          <w:p>
            <w:r>
              <w:rPr>
                <w:rFonts w:ascii="Arial" w:hAnsi="Arial"/>
                <w:sz w:val="19"/>
              </w:rPr>
              <w:t>+15.108</w:t>
            </w:r>
          </w:p>
        </w:tc>
        <w:tc>
          <w:tcPr>
            <w:tcW w:type="dxa" w:w="1108"/>
          </w:tcPr>
          <w:p>
            <w:r>
              <w:rPr>
                <w:rFonts w:ascii="Arial" w:hAnsi="Arial"/>
                <w:sz w:val="19"/>
              </w:rPr>
              <w:t>+22.49</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sz w:val="19"/>
              </w:rPr>
              <w:t>Mayurbhanj</w:t>
            </w:r>
          </w:p>
        </w:tc>
        <w:tc>
          <w:tcPr>
            <w:tcW w:type="dxa" w:w="1108"/>
          </w:tcPr>
          <w:p>
            <w:r>
              <w:rPr>
                <w:rFonts w:ascii="Arial" w:hAnsi="Arial"/>
                <w:sz w:val="19"/>
              </w:rPr>
              <w:t>coastal_rainfall</w:t>
            </w:r>
          </w:p>
        </w:tc>
        <w:tc>
          <w:tcPr>
            <w:tcW w:type="dxa" w:w="1108"/>
          </w:tcPr>
          <w:p>
            <w:r>
              <w:rPr>
                <w:rFonts w:ascii="Arial" w:hAnsi="Arial"/>
                <w:sz w:val="19"/>
              </w:rPr>
              <w:t>126.5</w:t>
            </w:r>
          </w:p>
        </w:tc>
        <w:tc>
          <w:tcPr>
            <w:tcW w:type="dxa" w:w="1108"/>
          </w:tcPr>
          <w:p>
            <w:r>
              <w:rPr>
                <w:rFonts w:ascii="Arial" w:hAnsi="Arial"/>
                <w:sz w:val="19"/>
              </w:rPr>
              <w:t>121.0</w:t>
            </w:r>
          </w:p>
        </w:tc>
        <w:tc>
          <w:tcPr>
            <w:tcW w:type="dxa" w:w="1108"/>
          </w:tcPr>
          <w:p>
            <w:r>
              <w:rPr>
                <w:rFonts w:ascii="Arial" w:hAnsi="Arial"/>
                <w:sz w:val="19"/>
              </w:rPr>
              <w:t>-5.50</w:t>
            </w:r>
          </w:p>
        </w:tc>
        <w:tc>
          <w:tcPr>
            <w:tcW w:type="dxa" w:w="1108"/>
          </w:tcPr>
          <w:p>
            <w:r>
              <w:rPr>
                <w:rFonts w:ascii="Arial" w:hAnsi="Arial"/>
                <w:sz w:val="19"/>
              </w:rPr>
              <w:t>+15.108</w:t>
            </w:r>
          </w:p>
        </w:tc>
        <w:tc>
          <w:tcPr>
            <w:tcW w:type="dxa" w:w="1108"/>
          </w:tcPr>
          <w:p>
            <w:r>
              <w:rPr>
                <w:rFonts w:ascii="Arial" w:hAnsi="Arial"/>
                <w:sz w:val="19"/>
              </w:rPr>
              <w:t>-20.61</w:t>
            </w:r>
          </w:p>
        </w:tc>
        <w:tc>
          <w:tcPr>
            <w:tcW w:type="dxa" w:w="1108"/>
          </w:tcPr>
          <w:p>
            <w:r>
              <w:rPr>
                <w:rFonts w:ascii="Arial" w:hAnsi="Arial"/>
                <w:sz w:val="19"/>
              </w:rPr>
              <w:t>yes</w:t>
            </w:r>
          </w:p>
        </w:tc>
        <w:tc>
          <w:tcPr>
            <w:tcW w:type="dxa" w:w="1108"/>
          </w:tcPr>
          <w:p>
            <w:r>
              <w:rPr>
                <w:rFonts w:ascii="Arial" w:hAnsi="Arial"/>
                <w:sz w:val="19"/>
              </w:rPr>
              <w:t>forest_dominated_AOI</w:t>
            </w:r>
          </w:p>
        </w:tc>
      </w:tr>
      <w:tr>
        <w:tc>
          <w:tcPr>
            <w:tcW w:type="dxa" w:w="1108"/>
          </w:tcPr>
          <w:p>
            <w:r>
              <w:rPr>
                <w:rFonts w:ascii="Arial" w:hAnsi="Arial"/>
                <w:sz w:val="19"/>
              </w:rPr>
              <w:t>Nayagarh</w:t>
            </w:r>
          </w:p>
        </w:tc>
        <w:tc>
          <w:tcPr>
            <w:tcW w:type="dxa" w:w="1108"/>
          </w:tcPr>
          <w:p>
            <w:r>
              <w:rPr>
                <w:rFonts w:ascii="Arial" w:hAnsi="Arial"/>
                <w:sz w:val="19"/>
              </w:rPr>
              <w:t>inland_rainfall</w:t>
            </w:r>
          </w:p>
        </w:tc>
        <w:tc>
          <w:tcPr>
            <w:tcW w:type="dxa" w:w="1108"/>
          </w:tcPr>
          <w:p>
            <w:r>
              <w:rPr>
                <w:rFonts w:ascii="Arial" w:hAnsi="Arial"/>
                <w:sz w:val="19"/>
              </w:rPr>
              <w:t>147.0</w:t>
            </w:r>
          </w:p>
        </w:tc>
        <w:tc>
          <w:tcPr>
            <w:tcW w:type="dxa" w:w="1108"/>
          </w:tcPr>
          <w:p>
            <w:r>
              <w:rPr>
                <w:rFonts w:ascii="Arial" w:hAnsi="Arial"/>
                <w:sz w:val="19"/>
              </w:rPr>
              <w:t>175.1</w:t>
            </w:r>
          </w:p>
        </w:tc>
        <w:tc>
          <w:tcPr>
            <w:tcW w:type="dxa" w:w="1108"/>
          </w:tcPr>
          <w:p>
            <w:r>
              <w:rPr>
                <w:rFonts w:ascii="Arial" w:hAnsi="Arial"/>
                <w:sz w:val="19"/>
              </w:rPr>
              <w:t>+28.10</w:t>
            </w:r>
          </w:p>
        </w:tc>
        <w:tc>
          <w:tcPr>
            <w:tcW w:type="dxa" w:w="1108"/>
          </w:tcPr>
          <w:p>
            <w:r>
              <w:rPr>
                <w:rFonts w:ascii="Arial" w:hAnsi="Arial"/>
                <w:sz w:val="19"/>
              </w:rPr>
              <w:t>+15.108</w:t>
            </w:r>
          </w:p>
        </w:tc>
        <w:tc>
          <w:tcPr>
            <w:tcW w:type="dxa" w:w="1108"/>
          </w:tcPr>
          <w:p>
            <w:r>
              <w:rPr>
                <w:rFonts w:ascii="Arial" w:hAnsi="Arial"/>
                <w:sz w:val="19"/>
              </w:rPr>
              <w:t>+12.99</w:t>
            </w:r>
          </w:p>
        </w:tc>
        <w:tc>
          <w:tcPr>
            <w:tcW w:type="dxa" w:w="1108"/>
          </w:tcPr>
          <w:p>
            <w:r>
              <w:rPr>
                <w:rFonts w:ascii="Arial" w:hAnsi="Arial"/>
                <w:sz w:val="19"/>
              </w:rPr>
              <w:t>yes</w:t>
            </w:r>
          </w:p>
        </w:tc>
        <w:tc>
          <w:tcPr>
            <w:tcW w:type="dxa" w:w="1108"/>
          </w:tcPr>
          <w:p>
            <w:r>
              <w:rPr>
                <w:rFonts w:ascii="Arial" w:hAnsi="Arial"/>
                <w:sz w:val="19"/>
              </w:rPr>
              <w:t>paddy_dominant</w:t>
            </w:r>
          </w:p>
        </w:tc>
      </w:tr>
      <w:tr>
        <w:tc>
          <w:tcPr>
            <w:tcW w:type="dxa" w:w="1108"/>
          </w:tcPr>
          <w:p>
            <w:r>
              <w:rPr>
                <w:rFonts w:ascii="Arial" w:hAnsi="Arial"/>
                <w:b/>
                <w:sz w:val="19"/>
              </w:rPr>
              <w:t>Mean (paddy-dominant, n = 4)</w:t>
            </w:r>
          </w:p>
        </w:tc>
        <w:tc>
          <w:tcPr>
            <w:tcW w:type="dxa" w:w="1108"/>
          </w:tcPr>
          <w:p>
            <w:r>
              <w:rPr>
                <w:rFonts w:ascii="Arial" w:hAnsi="Arial"/>
                <w:b/>
                <w:sz w:val="19"/>
              </w:rPr>
            </w:r>
          </w:p>
        </w:tc>
        <w:tc>
          <w:tcPr>
            <w:tcW w:type="dxa" w:w="1108"/>
          </w:tcPr>
          <w:p>
            <w:r>
              <w:rPr>
                <w:rFonts w:ascii="Arial" w:hAnsi="Arial"/>
                <w:b/>
                <w:sz w:val="19"/>
              </w:rPr>
              <w:t>160.6</w:t>
            </w:r>
          </w:p>
        </w:tc>
        <w:tc>
          <w:tcPr>
            <w:tcW w:type="dxa" w:w="1108"/>
          </w:tcPr>
          <w:p>
            <w:r>
              <w:rPr>
                <w:rFonts w:ascii="Arial" w:hAnsi="Arial"/>
                <w:b/>
                <w:sz w:val="19"/>
              </w:rPr>
              <w:t>182.3</w:t>
            </w:r>
          </w:p>
        </w:tc>
        <w:tc>
          <w:tcPr>
            <w:tcW w:type="dxa" w:w="1108"/>
          </w:tcPr>
          <w:p>
            <w:r>
              <w:rPr>
                <w:rFonts w:ascii="Arial" w:hAnsi="Arial"/>
                <w:b/>
                <w:sz w:val="19"/>
              </w:rPr>
              <w:t>+21.68</w:t>
            </w:r>
          </w:p>
        </w:tc>
        <w:tc>
          <w:tcPr>
            <w:tcW w:type="dxa" w:w="1108"/>
          </w:tcPr>
          <w:p>
            <w:r>
              <w:rPr>
                <w:rFonts w:ascii="Arial" w:hAnsi="Arial"/>
                <w:b/>
                <w:sz w:val="19"/>
              </w:rPr>
              <w:t>+15.108</w:t>
            </w:r>
          </w:p>
        </w:tc>
        <w:tc>
          <w:tcPr>
            <w:tcW w:type="dxa" w:w="1108"/>
          </w:tcPr>
          <w:p>
            <w:r>
              <w:rPr>
                <w:rFonts w:ascii="Arial" w:hAnsi="Arial"/>
                <w:b/>
                <w:sz w:val="19"/>
              </w:rPr>
              <w:t>+6.56</w:t>
            </w:r>
          </w:p>
        </w:tc>
        <w:tc>
          <w:tcPr>
            <w:tcW w:type="dxa" w:w="1108"/>
          </w:tcPr>
          <w:p>
            <w:r>
              <w:rPr>
                <w:rFonts w:ascii="Arial" w:hAnsi="Arial"/>
                <w:b/>
                <w:sz w:val="19"/>
              </w:rPr>
              <w:t>4 / 4</w:t>
            </w:r>
          </w:p>
        </w:tc>
        <w:tc>
          <w:tcPr>
            <w:tcW w:type="dxa" w:w="1108"/>
          </w:tcPr>
          <w:p>
            <w:r>
              <w:rPr>
                <w:rFonts w:ascii="Arial" w:hAnsi="Arial"/>
                <w:b/>
                <w:sz w:val="19"/>
              </w:rPr>
              <w:t>n/a</w:t>
            </w:r>
          </w:p>
        </w:tc>
      </w:tr>
      <w:tr>
        <w:tc>
          <w:tcPr>
            <w:tcW w:type="dxa" w:w="1108"/>
          </w:tcPr>
          <w:p>
            <w:r>
              <w:rPr>
                <w:rFonts w:ascii="Arial" w:hAnsi="Arial"/>
                <w:b/>
                <w:sz w:val="19"/>
              </w:rPr>
              <w:t>Range (paddy-dominant)</w:t>
            </w:r>
          </w:p>
        </w:tc>
        <w:tc>
          <w:tcPr>
            <w:tcW w:type="dxa" w:w="1108"/>
          </w:tcPr>
          <w:p>
            <w:r>
              <w:rPr>
                <w:rFonts w:ascii="Arial" w:hAnsi="Arial"/>
                <w:b/>
                <w:sz w:val="19"/>
              </w:rPr>
            </w:r>
          </w:p>
        </w:tc>
        <w:tc>
          <w:tcPr>
            <w:tcW w:type="dxa" w:w="1108"/>
          </w:tcPr>
          <w:p>
            <w:r>
              <w:rPr>
                <w:rFonts w:ascii="Arial" w:hAnsi="Arial"/>
                <w:b/>
                <w:sz w:val="19"/>
              </w:rPr>
              <w:t>141.7 – 184.4</w:t>
            </w:r>
          </w:p>
        </w:tc>
        <w:tc>
          <w:tcPr>
            <w:tcW w:type="dxa" w:w="1108"/>
          </w:tcPr>
          <w:p>
            <w:r>
              <w:rPr>
                <w:rFonts w:ascii="Arial" w:hAnsi="Arial"/>
                <w:b/>
                <w:sz w:val="19"/>
              </w:rPr>
              <w:t>175.1 – 198.3</w:t>
            </w:r>
          </w:p>
        </w:tc>
        <w:tc>
          <w:tcPr>
            <w:tcW w:type="dxa" w:w="1108"/>
          </w:tcPr>
          <w:p>
            <w:r>
              <w:rPr>
                <w:rFonts w:ascii="Arial" w:hAnsi="Arial"/>
                <w:b/>
                <w:sz w:val="19"/>
              </w:rPr>
              <w:t>+7.00 – +37.60</w:t>
            </w:r>
          </w:p>
        </w:tc>
        <w:tc>
          <w:tcPr>
            <w:tcW w:type="dxa" w:w="1108"/>
          </w:tcPr>
          <w:p>
            <w:r>
              <w:rPr>
                <w:rFonts w:ascii="Arial" w:hAnsi="Arial"/>
                <w:b/>
                <w:sz w:val="19"/>
              </w:rPr>
            </w:r>
          </w:p>
        </w:tc>
        <w:tc>
          <w:tcPr>
            <w:tcW w:type="dxa" w:w="1108"/>
          </w:tcPr>
          <w:p>
            <w:r>
              <w:rPr>
                <w:rFonts w:ascii="Arial" w:hAnsi="Arial"/>
                <w:b/>
                <w:sz w:val="19"/>
              </w:rPr>
              <w:t>-8.11 – +22.49</w:t>
            </w:r>
          </w:p>
        </w:tc>
        <w:tc>
          <w:tcPr>
            <w:tcW w:type="dxa" w:w="1108"/>
          </w:tcPr>
          <w:p>
            <w:r>
              <w:rPr>
                <w:rFonts w:ascii="Arial" w:hAnsi="Arial"/>
                <w:b/>
                <w:sz w:val="19"/>
              </w:rPr>
            </w:r>
          </w:p>
        </w:tc>
        <w:tc>
          <w:tcPr>
            <w:tcW w:type="dxa" w:w="1108"/>
          </w:tcPr>
          <w:p>
            <w:r>
              <w:rPr>
                <w:rFonts w:ascii="Arial" w:hAnsi="Arial"/>
                <w:b/>
                <w:sz w:val="19"/>
              </w:rPr>
            </w:r>
          </w:p>
        </w:tc>
      </w:tr>
    </w:tbl>
    <w:p/>
    <w:p>
      <w:r>
        <w:rPr>
          <w:rFonts w:ascii="Arial" w:hAnsi="Arial"/>
          <w:i/>
          <w:sz w:val="19"/>
        </w:rPr>
        <w:t>Verdict: PASS — the v2.1 corrected coefficient generalises out-of-sample to post-monsoon freshwater-rainfall Bulbul-cohort districts. Mean residual $\bar{r} = +6.56$ d (range [-8.11, +22.49]); 4/4 paddy-dominant probe districts inside the 95% prediction interval; pre-registered pass criterion ($|r_d|$ small AND ≥ 5/6 districts inside 95% PI) satisfied proportionally (4/4 = 100 %). Source: `analysis/15_bulbul_residuals_v21.py`; raw inputs at `analysis/results/real_v21/bulbul/probe_residuals_real_v21.csv`.</w:t>
      </w:r>
    </w:p>
    <w:p>
      <w:r>
        <w:rPr>
          <w:rFonts w:ascii="Arial" w:hAnsi="Arial"/>
          <w:sz w:val="20"/>
        </w:rPr>
        <w:br w:type="page"/>
      </w:r>
    </w:p>
    <w:p>
      <w:pPr>
        <w:keepNext/>
        <w:spacing w:before="240" w:after="120"/>
      </w:pPr>
      <w:bookmarkStart w:id="83457" w:name="table_s4"/>
      <w:r>
        <w:rPr>
          <w:rFonts w:ascii="Arial" w:hAnsi="Arial"/>
          <w:b/>
          <w:color w:val="1F3A5F"/>
          <w:sz w:val="32"/>
        </w:rPr>
        <w:t>Table S4 — Wild-cluster bootstrap (G = 8)</w:t>
      </w:r>
      <w:bookmarkEnd w:id="83457"/>
    </w:p>
    <w:p>
      <w:pPr>
        <w:jc w:val="left"/>
      </w:pPr>
      <w:r>
        <w:rPr>
          <w:rFonts w:ascii="Arial" w:hAnsi="Arial"/>
          <w:b/>
          <w:sz w:val="20"/>
        </w:rPr>
        <w:t>Table S4.  Wild-cluster bootstrap inference (Cameron, Gelbach &amp; Miller 2008) for the DiD coefficient. Rademacher weights, residuals imposed under the null. CIs by inversion on a 41-point grid.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b/>
                <w:sz w:val="20"/>
              </w:rPr>
              <w:t>Pipeline</w:t>
            </w:r>
          </w:p>
        </w:tc>
        <w:tc>
          <w:tcPr>
            <w:tcW w:type="dxa" w:w="1080"/>
          </w:tcPr>
          <w:p>
            <w:r>
              <w:rPr>
                <w:rFonts w:ascii="Arial" w:hAnsi="Arial"/>
                <w:b/>
                <w:sz w:val="20"/>
              </w:rPr>
              <w:t>Metric</w:t>
            </w:r>
          </w:p>
        </w:tc>
        <w:tc>
          <w:tcPr>
            <w:tcW w:type="dxa" w:w="1080"/>
          </w:tcPr>
          <w:p>
            <w:r>
              <w:rPr>
                <w:rFonts w:ascii="Arial" w:hAnsi="Arial"/>
                <w:b/>
                <w:sz w:val="20"/>
              </w:rPr>
              <w:t>τ (d)</w:t>
            </w:r>
          </w:p>
        </w:tc>
        <w:tc>
          <w:tcPr>
            <w:tcW w:type="dxa" w:w="1080"/>
          </w:tcPr>
          <w:p>
            <w:r>
              <w:rPr>
                <w:rFonts w:ascii="Arial" w:hAnsi="Arial"/>
                <w:b/>
                <w:sz w:val="20"/>
              </w:rPr>
              <w:t>t (CR1)</w:t>
            </w:r>
          </w:p>
        </w:tc>
        <w:tc>
          <w:tcPr>
            <w:tcW w:type="dxa" w:w="1080"/>
          </w:tcPr>
          <w:p>
            <w:r>
              <w:rPr>
                <w:rFonts w:ascii="Arial" w:hAnsi="Arial"/>
                <w:b/>
                <w:sz w:val="20"/>
              </w:rPr>
              <w:t>B</w:t>
            </w:r>
          </w:p>
        </w:tc>
        <w:tc>
          <w:tcPr>
            <w:tcW w:type="dxa" w:w="1080"/>
          </w:tcPr>
          <w:p>
            <w:r>
              <w:rPr>
                <w:rFonts w:ascii="Arial" w:hAnsi="Arial"/>
                <w:b/>
                <w:sz w:val="20"/>
              </w:rPr>
              <w:t>p (WCR)</w:t>
            </w:r>
          </w:p>
        </w:tc>
        <w:tc>
          <w:tcPr>
            <w:tcW w:type="dxa" w:w="1080"/>
          </w:tcPr>
          <w:p>
            <w:r>
              <w:rPr>
                <w:rFonts w:ascii="Arial" w:hAnsi="Arial"/>
                <w:b/>
                <w:sz w:val="20"/>
              </w:rPr>
              <w:t>CI₂.₅ (WCR)</w:t>
            </w:r>
          </w:p>
        </w:tc>
        <w:tc>
          <w:tcPr>
            <w:tcW w:type="dxa" w:w="1080"/>
          </w:tcPr>
          <w:p>
            <w:r>
              <w:rPr>
                <w:rFonts w:ascii="Arial" w:hAnsi="Arial"/>
                <w:b/>
                <w:sz w:val="20"/>
              </w:rPr>
              <w:t>CI₉₇.₅ (WCR)</w:t>
            </w:r>
          </w:p>
        </w:tc>
      </w:tr>
      <w:tr>
        <w:tc>
          <w:tcPr>
            <w:tcW w:type="dxa" w:w="1080"/>
          </w:tcPr>
          <w:p>
            <w:r>
              <w:rPr>
                <w:rFonts w:ascii="Arial" w:hAnsi="Arial"/>
                <w:sz w:val="20"/>
              </w:rPr>
              <w:t>raw</w:t>
            </w:r>
          </w:p>
        </w:tc>
        <w:tc>
          <w:tcPr>
            <w:tcW w:type="dxa" w:w="1080"/>
          </w:tcPr>
          <w:p>
            <w:r>
              <w:rPr>
                <w:rFonts w:ascii="Arial" w:hAnsi="Arial"/>
                <w:sz w:val="20"/>
              </w:rPr>
              <w:t>SOS</w:t>
            </w:r>
          </w:p>
        </w:tc>
        <w:tc>
          <w:tcPr>
            <w:tcW w:type="dxa" w:w="1080"/>
          </w:tcPr>
          <w:p>
            <w:r>
              <w:rPr>
                <w:rFonts w:ascii="Arial" w:hAnsi="Arial"/>
                <w:sz w:val="20"/>
              </w:rPr>
              <w:t>+15.289</w:t>
            </w:r>
          </w:p>
        </w:tc>
        <w:tc>
          <w:tcPr>
            <w:tcW w:type="dxa" w:w="1080"/>
          </w:tcPr>
          <w:p>
            <w:r>
              <w:rPr>
                <w:rFonts w:ascii="Arial" w:hAnsi="Arial"/>
                <w:sz w:val="20"/>
              </w:rPr>
              <w:t>0.882</w:t>
            </w:r>
          </w:p>
        </w:tc>
        <w:tc>
          <w:tcPr>
            <w:tcW w:type="dxa" w:w="1080"/>
          </w:tcPr>
          <w:p>
            <w:r>
              <w:rPr>
                <w:rFonts w:ascii="Arial" w:hAnsi="Arial"/>
                <w:sz w:val="20"/>
              </w:rPr>
              <w:t>9999</w:t>
            </w:r>
          </w:p>
        </w:tc>
        <w:tc>
          <w:tcPr>
            <w:tcW w:type="dxa" w:w="1080"/>
          </w:tcPr>
          <w:p>
            <w:r>
              <w:rPr>
                <w:rFonts w:ascii="Arial" w:hAnsi="Arial"/>
                <w:sz w:val="20"/>
              </w:rPr>
              <w:t>0.4000</w:t>
            </w:r>
          </w:p>
        </w:tc>
        <w:tc>
          <w:tcPr>
            <w:tcW w:type="dxa" w:w="1080"/>
          </w:tcPr>
          <w:p>
            <w:r>
              <w:rPr>
                <w:rFonts w:ascii="Arial" w:hAnsi="Arial"/>
                <w:sz w:val="20"/>
              </w:rPr>
              <w:t>nan</w:t>
            </w:r>
          </w:p>
        </w:tc>
        <w:tc>
          <w:tcPr>
            <w:tcW w:type="dxa" w:w="1080"/>
          </w:tcPr>
          <w:p>
            <w:r>
              <w:rPr>
                <w:rFonts w:ascii="Arial" w:hAnsi="Arial"/>
                <w:sz w:val="20"/>
              </w:rPr>
              <w:t>nan</w:t>
            </w:r>
          </w:p>
        </w:tc>
      </w:tr>
      <w:tr>
        <w:tc>
          <w:tcPr>
            <w:tcW w:type="dxa" w:w="1080"/>
          </w:tcPr>
          <w:p>
            <w:r>
              <w:rPr>
                <w:rFonts w:ascii="Arial" w:hAnsi="Arial"/>
                <w:sz w:val="20"/>
              </w:rPr>
              <w:t>raw</w:t>
            </w:r>
          </w:p>
        </w:tc>
        <w:tc>
          <w:tcPr>
            <w:tcW w:type="dxa" w:w="1080"/>
          </w:tcPr>
          <w:p>
            <w:r>
              <w:rPr>
                <w:rFonts w:ascii="Arial" w:hAnsi="Arial"/>
                <w:sz w:val="20"/>
              </w:rPr>
              <w:t>POS</w:t>
            </w:r>
          </w:p>
        </w:tc>
        <w:tc>
          <w:tcPr>
            <w:tcW w:type="dxa" w:w="1080"/>
          </w:tcPr>
          <w:p>
            <w:r>
              <w:rPr>
                <w:rFonts w:ascii="Arial" w:hAnsi="Arial"/>
                <w:sz w:val="20"/>
              </w:rPr>
              <w:t>-3.587</w:t>
            </w:r>
          </w:p>
        </w:tc>
        <w:tc>
          <w:tcPr>
            <w:tcW w:type="dxa" w:w="1080"/>
          </w:tcPr>
          <w:p>
            <w:r>
              <w:rPr>
                <w:rFonts w:ascii="Arial" w:hAnsi="Arial"/>
                <w:sz w:val="20"/>
              </w:rPr>
              <w:t>-1.245</w:t>
            </w:r>
          </w:p>
        </w:tc>
        <w:tc>
          <w:tcPr>
            <w:tcW w:type="dxa" w:w="1080"/>
          </w:tcPr>
          <w:p>
            <w:r>
              <w:rPr>
                <w:rFonts w:ascii="Arial" w:hAnsi="Arial"/>
                <w:sz w:val="20"/>
              </w:rPr>
              <w:t>9999</w:t>
            </w:r>
          </w:p>
        </w:tc>
        <w:tc>
          <w:tcPr>
            <w:tcW w:type="dxa" w:w="1080"/>
          </w:tcPr>
          <w:p>
            <w:r>
              <w:rPr>
                <w:rFonts w:ascii="Arial" w:hAnsi="Arial"/>
                <w:sz w:val="20"/>
              </w:rPr>
              <w:t>0.2293</w:t>
            </w:r>
          </w:p>
        </w:tc>
        <w:tc>
          <w:tcPr>
            <w:tcW w:type="dxa" w:w="1080"/>
          </w:tcPr>
          <w:p>
            <w:r>
              <w:rPr>
                <w:rFonts w:ascii="Arial" w:hAnsi="Arial"/>
                <w:sz w:val="20"/>
              </w:rPr>
              <w:t>nan</w:t>
            </w:r>
          </w:p>
        </w:tc>
        <w:tc>
          <w:tcPr>
            <w:tcW w:type="dxa" w:w="1080"/>
          </w:tcPr>
          <w:p>
            <w:r>
              <w:rPr>
                <w:rFonts w:ascii="Arial" w:hAnsi="Arial"/>
                <w:sz w:val="20"/>
              </w:rPr>
              <w:t>nan</w:t>
            </w:r>
          </w:p>
        </w:tc>
      </w:tr>
      <w:tr>
        <w:tc>
          <w:tcPr>
            <w:tcW w:type="dxa" w:w="1080"/>
          </w:tcPr>
          <w:p>
            <w:r>
              <w:rPr>
                <w:rFonts w:ascii="Arial" w:hAnsi="Arial"/>
                <w:sz w:val="20"/>
              </w:rPr>
              <w:t>raw</w:t>
            </w:r>
          </w:p>
        </w:tc>
        <w:tc>
          <w:tcPr>
            <w:tcW w:type="dxa" w:w="1080"/>
          </w:tcPr>
          <w:p>
            <w:r>
              <w:rPr>
                <w:rFonts w:ascii="Arial" w:hAnsi="Arial"/>
                <w:sz w:val="20"/>
              </w:rPr>
              <w:t>EOS</w:t>
            </w:r>
          </w:p>
        </w:tc>
        <w:tc>
          <w:tcPr>
            <w:tcW w:type="dxa" w:w="1080"/>
          </w:tcPr>
          <w:p>
            <w:r>
              <w:rPr>
                <w:rFonts w:ascii="Arial" w:hAnsi="Arial"/>
                <w:sz w:val="20"/>
              </w:rPr>
              <w:t>+0.000</w:t>
            </w:r>
          </w:p>
        </w:tc>
        <w:tc>
          <w:tcPr>
            <w:tcW w:type="dxa" w:w="1080"/>
          </w:tcPr>
          <w:p>
            <w:r>
              <w:rPr>
                <w:rFonts w:ascii="Arial" w:hAnsi="Arial"/>
                <w:sz w:val="20"/>
              </w:rPr>
              <w:t>1.029</w:t>
            </w:r>
          </w:p>
        </w:tc>
        <w:tc>
          <w:tcPr>
            <w:tcW w:type="dxa" w:w="1080"/>
          </w:tcPr>
          <w:p>
            <w:r>
              <w:rPr>
                <w:rFonts w:ascii="Arial" w:hAnsi="Arial"/>
                <w:sz w:val="20"/>
              </w:rPr>
              <w:t>9999</w:t>
            </w:r>
          </w:p>
        </w:tc>
        <w:tc>
          <w:tcPr>
            <w:tcW w:type="dxa" w:w="1080"/>
          </w:tcPr>
          <w:p>
            <w:r>
              <w:rPr>
                <w:rFonts w:ascii="Arial" w:hAnsi="Arial"/>
                <w:sz w:val="20"/>
              </w:rPr>
              <w:t>0.2047</w:t>
            </w:r>
          </w:p>
        </w:tc>
        <w:tc>
          <w:tcPr>
            <w:tcW w:type="dxa" w:w="1080"/>
          </w:tcPr>
          <w:p>
            <w:r>
              <w:rPr>
                <w:rFonts w:ascii="Arial" w:hAnsi="Arial"/>
                <w:sz w:val="20"/>
              </w:rPr>
              <w:t>nan</w:t>
            </w:r>
          </w:p>
        </w:tc>
        <w:tc>
          <w:tcPr>
            <w:tcW w:type="dxa" w:w="1080"/>
          </w:tcPr>
          <w:p>
            <w:r>
              <w:rPr>
                <w:rFonts w:ascii="Arial" w:hAnsi="Arial"/>
                <w:sz w:val="20"/>
              </w:rPr>
              <w:t>nan</w:t>
            </w:r>
          </w:p>
        </w:tc>
      </w:tr>
      <w:tr>
        <w:tc>
          <w:tcPr>
            <w:tcW w:type="dxa" w:w="1080"/>
          </w:tcPr>
          <w:p>
            <w:r>
              <w:rPr>
                <w:rFonts w:ascii="Arial" w:hAnsi="Arial"/>
                <w:sz w:val="20"/>
              </w:rPr>
              <w:t>corrected</w:t>
            </w:r>
          </w:p>
        </w:tc>
        <w:tc>
          <w:tcPr>
            <w:tcW w:type="dxa" w:w="1080"/>
          </w:tcPr>
          <w:p>
            <w:r>
              <w:rPr>
                <w:rFonts w:ascii="Arial" w:hAnsi="Arial"/>
                <w:sz w:val="20"/>
              </w:rPr>
              <w:t>SOS</w:t>
            </w:r>
          </w:p>
        </w:tc>
        <w:tc>
          <w:tcPr>
            <w:tcW w:type="dxa" w:w="1080"/>
          </w:tcPr>
          <w:p>
            <w:r>
              <w:rPr>
                <w:rFonts w:ascii="Arial" w:hAnsi="Arial"/>
                <w:sz w:val="20"/>
              </w:rPr>
              <w:t>+15.108</w:t>
            </w:r>
          </w:p>
        </w:tc>
        <w:tc>
          <w:tcPr>
            <w:tcW w:type="dxa" w:w="1080"/>
          </w:tcPr>
          <w:p>
            <w:r>
              <w:rPr>
                <w:rFonts w:ascii="Arial" w:hAnsi="Arial"/>
                <w:sz w:val="20"/>
              </w:rPr>
              <w:t>0.873</w:t>
            </w:r>
          </w:p>
        </w:tc>
        <w:tc>
          <w:tcPr>
            <w:tcW w:type="dxa" w:w="1080"/>
          </w:tcPr>
          <w:p>
            <w:r>
              <w:rPr>
                <w:rFonts w:ascii="Arial" w:hAnsi="Arial"/>
                <w:sz w:val="20"/>
              </w:rPr>
              <w:t>9999</w:t>
            </w:r>
          </w:p>
        </w:tc>
        <w:tc>
          <w:tcPr>
            <w:tcW w:type="dxa" w:w="1080"/>
          </w:tcPr>
          <w:p>
            <w:r>
              <w:rPr>
                <w:rFonts w:ascii="Arial" w:hAnsi="Arial"/>
                <w:sz w:val="20"/>
              </w:rPr>
              <w:t>0.4065</w:t>
            </w:r>
          </w:p>
        </w:tc>
        <w:tc>
          <w:tcPr>
            <w:tcW w:type="dxa" w:w="1080"/>
          </w:tcPr>
          <w:p>
            <w:r>
              <w:rPr>
                <w:rFonts w:ascii="Arial" w:hAnsi="Arial"/>
                <w:sz w:val="20"/>
              </w:rPr>
              <w:t>nan</w:t>
            </w:r>
          </w:p>
        </w:tc>
        <w:tc>
          <w:tcPr>
            <w:tcW w:type="dxa" w:w="1080"/>
          </w:tcPr>
          <w:p>
            <w:r>
              <w:rPr>
                <w:rFonts w:ascii="Arial" w:hAnsi="Arial"/>
                <w:sz w:val="20"/>
              </w:rPr>
              <w:t>nan</w:t>
            </w:r>
          </w:p>
        </w:tc>
      </w:tr>
      <w:tr>
        <w:tc>
          <w:tcPr>
            <w:tcW w:type="dxa" w:w="1080"/>
          </w:tcPr>
          <w:p>
            <w:r>
              <w:rPr>
                <w:rFonts w:ascii="Arial" w:hAnsi="Arial"/>
                <w:sz w:val="20"/>
              </w:rPr>
              <w:t>corrected</w:t>
            </w:r>
          </w:p>
        </w:tc>
        <w:tc>
          <w:tcPr>
            <w:tcW w:type="dxa" w:w="1080"/>
          </w:tcPr>
          <w:p>
            <w:r>
              <w:rPr>
                <w:rFonts w:ascii="Arial" w:hAnsi="Arial"/>
                <w:sz w:val="20"/>
              </w:rPr>
              <w:t>POS</w:t>
            </w:r>
          </w:p>
        </w:tc>
        <w:tc>
          <w:tcPr>
            <w:tcW w:type="dxa" w:w="1080"/>
          </w:tcPr>
          <w:p>
            <w:r>
              <w:rPr>
                <w:rFonts w:ascii="Arial" w:hAnsi="Arial"/>
                <w:sz w:val="20"/>
              </w:rPr>
              <w:t>-3.677</w:t>
            </w:r>
          </w:p>
        </w:tc>
        <w:tc>
          <w:tcPr>
            <w:tcW w:type="dxa" w:w="1080"/>
          </w:tcPr>
          <w:p>
            <w:r>
              <w:rPr>
                <w:rFonts w:ascii="Arial" w:hAnsi="Arial"/>
                <w:sz w:val="20"/>
              </w:rPr>
              <w:t>-1.269</w:t>
            </w:r>
          </w:p>
        </w:tc>
        <w:tc>
          <w:tcPr>
            <w:tcW w:type="dxa" w:w="1080"/>
          </w:tcPr>
          <w:p>
            <w:r>
              <w:rPr>
                <w:rFonts w:ascii="Arial" w:hAnsi="Arial"/>
                <w:sz w:val="20"/>
              </w:rPr>
              <w:t>9999</w:t>
            </w:r>
          </w:p>
        </w:tc>
        <w:tc>
          <w:tcPr>
            <w:tcW w:type="dxa" w:w="1080"/>
          </w:tcPr>
          <w:p>
            <w:r>
              <w:rPr>
                <w:rFonts w:ascii="Arial" w:hAnsi="Arial"/>
                <w:sz w:val="20"/>
              </w:rPr>
              <w:t>0.2293</w:t>
            </w:r>
          </w:p>
        </w:tc>
        <w:tc>
          <w:tcPr>
            <w:tcW w:type="dxa" w:w="1080"/>
          </w:tcPr>
          <w:p>
            <w:r>
              <w:rPr>
                <w:rFonts w:ascii="Arial" w:hAnsi="Arial"/>
                <w:sz w:val="20"/>
              </w:rPr>
              <w:t>nan</w:t>
            </w:r>
          </w:p>
        </w:tc>
        <w:tc>
          <w:tcPr>
            <w:tcW w:type="dxa" w:w="1080"/>
          </w:tcPr>
          <w:p>
            <w:r>
              <w:rPr>
                <w:rFonts w:ascii="Arial" w:hAnsi="Arial"/>
                <w:sz w:val="20"/>
              </w:rPr>
              <w:t>nan</w:t>
            </w:r>
          </w:p>
        </w:tc>
      </w:tr>
      <w:tr>
        <w:tc>
          <w:tcPr>
            <w:tcW w:type="dxa" w:w="1080"/>
          </w:tcPr>
          <w:p>
            <w:r>
              <w:rPr>
                <w:rFonts w:ascii="Arial" w:hAnsi="Arial"/>
                <w:sz w:val="20"/>
              </w:rPr>
              <w:t>corrected</w:t>
            </w:r>
          </w:p>
        </w:tc>
        <w:tc>
          <w:tcPr>
            <w:tcW w:type="dxa" w:w="1080"/>
          </w:tcPr>
          <w:p>
            <w:r>
              <w:rPr>
                <w:rFonts w:ascii="Arial" w:hAnsi="Arial"/>
                <w:sz w:val="20"/>
              </w:rPr>
              <w:t>EOS</w:t>
            </w:r>
          </w:p>
        </w:tc>
        <w:tc>
          <w:tcPr>
            <w:tcW w:type="dxa" w:w="1080"/>
          </w:tcPr>
          <w:p>
            <w:r>
              <w:rPr>
                <w:rFonts w:ascii="Arial" w:hAnsi="Arial"/>
                <w:sz w:val="20"/>
              </w:rPr>
              <w:t>-0.239</w:t>
            </w:r>
          </w:p>
        </w:tc>
        <w:tc>
          <w:tcPr>
            <w:tcW w:type="dxa" w:w="1080"/>
          </w:tcPr>
          <w:p>
            <w:r>
              <w:rPr>
                <w:rFonts w:ascii="Arial" w:hAnsi="Arial"/>
                <w:sz w:val="20"/>
              </w:rPr>
              <w:t>-1.411</w:t>
            </w:r>
          </w:p>
        </w:tc>
        <w:tc>
          <w:tcPr>
            <w:tcW w:type="dxa" w:w="1080"/>
          </w:tcPr>
          <w:p>
            <w:r>
              <w:rPr>
                <w:rFonts w:ascii="Arial" w:hAnsi="Arial"/>
                <w:sz w:val="20"/>
              </w:rPr>
              <w:t>9999</w:t>
            </w:r>
          </w:p>
        </w:tc>
        <w:tc>
          <w:tcPr>
            <w:tcW w:type="dxa" w:w="1080"/>
          </w:tcPr>
          <w:p>
            <w:r>
              <w:rPr>
                <w:rFonts w:ascii="Arial" w:hAnsi="Arial"/>
                <w:sz w:val="20"/>
              </w:rPr>
              <w:t>0.2035</w:t>
            </w:r>
          </w:p>
        </w:tc>
        <w:tc>
          <w:tcPr>
            <w:tcW w:type="dxa" w:w="1080"/>
          </w:tcPr>
          <w:p>
            <w:r>
              <w:rPr>
                <w:rFonts w:ascii="Arial" w:hAnsi="Arial"/>
                <w:sz w:val="20"/>
              </w:rPr>
              <w:t>nan</w:t>
            </w:r>
          </w:p>
        </w:tc>
        <w:tc>
          <w:tcPr>
            <w:tcW w:type="dxa" w:w="1080"/>
          </w:tcPr>
          <w:p>
            <w:r>
              <w:rPr>
                <w:rFonts w:ascii="Arial" w:hAnsi="Arial"/>
                <w:sz w:val="20"/>
              </w:rPr>
              <w:t>nan</w:t>
            </w:r>
          </w:p>
        </w:tc>
      </w:tr>
    </w:tbl>
    <w:p/>
    <w:p>
      <w:r>
        <w:rPr>
          <w:rFonts w:ascii="Arial" w:hAnsi="Arial"/>
          <w:sz w:val="18"/>
        </w:rPr>
        <w:t>Notes. WCR = wild cluster restricted (residuals imposed under H0: τ=0). Floor on bootstrap p-value at B=9999 is 1/(B+1) = 0.0001. District clusters: 8.</w:t>
      </w:r>
    </w:p>
    <w:p>
      <w:r>
        <w:rPr>
          <w:rFonts w:ascii="Arial" w:hAnsi="Arial"/>
          <w:sz w:val="20"/>
        </w:rPr>
        <w:br w:type="page"/>
      </w:r>
    </w:p>
    <w:p>
      <w:pPr>
        <w:keepNext/>
        <w:spacing w:before="240" w:after="120"/>
      </w:pPr>
      <w:bookmarkStart w:id="50510" w:name="table_s5"/>
      <w:r>
        <w:rPr>
          <w:rFonts w:ascii="Arial" w:hAnsi="Arial"/>
          <w:b/>
          <w:color w:val="1F3A5F"/>
          <w:sz w:val="32"/>
        </w:rPr>
        <w:t>Table S5 — Jackknife leave-one-out</w:t>
      </w:r>
      <w:bookmarkEnd w:id="50510"/>
    </w:p>
    <w:p>
      <w:pPr>
        <w:jc w:val="left"/>
      </w:pPr>
      <w:r>
        <w:rPr>
          <w:rFonts w:ascii="Arial" w:hAnsi="Arial"/>
          <w:b/>
          <w:sz w:val="20"/>
        </w:rPr>
        <w:t>Table S5a.  Leave-one-district-out (LOO) sensitivity verdicts. Each cell shows the maximum percentage change in τ̂ across the 8 LOO refits and the most-influential dropped district.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b/>
                <w:sz w:val="20"/>
              </w:rPr>
              <w:t>Pipeline</w:t>
            </w:r>
          </w:p>
        </w:tc>
        <w:tc>
          <w:tcPr>
            <w:tcW w:type="dxa" w:w="1440"/>
          </w:tcPr>
          <w:p>
            <w:r>
              <w:rPr>
                <w:rFonts w:ascii="Arial" w:hAnsi="Arial"/>
                <w:b/>
                <w:sz w:val="20"/>
              </w:rPr>
              <w:t>Metric</w:t>
            </w:r>
          </w:p>
        </w:tc>
        <w:tc>
          <w:tcPr>
            <w:tcW w:type="dxa" w:w="1440"/>
          </w:tcPr>
          <w:p>
            <w:r>
              <w:rPr>
                <w:rFonts w:ascii="Arial" w:hAnsi="Arial"/>
                <w:b/>
                <w:sz w:val="20"/>
              </w:rPr>
              <w:t>τ̂ full (d)</w:t>
            </w:r>
          </w:p>
        </w:tc>
        <w:tc>
          <w:tcPr>
            <w:tcW w:type="dxa" w:w="1440"/>
          </w:tcPr>
          <w:p>
            <w:r>
              <w:rPr>
                <w:rFonts w:ascii="Arial" w:hAnsi="Arial"/>
                <w:b/>
                <w:sz w:val="20"/>
              </w:rPr>
              <w:t>max |Δτ| (%)</w:t>
            </w:r>
          </w:p>
        </w:tc>
        <w:tc>
          <w:tcPr>
            <w:tcW w:type="dxa" w:w="1440"/>
          </w:tcPr>
          <w:p>
            <w:r>
              <w:rPr>
                <w:rFonts w:ascii="Arial" w:hAnsi="Arial"/>
                <w:b/>
                <w:sz w:val="20"/>
              </w:rPr>
              <w:t>Driver district</w:t>
            </w:r>
          </w:p>
        </w:tc>
        <w:tc>
          <w:tcPr>
            <w:tcW w:type="dxa" w:w="1440"/>
          </w:tcPr>
          <w:p>
            <w:r>
              <w:rPr>
                <w:rFonts w:ascii="Arial" w:hAnsi="Arial"/>
                <w:b/>
                <w:sz w:val="20"/>
              </w:rPr>
              <w:t>Verdict</w:t>
            </w:r>
          </w:p>
        </w:tc>
      </w:tr>
      <w:tr>
        <w:tc>
          <w:tcPr>
            <w:tcW w:type="dxa" w:w="1440"/>
          </w:tcPr>
          <w:p>
            <w:r>
              <w:rPr>
                <w:rFonts w:ascii="Arial" w:hAnsi="Arial"/>
                <w:sz w:val="20"/>
              </w:rPr>
              <w:t>raw</w:t>
            </w:r>
          </w:p>
        </w:tc>
        <w:tc>
          <w:tcPr>
            <w:tcW w:type="dxa" w:w="1440"/>
          </w:tcPr>
          <w:p>
            <w:r>
              <w:rPr>
                <w:rFonts w:ascii="Arial" w:hAnsi="Arial"/>
                <w:sz w:val="20"/>
              </w:rPr>
              <w:t>SOS</w:t>
            </w:r>
          </w:p>
        </w:tc>
        <w:tc>
          <w:tcPr>
            <w:tcW w:type="dxa" w:w="1440"/>
          </w:tcPr>
          <w:p>
            <w:r>
              <w:rPr>
                <w:rFonts w:ascii="Arial" w:hAnsi="Arial"/>
                <w:sz w:val="20"/>
              </w:rPr>
              <w:t>+15.289</w:t>
            </w:r>
          </w:p>
        </w:tc>
        <w:tc>
          <w:tcPr>
            <w:tcW w:type="dxa" w:w="1440"/>
          </w:tcPr>
          <w:p>
            <w:r>
              <w:rPr>
                <w:rFonts w:ascii="Arial" w:hAnsi="Arial"/>
                <w:sz w:val="20"/>
              </w:rPr>
              <w:t>76.1</w:t>
            </w:r>
          </w:p>
        </w:tc>
        <w:tc>
          <w:tcPr>
            <w:tcW w:type="dxa" w:w="1440"/>
          </w:tcPr>
          <w:p>
            <w:r>
              <w:rPr>
                <w:rFonts w:ascii="Arial" w:hAnsi="Arial"/>
                <w:sz w:val="20"/>
              </w:rPr>
              <w:t>Bhadrak</w:t>
            </w:r>
          </w:p>
        </w:tc>
        <w:tc>
          <w:tcPr>
            <w:tcW w:type="dxa" w:w="1440"/>
          </w:tcPr>
          <w:p>
            <w:r>
              <w:rPr>
                <w:rFonts w:ascii="Arial" w:hAnsi="Arial"/>
                <w:sz w:val="20"/>
              </w:rPr>
              <w:t>leverage</w:t>
            </w:r>
          </w:p>
        </w:tc>
      </w:tr>
      <w:tr>
        <w:tc>
          <w:tcPr>
            <w:tcW w:type="dxa" w:w="1440"/>
          </w:tcPr>
          <w:p>
            <w:r>
              <w:rPr>
                <w:rFonts w:ascii="Arial" w:hAnsi="Arial"/>
                <w:sz w:val="20"/>
              </w:rPr>
              <w:t>raw</w:t>
            </w:r>
          </w:p>
        </w:tc>
        <w:tc>
          <w:tcPr>
            <w:tcW w:type="dxa" w:w="1440"/>
          </w:tcPr>
          <w:p>
            <w:r>
              <w:rPr>
                <w:rFonts w:ascii="Arial" w:hAnsi="Arial"/>
                <w:sz w:val="20"/>
              </w:rPr>
              <w:t>POS</w:t>
            </w:r>
          </w:p>
        </w:tc>
        <w:tc>
          <w:tcPr>
            <w:tcW w:type="dxa" w:w="1440"/>
          </w:tcPr>
          <w:p>
            <w:r>
              <w:rPr>
                <w:rFonts w:ascii="Arial" w:hAnsi="Arial"/>
                <w:sz w:val="20"/>
              </w:rPr>
              <w:t>-3.587</w:t>
            </w:r>
          </w:p>
        </w:tc>
        <w:tc>
          <w:tcPr>
            <w:tcW w:type="dxa" w:w="1440"/>
          </w:tcPr>
          <w:p>
            <w:r>
              <w:rPr>
                <w:rFonts w:ascii="Arial" w:hAnsi="Arial"/>
                <w:sz w:val="20"/>
              </w:rPr>
              <w:t>55.8</w:t>
            </w:r>
          </w:p>
        </w:tc>
        <w:tc>
          <w:tcPr>
            <w:tcW w:type="dxa" w:w="1440"/>
          </w:tcPr>
          <w:p>
            <w:r>
              <w:rPr>
                <w:rFonts w:ascii="Arial" w:hAnsi="Arial"/>
                <w:sz w:val="20"/>
              </w:rPr>
              <w:t>Cuttack</w:t>
            </w:r>
          </w:p>
        </w:tc>
        <w:tc>
          <w:tcPr>
            <w:tcW w:type="dxa" w:w="1440"/>
          </w:tcPr>
          <w:p>
            <w:r>
              <w:rPr>
                <w:rFonts w:ascii="Arial" w:hAnsi="Arial"/>
                <w:sz w:val="20"/>
              </w:rPr>
              <w:t>leverage</w:t>
            </w:r>
          </w:p>
        </w:tc>
      </w:tr>
      <w:tr>
        <w:tc>
          <w:tcPr>
            <w:tcW w:type="dxa" w:w="1440"/>
          </w:tcPr>
          <w:p>
            <w:r>
              <w:rPr>
                <w:rFonts w:ascii="Arial" w:hAnsi="Arial"/>
                <w:sz w:val="20"/>
              </w:rPr>
              <w:t>raw</w:t>
            </w:r>
          </w:p>
        </w:tc>
        <w:tc>
          <w:tcPr>
            <w:tcW w:type="dxa" w:w="1440"/>
          </w:tcPr>
          <w:p>
            <w:r>
              <w:rPr>
                <w:rFonts w:ascii="Arial" w:hAnsi="Arial"/>
                <w:sz w:val="20"/>
              </w:rPr>
              <w:t>EOS</w:t>
            </w:r>
          </w:p>
        </w:tc>
        <w:tc>
          <w:tcPr>
            <w:tcW w:type="dxa" w:w="1440"/>
          </w:tcPr>
          <w:p>
            <w:r>
              <w:rPr>
                <w:rFonts w:ascii="Arial" w:hAnsi="Arial"/>
                <w:sz w:val="20"/>
              </w:rPr>
              <w:t>-0.000</w:t>
            </w:r>
          </w:p>
        </w:tc>
        <w:tc>
          <w:tcPr>
            <w:tcW w:type="dxa" w:w="1440"/>
          </w:tcPr>
          <w:p>
            <w:r>
              <w:rPr>
                <w:rFonts w:ascii="Arial" w:hAnsi="Arial"/>
                <w:sz w:val="20"/>
              </w:rPr>
              <w:t>nan</w:t>
            </w:r>
          </w:p>
        </w:tc>
        <w:tc>
          <w:tcPr>
            <w:tcW w:type="dxa" w:w="1440"/>
          </w:tcPr>
          <w:p>
            <w:r>
              <w:rPr>
                <w:rFonts w:ascii="Arial" w:hAnsi="Arial"/>
                <w:sz w:val="20"/>
              </w:rPr>
              <w:t>Angul</w:t>
            </w:r>
          </w:p>
        </w:tc>
        <w:tc>
          <w:tcPr>
            <w:tcW w:type="dxa" w:w="1440"/>
          </w:tcPr>
          <w:p>
            <w:r>
              <w:rPr>
                <w:rFonts w:ascii="Arial" w:hAnsi="Arial"/>
                <w:sz w:val="20"/>
              </w:rPr>
              <w:t>fragile</w:t>
            </w:r>
          </w:p>
        </w:tc>
      </w:tr>
      <w:tr>
        <w:tc>
          <w:tcPr>
            <w:tcW w:type="dxa" w:w="1440"/>
          </w:tcPr>
          <w:p>
            <w:r>
              <w:rPr>
                <w:rFonts w:ascii="Arial" w:hAnsi="Arial"/>
                <w:sz w:val="20"/>
              </w:rPr>
              <w:t>corrected</w:t>
            </w:r>
          </w:p>
        </w:tc>
        <w:tc>
          <w:tcPr>
            <w:tcW w:type="dxa" w:w="1440"/>
          </w:tcPr>
          <w:p>
            <w:r>
              <w:rPr>
                <w:rFonts w:ascii="Arial" w:hAnsi="Arial"/>
                <w:sz w:val="20"/>
              </w:rPr>
              <w:t>SOS</w:t>
            </w:r>
          </w:p>
        </w:tc>
        <w:tc>
          <w:tcPr>
            <w:tcW w:type="dxa" w:w="1440"/>
          </w:tcPr>
          <w:p>
            <w:r>
              <w:rPr>
                <w:rFonts w:ascii="Arial" w:hAnsi="Arial"/>
                <w:sz w:val="20"/>
              </w:rPr>
              <w:t>+15.108</w:t>
            </w:r>
          </w:p>
        </w:tc>
        <w:tc>
          <w:tcPr>
            <w:tcW w:type="dxa" w:w="1440"/>
          </w:tcPr>
          <w:p>
            <w:r>
              <w:rPr>
                <w:rFonts w:ascii="Arial" w:hAnsi="Arial"/>
                <w:sz w:val="20"/>
              </w:rPr>
              <w:t>76.7</w:t>
            </w:r>
          </w:p>
        </w:tc>
        <w:tc>
          <w:tcPr>
            <w:tcW w:type="dxa" w:w="1440"/>
          </w:tcPr>
          <w:p>
            <w:r>
              <w:rPr>
                <w:rFonts w:ascii="Arial" w:hAnsi="Arial"/>
                <w:sz w:val="20"/>
              </w:rPr>
              <w:t>Bhadrak</w:t>
            </w:r>
          </w:p>
        </w:tc>
        <w:tc>
          <w:tcPr>
            <w:tcW w:type="dxa" w:w="1440"/>
          </w:tcPr>
          <w:p>
            <w:r>
              <w:rPr>
                <w:rFonts w:ascii="Arial" w:hAnsi="Arial"/>
                <w:sz w:val="20"/>
              </w:rPr>
              <w:t>leverage</w:t>
            </w:r>
          </w:p>
        </w:tc>
      </w:tr>
      <w:tr>
        <w:tc>
          <w:tcPr>
            <w:tcW w:type="dxa" w:w="1440"/>
          </w:tcPr>
          <w:p>
            <w:r>
              <w:rPr>
                <w:rFonts w:ascii="Arial" w:hAnsi="Arial"/>
                <w:sz w:val="20"/>
              </w:rPr>
              <w:t>corrected</w:t>
            </w:r>
          </w:p>
        </w:tc>
        <w:tc>
          <w:tcPr>
            <w:tcW w:type="dxa" w:w="1440"/>
          </w:tcPr>
          <w:p>
            <w:r>
              <w:rPr>
                <w:rFonts w:ascii="Arial" w:hAnsi="Arial"/>
                <w:sz w:val="20"/>
              </w:rPr>
              <w:t>POS</w:t>
            </w:r>
          </w:p>
        </w:tc>
        <w:tc>
          <w:tcPr>
            <w:tcW w:type="dxa" w:w="1440"/>
          </w:tcPr>
          <w:p>
            <w:r>
              <w:rPr>
                <w:rFonts w:ascii="Arial" w:hAnsi="Arial"/>
                <w:sz w:val="20"/>
              </w:rPr>
              <w:t>-3.677</w:t>
            </w:r>
          </w:p>
        </w:tc>
        <w:tc>
          <w:tcPr>
            <w:tcW w:type="dxa" w:w="1440"/>
          </w:tcPr>
          <w:p>
            <w:r>
              <w:rPr>
                <w:rFonts w:ascii="Arial" w:hAnsi="Arial"/>
                <w:sz w:val="20"/>
              </w:rPr>
              <w:t>54.7</w:t>
            </w:r>
          </w:p>
        </w:tc>
        <w:tc>
          <w:tcPr>
            <w:tcW w:type="dxa" w:w="1440"/>
          </w:tcPr>
          <w:p>
            <w:r>
              <w:rPr>
                <w:rFonts w:ascii="Arial" w:hAnsi="Arial"/>
                <w:sz w:val="20"/>
              </w:rPr>
              <w:t>Cuttack</w:t>
            </w:r>
          </w:p>
        </w:tc>
        <w:tc>
          <w:tcPr>
            <w:tcW w:type="dxa" w:w="1440"/>
          </w:tcPr>
          <w:p>
            <w:r>
              <w:rPr>
                <w:rFonts w:ascii="Arial" w:hAnsi="Arial"/>
                <w:sz w:val="20"/>
              </w:rPr>
              <w:t>leverage</w:t>
            </w:r>
          </w:p>
        </w:tc>
      </w:tr>
      <w:tr>
        <w:tc>
          <w:tcPr>
            <w:tcW w:type="dxa" w:w="1440"/>
          </w:tcPr>
          <w:p>
            <w:r>
              <w:rPr>
                <w:rFonts w:ascii="Arial" w:hAnsi="Arial"/>
                <w:sz w:val="20"/>
              </w:rPr>
              <w:t>corrected</w:t>
            </w:r>
          </w:p>
        </w:tc>
        <w:tc>
          <w:tcPr>
            <w:tcW w:type="dxa" w:w="1440"/>
          </w:tcPr>
          <w:p>
            <w:r>
              <w:rPr>
                <w:rFonts w:ascii="Arial" w:hAnsi="Arial"/>
                <w:sz w:val="20"/>
              </w:rPr>
              <w:t>EOS</w:t>
            </w:r>
          </w:p>
        </w:tc>
        <w:tc>
          <w:tcPr>
            <w:tcW w:type="dxa" w:w="1440"/>
          </w:tcPr>
          <w:p>
            <w:r>
              <w:rPr>
                <w:rFonts w:ascii="Arial" w:hAnsi="Arial"/>
                <w:sz w:val="20"/>
              </w:rPr>
              <w:t>-0.239</w:t>
            </w:r>
          </w:p>
        </w:tc>
        <w:tc>
          <w:tcPr>
            <w:tcW w:type="dxa" w:w="1440"/>
          </w:tcPr>
          <w:p>
            <w:r>
              <w:rPr>
                <w:rFonts w:ascii="Arial" w:hAnsi="Arial"/>
                <w:sz w:val="20"/>
              </w:rPr>
              <w:t>60.2</w:t>
            </w:r>
          </w:p>
        </w:tc>
        <w:tc>
          <w:tcPr>
            <w:tcW w:type="dxa" w:w="1440"/>
          </w:tcPr>
          <w:p>
            <w:r>
              <w:rPr>
                <w:rFonts w:ascii="Arial" w:hAnsi="Arial"/>
                <w:sz w:val="20"/>
              </w:rPr>
              <w:t>Bhadrak</w:t>
            </w:r>
          </w:p>
        </w:tc>
        <w:tc>
          <w:tcPr>
            <w:tcW w:type="dxa" w:w="1440"/>
          </w:tcPr>
          <w:p>
            <w:r>
              <w:rPr>
                <w:rFonts w:ascii="Arial" w:hAnsi="Arial"/>
                <w:sz w:val="20"/>
              </w:rPr>
              <w:t>leverage</w:t>
            </w:r>
          </w:p>
        </w:tc>
      </w:tr>
    </w:tbl>
    <w:p/>
    <w:p>
      <w:pPr>
        <w:jc w:val="left"/>
      </w:pPr>
      <w:r>
        <w:rPr>
          <w:rFonts w:ascii="Arial" w:hAnsi="Arial"/>
          <w:b/>
          <w:sz w:val="20"/>
        </w:rPr>
        <w:t>Table S5b.  Full leave-one-district-out detail: τ̂ and 95 % CI when each district is dropped.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Arial" w:hAnsi="Arial"/>
                <w:b/>
                <w:sz w:val="18"/>
              </w:rPr>
              <w:t>Pipeline</w:t>
            </w:r>
          </w:p>
        </w:tc>
        <w:tc>
          <w:tcPr>
            <w:tcW w:type="dxa" w:w="864"/>
          </w:tcPr>
          <w:p>
            <w:r>
              <w:rPr>
                <w:rFonts w:ascii="Arial" w:hAnsi="Arial"/>
                <w:b/>
                <w:sz w:val="18"/>
              </w:rPr>
              <w:t>Metric</w:t>
            </w:r>
          </w:p>
        </w:tc>
        <w:tc>
          <w:tcPr>
            <w:tcW w:type="dxa" w:w="864"/>
          </w:tcPr>
          <w:p>
            <w:r>
              <w:rPr>
                <w:rFonts w:ascii="Arial" w:hAnsi="Arial"/>
                <w:b/>
                <w:sz w:val="18"/>
              </w:rPr>
              <w:t>Dropped</w:t>
            </w:r>
          </w:p>
        </w:tc>
        <w:tc>
          <w:tcPr>
            <w:tcW w:type="dxa" w:w="864"/>
          </w:tcPr>
          <w:p>
            <w:r>
              <w:rPr>
                <w:rFonts w:ascii="Arial" w:hAnsi="Arial"/>
                <w:b/>
                <w:sz w:val="18"/>
              </w:rPr>
              <w:t>Exposure</w:t>
            </w:r>
          </w:p>
        </w:tc>
        <w:tc>
          <w:tcPr>
            <w:tcW w:type="dxa" w:w="864"/>
          </w:tcPr>
          <w:p>
            <w:r>
              <w:rPr>
                <w:rFonts w:ascii="Arial" w:hAnsi="Arial"/>
                <w:b/>
                <w:sz w:val="18"/>
              </w:rPr>
              <w:t>τ̂ LOO</w:t>
            </w:r>
          </w:p>
        </w:tc>
        <w:tc>
          <w:tcPr>
            <w:tcW w:type="dxa" w:w="864"/>
          </w:tcPr>
          <w:p>
            <w:r>
              <w:rPr>
                <w:rFonts w:ascii="Arial" w:hAnsi="Arial"/>
                <w:b/>
                <w:sz w:val="18"/>
              </w:rPr>
              <w:t>SE</w:t>
            </w:r>
          </w:p>
        </w:tc>
        <w:tc>
          <w:tcPr>
            <w:tcW w:type="dxa" w:w="864"/>
          </w:tcPr>
          <w:p>
            <w:r>
              <w:rPr>
                <w:rFonts w:ascii="Arial" w:hAnsi="Arial"/>
                <w:b/>
                <w:sz w:val="18"/>
              </w:rPr>
              <w:t>p</w:t>
            </w:r>
          </w:p>
        </w:tc>
        <w:tc>
          <w:tcPr>
            <w:tcW w:type="dxa" w:w="864"/>
          </w:tcPr>
          <w:p>
            <w:r>
              <w:rPr>
                <w:rFonts w:ascii="Arial" w:hAnsi="Arial"/>
                <w:b/>
                <w:sz w:val="18"/>
              </w:rPr>
              <w:t>CI₂.₅</w:t>
            </w:r>
          </w:p>
        </w:tc>
        <w:tc>
          <w:tcPr>
            <w:tcW w:type="dxa" w:w="864"/>
          </w:tcPr>
          <w:p>
            <w:r>
              <w:rPr>
                <w:rFonts w:ascii="Arial" w:hAnsi="Arial"/>
                <w:b/>
                <w:sz w:val="18"/>
              </w:rPr>
              <w:t>CI₉₇.₅</w:t>
            </w:r>
          </w:p>
        </w:tc>
        <w:tc>
          <w:tcPr>
            <w:tcW w:type="dxa" w:w="864"/>
          </w:tcPr>
          <w:p>
            <w:r>
              <w:rPr>
                <w:rFonts w:ascii="Arial" w:hAnsi="Arial"/>
                <w:b/>
                <w:sz w:val="18"/>
              </w:rPr>
              <w:t>Δ (%)</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+21.733</w:t>
            </w:r>
          </w:p>
        </w:tc>
        <w:tc>
          <w:tcPr>
            <w:tcW w:type="dxa" w:w="864"/>
          </w:tcPr>
          <w:p>
            <w:r>
              <w:rPr>
                <w:rFonts w:ascii="Arial" w:hAnsi="Arial"/>
                <w:sz w:val="18"/>
              </w:rPr>
              <w:t>16.548</w:t>
            </w:r>
          </w:p>
        </w:tc>
        <w:tc>
          <w:tcPr>
            <w:tcW w:type="dxa" w:w="864"/>
          </w:tcPr>
          <w:p>
            <w:r>
              <w:rPr>
                <w:rFonts w:ascii="Arial" w:hAnsi="Arial"/>
                <w:sz w:val="18"/>
              </w:rPr>
              <w:t>0.189</w:t>
            </w:r>
          </w:p>
        </w:tc>
        <w:tc>
          <w:tcPr>
            <w:tcW w:type="dxa" w:w="864"/>
          </w:tcPr>
          <w:p>
            <w:r>
              <w:rPr>
                <w:rFonts w:ascii="Arial" w:hAnsi="Arial"/>
                <w:sz w:val="18"/>
              </w:rPr>
              <w:t>-10.701</w:t>
            </w:r>
          </w:p>
        </w:tc>
        <w:tc>
          <w:tcPr>
            <w:tcW w:type="dxa" w:w="864"/>
          </w:tcPr>
          <w:p>
            <w:r>
              <w:rPr>
                <w:rFonts w:ascii="Arial" w:hAnsi="Arial"/>
                <w:sz w:val="18"/>
              </w:rPr>
              <w:t>54.167</w:t>
            </w:r>
          </w:p>
        </w:tc>
        <w:tc>
          <w:tcPr>
            <w:tcW w:type="dxa" w:w="864"/>
          </w:tcPr>
          <w:p>
            <w:r>
              <w:rPr>
                <w:rFonts w:ascii="Arial" w:hAnsi="Arial"/>
                <w:sz w:val="18"/>
              </w:rPr>
              <w:t>42.200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+10.256</w:t>
            </w:r>
          </w:p>
        </w:tc>
        <w:tc>
          <w:tcPr>
            <w:tcW w:type="dxa" w:w="864"/>
          </w:tcPr>
          <w:p>
            <w:r>
              <w:rPr>
                <w:rFonts w:ascii="Arial" w:hAnsi="Arial"/>
                <w:sz w:val="18"/>
              </w:rPr>
              <w:t>20.342</w:t>
            </w:r>
          </w:p>
        </w:tc>
        <w:tc>
          <w:tcPr>
            <w:tcW w:type="dxa" w:w="864"/>
          </w:tcPr>
          <w:p>
            <w:r>
              <w:rPr>
                <w:rFonts w:ascii="Arial" w:hAnsi="Arial"/>
                <w:sz w:val="18"/>
              </w:rPr>
              <w:t>0.614</w:t>
            </w:r>
          </w:p>
        </w:tc>
        <w:tc>
          <w:tcPr>
            <w:tcW w:type="dxa" w:w="864"/>
          </w:tcPr>
          <w:p>
            <w:r>
              <w:rPr>
                <w:rFonts w:ascii="Arial" w:hAnsi="Arial"/>
                <w:sz w:val="18"/>
              </w:rPr>
              <w:t>-29.613</w:t>
            </w:r>
          </w:p>
        </w:tc>
        <w:tc>
          <w:tcPr>
            <w:tcW w:type="dxa" w:w="864"/>
          </w:tcPr>
          <w:p>
            <w:r>
              <w:rPr>
                <w:rFonts w:ascii="Arial" w:hAnsi="Arial"/>
                <w:sz w:val="18"/>
              </w:rPr>
              <w:t>50.124</w:t>
            </w:r>
          </w:p>
        </w:tc>
        <w:tc>
          <w:tcPr>
            <w:tcW w:type="dxa" w:w="864"/>
          </w:tcPr>
          <w:p>
            <w:r>
              <w:rPr>
                <w:rFonts w:ascii="Arial" w:hAnsi="Arial"/>
                <w:sz w:val="18"/>
              </w:rPr>
              <w:t>-32.900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+3.656</w:t>
            </w:r>
          </w:p>
        </w:tc>
        <w:tc>
          <w:tcPr>
            <w:tcW w:type="dxa" w:w="864"/>
          </w:tcPr>
          <w:p>
            <w:r>
              <w:rPr>
                <w:rFonts w:ascii="Arial" w:hAnsi="Arial"/>
                <w:sz w:val="18"/>
              </w:rPr>
              <w:t>14.092</w:t>
            </w:r>
          </w:p>
        </w:tc>
        <w:tc>
          <w:tcPr>
            <w:tcW w:type="dxa" w:w="864"/>
          </w:tcPr>
          <w:p>
            <w:r>
              <w:rPr>
                <w:rFonts w:ascii="Arial" w:hAnsi="Arial"/>
                <w:sz w:val="18"/>
              </w:rPr>
              <w:t>0.795</w:t>
            </w:r>
          </w:p>
        </w:tc>
        <w:tc>
          <w:tcPr>
            <w:tcW w:type="dxa" w:w="864"/>
          </w:tcPr>
          <w:p>
            <w:r>
              <w:rPr>
                <w:rFonts w:ascii="Arial" w:hAnsi="Arial"/>
                <w:sz w:val="18"/>
              </w:rPr>
              <w:t>-23.964</w:t>
            </w:r>
          </w:p>
        </w:tc>
        <w:tc>
          <w:tcPr>
            <w:tcW w:type="dxa" w:w="864"/>
          </w:tcPr>
          <w:p>
            <w:r>
              <w:rPr>
                <w:rFonts w:ascii="Arial" w:hAnsi="Arial"/>
                <w:sz w:val="18"/>
              </w:rPr>
              <w:t>31.275</w:t>
            </w:r>
          </w:p>
        </w:tc>
        <w:tc>
          <w:tcPr>
            <w:tcW w:type="dxa" w:w="864"/>
          </w:tcPr>
          <w:p>
            <w:r>
              <w:rPr>
                <w:rFonts w:ascii="Arial" w:hAnsi="Arial"/>
                <w:sz w:val="18"/>
              </w:rPr>
              <w:t>-76.100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+10.567</w:t>
            </w:r>
          </w:p>
        </w:tc>
        <w:tc>
          <w:tcPr>
            <w:tcW w:type="dxa" w:w="864"/>
          </w:tcPr>
          <w:p>
            <w:r>
              <w:rPr>
                <w:rFonts w:ascii="Arial" w:hAnsi="Arial"/>
                <w:sz w:val="18"/>
              </w:rPr>
              <w:t>17.860</w:t>
            </w:r>
          </w:p>
        </w:tc>
        <w:tc>
          <w:tcPr>
            <w:tcW w:type="dxa" w:w="864"/>
          </w:tcPr>
          <w:p>
            <w:r>
              <w:rPr>
                <w:rFonts w:ascii="Arial" w:hAnsi="Arial"/>
                <w:sz w:val="18"/>
              </w:rPr>
              <w:t>0.554</w:t>
            </w:r>
          </w:p>
        </w:tc>
        <w:tc>
          <w:tcPr>
            <w:tcW w:type="dxa" w:w="864"/>
          </w:tcPr>
          <w:p>
            <w:r>
              <w:rPr>
                <w:rFonts w:ascii="Arial" w:hAnsi="Arial"/>
                <w:sz w:val="18"/>
              </w:rPr>
              <w:t>-24.439</w:t>
            </w:r>
          </w:p>
        </w:tc>
        <w:tc>
          <w:tcPr>
            <w:tcW w:type="dxa" w:w="864"/>
          </w:tcPr>
          <w:p>
            <w:r>
              <w:rPr>
                <w:rFonts w:ascii="Arial" w:hAnsi="Arial"/>
                <w:sz w:val="18"/>
              </w:rPr>
              <w:t>45.572</w:t>
            </w:r>
          </w:p>
        </w:tc>
        <w:tc>
          <w:tcPr>
            <w:tcW w:type="dxa" w:w="864"/>
          </w:tcPr>
          <w:p>
            <w:r>
              <w:rPr>
                <w:rFonts w:ascii="Arial" w:hAnsi="Arial"/>
                <w:sz w:val="18"/>
              </w:rPr>
              <w:t>-30.900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+13.567</w:t>
            </w:r>
          </w:p>
        </w:tc>
        <w:tc>
          <w:tcPr>
            <w:tcW w:type="dxa" w:w="864"/>
          </w:tcPr>
          <w:p>
            <w:r>
              <w:rPr>
                <w:rFonts w:ascii="Arial" w:hAnsi="Arial"/>
                <w:sz w:val="18"/>
              </w:rPr>
              <w:t>19.089</w:t>
            </w:r>
          </w:p>
        </w:tc>
        <w:tc>
          <w:tcPr>
            <w:tcW w:type="dxa" w:w="864"/>
          </w:tcPr>
          <w:p>
            <w:r>
              <w:rPr>
                <w:rFonts w:ascii="Arial" w:hAnsi="Arial"/>
                <w:sz w:val="18"/>
              </w:rPr>
              <w:t>0.477</w:t>
            </w:r>
          </w:p>
        </w:tc>
        <w:tc>
          <w:tcPr>
            <w:tcW w:type="dxa" w:w="864"/>
          </w:tcPr>
          <w:p>
            <w:r>
              <w:rPr>
                <w:rFonts w:ascii="Arial" w:hAnsi="Arial"/>
                <w:sz w:val="18"/>
              </w:rPr>
              <w:t>-23.846</w:t>
            </w:r>
          </w:p>
        </w:tc>
        <w:tc>
          <w:tcPr>
            <w:tcW w:type="dxa" w:w="864"/>
          </w:tcPr>
          <w:p>
            <w:r>
              <w:rPr>
                <w:rFonts w:ascii="Arial" w:hAnsi="Arial"/>
                <w:sz w:val="18"/>
              </w:rPr>
              <w:t>50.980</w:t>
            </w:r>
          </w:p>
        </w:tc>
        <w:tc>
          <w:tcPr>
            <w:tcW w:type="dxa" w:w="864"/>
          </w:tcPr>
          <w:p>
            <w:r>
              <w:rPr>
                <w:rFonts w:ascii="Arial" w:hAnsi="Arial"/>
                <w:sz w:val="18"/>
              </w:rPr>
              <w:t>-11.300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+17.906</w:t>
            </w:r>
          </w:p>
        </w:tc>
        <w:tc>
          <w:tcPr>
            <w:tcW w:type="dxa" w:w="864"/>
          </w:tcPr>
          <w:p>
            <w:r>
              <w:rPr>
                <w:rFonts w:ascii="Arial" w:hAnsi="Arial"/>
                <w:sz w:val="18"/>
              </w:rPr>
              <w:t>21.212</w:t>
            </w:r>
          </w:p>
        </w:tc>
        <w:tc>
          <w:tcPr>
            <w:tcW w:type="dxa" w:w="864"/>
          </w:tcPr>
          <w:p>
            <w:r>
              <w:rPr>
                <w:rFonts w:ascii="Arial" w:hAnsi="Arial"/>
                <w:sz w:val="18"/>
              </w:rPr>
              <w:t>0.399</w:t>
            </w:r>
          </w:p>
        </w:tc>
        <w:tc>
          <w:tcPr>
            <w:tcW w:type="dxa" w:w="864"/>
          </w:tcPr>
          <w:p>
            <w:r>
              <w:rPr>
                <w:rFonts w:ascii="Arial" w:hAnsi="Arial"/>
                <w:sz w:val="18"/>
              </w:rPr>
              <w:t>-23.669</w:t>
            </w:r>
          </w:p>
        </w:tc>
        <w:tc>
          <w:tcPr>
            <w:tcW w:type="dxa" w:w="864"/>
          </w:tcPr>
          <w:p>
            <w:r>
              <w:rPr>
                <w:rFonts w:ascii="Arial" w:hAnsi="Arial"/>
                <w:sz w:val="18"/>
              </w:rPr>
              <w:t>59.480</w:t>
            </w:r>
          </w:p>
        </w:tc>
        <w:tc>
          <w:tcPr>
            <w:tcW w:type="dxa" w:w="864"/>
          </w:tcPr>
          <w:p>
            <w:r>
              <w:rPr>
                <w:rFonts w:ascii="Arial" w:hAnsi="Arial"/>
                <w:sz w:val="18"/>
              </w:rPr>
              <w:t>17.100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+22.039</w:t>
            </w:r>
          </w:p>
        </w:tc>
        <w:tc>
          <w:tcPr>
            <w:tcW w:type="dxa" w:w="864"/>
          </w:tcPr>
          <w:p>
            <w:r>
              <w:rPr>
                <w:rFonts w:ascii="Arial" w:hAnsi="Arial"/>
                <w:sz w:val="18"/>
              </w:rPr>
              <w:t>19.344</w:t>
            </w:r>
          </w:p>
        </w:tc>
        <w:tc>
          <w:tcPr>
            <w:tcW w:type="dxa" w:w="864"/>
          </w:tcPr>
          <w:p>
            <w:r>
              <w:rPr>
                <w:rFonts w:ascii="Arial" w:hAnsi="Arial"/>
                <w:sz w:val="18"/>
              </w:rPr>
              <w:t>0.255</w:t>
            </w:r>
          </w:p>
        </w:tc>
        <w:tc>
          <w:tcPr>
            <w:tcW w:type="dxa" w:w="864"/>
          </w:tcPr>
          <w:p>
            <w:r>
              <w:rPr>
                <w:rFonts w:ascii="Arial" w:hAnsi="Arial"/>
                <w:sz w:val="18"/>
              </w:rPr>
              <w:t>-15.875</w:t>
            </w:r>
          </w:p>
        </w:tc>
        <w:tc>
          <w:tcPr>
            <w:tcW w:type="dxa" w:w="864"/>
          </w:tcPr>
          <w:p>
            <w:r>
              <w:rPr>
                <w:rFonts w:ascii="Arial" w:hAnsi="Arial"/>
                <w:sz w:val="18"/>
              </w:rPr>
              <w:t>59.953</w:t>
            </w:r>
          </w:p>
        </w:tc>
        <w:tc>
          <w:tcPr>
            <w:tcW w:type="dxa" w:w="864"/>
          </w:tcPr>
          <w:p>
            <w:r>
              <w:rPr>
                <w:rFonts w:ascii="Arial" w:hAnsi="Arial"/>
                <w:sz w:val="18"/>
              </w:rPr>
              <w:t>44.100</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+22.589</w:t>
            </w:r>
          </w:p>
        </w:tc>
        <w:tc>
          <w:tcPr>
            <w:tcW w:type="dxa" w:w="864"/>
          </w:tcPr>
          <w:p>
            <w:r>
              <w:rPr>
                <w:rFonts w:ascii="Arial" w:hAnsi="Arial"/>
                <w:sz w:val="18"/>
              </w:rPr>
              <w:t>18.950</w:t>
            </w:r>
          </w:p>
        </w:tc>
        <w:tc>
          <w:tcPr>
            <w:tcW w:type="dxa" w:w="864"/>
          </w:tcPr>
          <w:p>
            <w:r>
              <w:rPr>
                <w:rFonts w:ascii="Arial" w:hAnsi="Arial"/>
                <w:sz w:val="18"/>
              </w:rPr>
              <w:t>0.233</w:t>
            </w:r>
          </w:p>
        </w:tc>
        <w:tc>
          <w:tcPr>
            <w:tcW w:type="dxa" w:w="864"/>
          </w:tcPr>
          <w:p>
            <w:r>
              <w:rPr>
                <w:rFonts w:ascii="Arial" w:hAnsi="Arial"/>
                <w:sz w:val="18"/>
              </w:rPr>
              <w:t>-14.552</w:t>
            </w:r>
          </w:p>
        </w:tc>
        <w:tc>
          <w:tcPr>
            <w:tcW w:type="dxa" w:w="864"/>
          </w:tcPr>
          <w:p>
            <w:r>
              <w:rPr>
                <w:rFonts w:ascii="Arial" w:hAnsi="Arial"/>
                <w:sz w:val="18"/>
              </w:rPr>
              <w:t>59.729</w:t>
            </w:r>
          </w:p>
        </w:tc>
        <w:tc>
          <w:tcPr>
            <w:tcW w:type="dxa" w:w="864"/>
          </w:tcPr>
          <w:p>
            <w:r>
              <w:rPr>
                <w:rFonts w:ascii="Arial" w:hAnsi="Arial"/>
                <w:sz w:val="18"/>
              </w:rPr>
              <w:t>47.700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-2.587</w:t>
            </w:r>
          </w:p>
        </w:tc>
        <w:tc>
          <w:tcPr>
            <w:tcW w:type="dxa" w:w="864"/>
          </w:tcPr>
          <w:p>
            <w:r>
              <w:rPr>
                <w:rFonts w:ascii="Arial" w:hAnsi="Arial"/>
                <w:sz w:val="18"/>
              </w:rPr>
              <w:t>3.396</w:t>
            </w:r>
          </w:p>
        </w:tc>
        <w:tc>
          <w:tcPr>
            <w:tcW w:type="dxa" w:w="864"/>
          </w:tcPr>
          <w:p>
            <w:r>
              <w:rPr>
                <w:rFonts w:ascii="Arial" w:hAnsi="Arial"/>
                <w:sz w:val="18"/>
              </w:rPr>
              <w:t>0.446</w:t>
            </w:r>
          </w:p>
        </w:tc>
        <w:tc>
          <w:tcPr>
            <w:tcW w:type="dxa" w:w="864"/>
          </w:tcPr>
          <w:p>
            <w:r>
              <w:rPr>
                <w:rFonts w:ascii="Arial" w:hAnsi="Arial"/>
                <w:sz w:val="18"/>
              </w:rPr>
              <w:t>-9.243</w:t>
            </w:r>
          </w:p>
        </w:tc>
        <w:tc>
          <w:tcPr>
            <w:tcW w:type="dxa" w:w="864"/>
          </w:tcPr>
          <w:p>
            <w:r>
              <w:rPr>
                <w:rFonts w:ascii="Arial" w:hAnsi="Arial"/>
                <w:sz w:val="18"/>
              </w:rPr>
              <w:t>4.070</w:t>
            </w:r>
          </w:p>
        </w:tc>
        <w:tc>
          <w:tcPr>
            <w:tcW w:type="dxa" w:w="864"/>
          </w:tcPr>
          <w:p>
            <w:r>
              <w:rPr>
                <w:rFonts w:ascii="Arial" w:hAnsi="Arial"/>
                <w:sz w:val="18"/>
              </w:rPr>
              <w:t>27.900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-3.483</w:t>
            </w:r>
          </w:p>
        </w:tc>
        <w:tc>
          <w:tcPr>
            <w:tcW w:type="dxa" w:w="864"/>
          </w:tcPr>
          <w:p>
            <w:r>
              <w:rPr>
                <w:rFonts w:ascii="Arial" w:hAnsi="Arial"/>
                <w:sz w:val="18"/>
              </w:rPr>
              <w:t>3.342</w:t>
            </w:r>
          </w:p>
        </w:tc>
        <w:tc>
          <w:tcPr>
            <w:tcW w:type="dxa" w:w="864"/>
          </w:tcPr>
          <w:p>
            <w:r>
              <w:rPr>
                <w:rFonts w:ascii="Arial" w:hAnsi="Arial"/>
                <w:sz w:val="18"/>
              </w:rPr>
              <w:t>0.297</w:t>
            </w:r>
          </w:p>
        </w:tc>
        <w:tc>
          <w:tcPr>
            <w:tcW w:type="dxa" w:w="864"/>
          </w:tcPr>
          <w:p>
            <w:r>
              <w:rPr>
                <w:rFonts w:ascii="Arial" w:hAnsi="Arial"/>
                <w:sz w:val="18"/>
              </w:rPr>
              <w:t>-10.034</w:t>
            </w:r>
          </w:p>
        </w:tc>
        <w:tc>
          <w:tcPr>
            <w:tcW w:type="dxa" w:w="864"/>
          </w:tcPr>
          <w:p>
            <w:r>
              <w:rPr>
                <w:rFonts w:ascii="Arial" w:hAnsi="Arial"/>
                <w:sz w:val="18"/>
              </w:rPr>
              <w:t>3.068</w:t>
            </w:r>
          </w:p>
        </w:tc>
        <w:tc>
          <w:tcPr>
            <w:tcW w:type="dxa" w:w="864"/>
          </w:tcPr>
          <w:p>
            <w:r>
              <w:rPr>
                <w:rFonts w:ascii="Arial" w:hAnsi="Arial"/>
                <w:sz w:val="18"/>
              </w:rPr>
              <w:t>2.900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-1.933</w:t>
            </w:r>
          </w:p>
        </w:tc>
        <w:tc>
          <w:tcPr>
            <w:tcW w:type="dxa" w:w="864"/>
          </w:tcPr>
          <w:p>
            <w:r>
              <w:rPr>
                <w:rFonts w:ascii="Arial" w:hAnsi="Arial"/>
                <w:sz w:val="18"/>
              </w:rPr>
              <w:t>2.418</w:t>
            </w:r>
          </w:p>
        </w:tc>
        <w:tc>
          <w:tcPr>
            <w:tcW w:type="dxa" w:w="864"/>
          </w:tcPr>
          <w:p>
            <w:r>
              <w:rPr>
                <w:rFonts w:ascii="Arial" w:hAnsi="Arial"/>
                <w:sz w:val="18"/>
              </w:rPr>
              <w:t>0.424</w:t>
            </w:r>
          </w:p>
        </w:tc>
        <w:tc>
          <w:tcPr>
            <w:tcW w:type="dxa" w:w="864"/>
          </w:tcPr>
          <w:p>
            <w:r>
              <w:rPr>
                <w:rFonts w:ascii="Arial" w:hAnsi="Arial"/>
                <w:sz w:val="18"/>
              </w:rPr>
              <w:t>-6.672</w:t>
            </w:r>
          </w:p>
        </w:tc>
        <w:tc>
          <w:tcPr>
            <w:tcW w:type="dxa" w:w="864"/>
          </w:tcPr>
          <w:p>
            <w:r>
              <w:rPr>
                <w:rFonts w:ascii="Arial" w:hAnsi="Arial"/>
                <w:sz w:val="18"/>
              </w:rPr>
              <w:t>2.805</w:t>
            </w:r>
          </w:p>
        </w:tc>
        <w:tc>
          <w:tcPr>
            <w:tcW w:type="dxa" w:w="864"/>
          </w:tcPr>
          <w:p>
            <w:r>
              <w:rPr>
                <w:rFonts w:ascii="Arial" w:hAnsi="Arial"/>
                <w:sz w:val="18"/>
              </w:rPr>
              <w:t>46.100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-5.587</w:t>
            </w:r>
          </w:p>
        </w:tc>
        <w:tc>
          <w:tcPr>
            <w:tcW w:type="dxa" w:w="864"/>
          </w:tcPr>
          <w:p>
            <w:r>
              <w:rPr>
                <w:rFonts w:ascii="Arial" w:hAnsi="Arial"/>
                <w:sz w:val="18"/>
              </w:rPr>
              <w:t>2.119</w:t>
            </w:r>
          </w:p>
        </w:tc>
        <w:tc>
          <w:tcPr>
            <w:tcW w:type="dxa" w:w="864"/>
          </w:tcPr>
          <w:p>
            <w:r>
              <w:rPr>
                <w:rFonts w:ascii="Arial" w:hAnsi="Arial"/>
                <w:sz w:val="18"/>
              </w:rPr>
              <w:t>0.008</w:t>
            </w:r>
          </w:p>
        </w:tc>
        <w:tc>
          <w:tcPr>
            <w:tcW w:type="dxa" w:w="864"/>
          </w:tcPr>
          <w:p>
            <w:r>
              <w:rPr>
                <w:rFonts w:ascii="Arial" w:hAnsi="Arial"/>
                <w:sz w:val="18"/>
              </w:rPr>
              <w:t>-9.741</w:t>
            </w:r>
          </w:p>
        </w:tc>
        <w:tc>
          <w:tcPr>
            <w:tcW w:type="dxa" w:w="864"/>
          </w:tcPr>
          <w:p>
            <w:r>
              <w:rPr>
                <w:rFonts w:ascii="Arial" w:hAnsi="Arial"/>
                <w:sz w:val="18"/>
              </w:rPr>
              <w:t>-1.433</w:t>
            </w:r>
          </w:p>
        </w:tc>
        <w:tc>
          <w:tcPr>
            <w:tcW w:type="dxa" w:w="864"/>
          </w:tcPr>
          <w:p>
            <w:r>
              <w:rPr>
                <w:rFonts w:ascii="Arial" w:hAnsi="Arial"/>
                <w:sz w:val="18"/>
              </w:rPr>
              <w:t>-55.800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-2.587</w:t>
            </w:r>
          </w:p>
        </w:tc>
        <w:tc>
          <w:tcPr>
            <w:tcW w:type="dxa" w:w="864"/>
          </w:tcPr>
          <w:p>
            <w:r>
              <w:rPr>
                <w:rFonts w:ascii="Arial" w:hAnsi="Arial"/>
                <w:sz w:val="18"/>
              </w:rPr>
              <w:t>3.396</w:t>
            </w:r>
          </w:p>
        </w:tc>
        <w:tc>
          <w:tcPr>
            <w:tcW w:type="dxa" w:w="864"/>
          </w:tcPr>
          <w:p>
            <w:r>
              <w:rPr>
                <w:rFonts w:ascii="Arial" w:hAnsi="Arial"/>
                <w:sz w:val="18"/>
              </w:rPr>
              <w:t>0.446</w:t>
            </w:r>
          </w:p>
        </w:tc>
        <w:tc>
          <w:tcPr>
            <w:tcW w:type="dxa" w:w="864"/>
          </w:tcPr>
          <w:p>
            <w:r>
              <w:rPr>
                <w:rFonts w:ascii="Arial" w:hAnsi="Arial"/>
                <w:sz w:val="18"/>
              </w:rPr>
              <w:t>-9.243</w:t>
            </w:r>
          </w:p>
        </w:tc>
        <w:tc>
          <w:tcPr>
            <w:tcW w:type="dxa" w:w="864"/>
          </w:tcPr>
          <w:p>
            <w:r>
              <w:rPr>
                <w:rFonts w:ascii="Arial" w:hAnsi="Arial"/>
                <w:sz w:val="18"/>
              </w:rPr>
              <w:t>4.070</w:t>
            </w:r>
          </w:p>
        </w:tc>
        <w:tc>
          <w:tcPr>
            <w:tcW w:type="dxa" w:w="864"/>
          </w:tcPr>
          <w:p>
            <w:r>
              <w:rPr>
                <w:rFonts w:ascii="Arial" w:hAnsi="Arial"/>
                <w:sz w:val="18"/>
              </w:rPr>
              <w:t>27.900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-4.517</w:t>
            </w:r>
          </w:p>
        </w:tc>
        <w:tc>
          <w:tcPr>
            <w:tcW w:type="dxa" w:w="864"/>
          </w:tcPr>
          <w:p>
            <w:r>
              <w:rPr>
                <w:rFonts w:ascii="Arial" w:hAnsi="Arial"/>
                <w:sz w:val="18"/>
              </w:rPr>
              <w:t>3.082</w:t>
            </w:r>
          </w:p>
        </w:tc>
        <w:tc>
          <w:tcPr>
            <w:tcW w:type="dxa" w:w="864"/>
          </w:tcPr>
          <w:p>
            <w:r>
              <w:rPr>
                <w:rFonts w:ascii="Arial" w:hAnsi="Arial"/>
                <w:sz w:val="18"/>
              </w:rPr>
              <w:t>0.143</w:t>
            </w:r>
          </w:p>
        </w:tc>
        <w:tc>
          <w:tcPr>
            <w:tcW w:type="dxa" w:w="864"/>
          </w:tcPr>
          <w:p>
            <w:r>
              <w:rPr>
                <w:rFonts w:ascii="Arial" w:hAnsi="Arial"/>
                <w:sz w:val="18"/>
              </w:rPr>
              <w:t>-10.558</w:t>
            </w:r>
          </w:p>
        </w:tc>
        <w:tc>
          <w:tcPr>
            <w:tcW w:type="dxa" w:w="864"/>
          </w:tcPr>
          <w:p>
            <w:r>
              <w:rPr>
                <w:rFonts w:ascii="Arial" w:hAnsi="Arial"/>
                <w:sz w:val="18"/>
              </w:rPr>
              <w:t>1.524</w:t>
            </w:r>
          </w:p>
        </w:tc>
        <w:tc>
          <w:tcPr>
            <w:tcW w:type="dxa" w:w="864"/>
          </w:tcPr>
          <w:p>
            <w:r>
              <w:rPr>
                <w:rFonts w:ascii="Arial" w:hAnsi="Arial"/>
                <w:sz w:val="18"/>
              </w:rPr>
              <w:t>-25.900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-4.517</w:t>
            </w:r>
          </w:p>
        </w:tc>
        <w:tc>
          <w:tcPr>
            <w:tcW w:type="dxa" w:w="864"/>
          </w:tcPr>
          <w:p>
            <w:r>
              <w:rPr>
                <w:rFonts w:ascii="Arial" w:hAnsi="Arial"/>
                <w:sz w:val="18"/>
              </w:rPr>
              <w:t>3.082</w:t>
            </w:r>
          </w:p>
        </w:tc>
        <w:tc>
          <w:tcPr>
            <w:tcW w:type="dxa" w:w="864"/>
          </w:tcPr>
          <w:p>
            <w:r>
              <w:rPr>
                <w:rFonts w:ascii="Arial" w:hAnsi="Arial"/>
                <w:sz w:val="18"/>
              </w:rPr>
              <w:t>0.143</w:t>
            </w:r>
          </w:p>
        </w:tc>
        <w:tc>
          <w:tcPr>
            <w:tcW w:type="dxa" w:w="864"/>
          </w:tcPr>
          <w:p>
            <w:r>
              <w:rPr>
                <w:rFonts w:ascii="Arial" w:hAnsi="Arial"/>
                <w:sz w:val="18"/>
              </w:rPr>
              <w:t>-10.558</w:t>
            </w:r>
          </w:p>
        </w:tc>
        <w:tc>
          <w:tcPr>
            <w:tcW w:type="dxa" w:w="864"/>
          </w:tcPr>
          <w:p>
            <w:r>
              <w:rPr>
                <w:rFonts w:ascii="Arial" w:hAnsi="Arial"/>
                <w:sz w:val="18"/>
              </w:rPr>
              <w:t>1.524</w:t>
            </w:r>
          </w:p>
        </w:tc>
        <w:tc>
          <w:tcPr>
            <w:tcW w:type="dxa" w:w="864"/>
          </w:tcPr>
          <w:p>
            <w:r>
              <w:rPr>
                <w:rFonts w:ascii="Arial" w:hAnsi="Arial"/>
                <w:sz w:val="18"/>
              </w:rPr>
              <w:t>-25.900</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-3.483</w:t>
            </w:r>
          </w:p>
        </w:tc>
        <w:tc>
          <w:tcPr>
            <w:tcW w:type="dxa" w:w="864"/>
          </w:tcPr>
          <w:p>
            <w:r>
              <w:rPr>
                <w:rFonts w:ascii="Arial" w:hAnsi="Arial"/>
                <w:sz w:val="18"/>
              </w:rPr>
              <w:t>3.342</w:t>
            </w:r>
          </w:p>
        </w:tc>
        <w:tc>
          <w:tcPr>
            <w:tcW w:type="dxa" w:w="864"/>
          </w:tcPr>
          <w:p>
            <w:r>
              <w:rPr>
                <w:rFonts w:ascii="Arial" w:hAnsi="Arial"/>
                <w:sz w:val="18"/>
              </w:rPr>
              <w:t>0.297</w:t>
            </w:r>
          </w:p>
        </w:tc>
        <w:tc>
          <w:tcPr>
            <w:tcW w:type="dxa" w:w="864"/>
          </w:tcPr>
          <w:p>
            <w:r>
              <w:rPr>
                <w:rFonts w:ascii="Arial" w:hAnsi="Arial"/>
                <w:sz w:val="18"/>
              </w:rPr>
              <w:t>-10.034</w:t>
            </w:r>
          </w:p>
        </w:tc>
        <w:tc>
          <w:tcPr>
            <w:tcW w:type="dxa" w:w="864"/>
          </w:tcPr>
          <w:p>
            <w:r>
              <w:rPr>
                <w:rFonts w:ascii="Arial" w:hAnsi="Arial"/>
                <w:sz w:val="18"/>
              </w:rPr>
              <w:t>3.068</w:t>
            </w:r>
          </w:p>
        </w:tc>
        <w:tc>
          <w:tcPr>
            <w:tcW w:type="dxa" w:w="864"/>
          </w:tcPr>
          <w:p>
            <w:r>
              <w:rPr>
                <w:rFonts w:ascii="Arial" w:hAnsi="Arial"/>
                <w:sz w:val="18"/>
              </w:rPr>
              <w:t>2.900</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0.198</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0.148</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0.148</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0.069</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0.822</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0.141</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0.396</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1.000</w:t>
            </w:r>
          </w:p>
        </w:tc>
        <w:tc>
          <w:tcPr>
            <w:tcW w:type="dxa" w:w="864"/>
          </w:tcPr>
          <w:p>
            <w:r>
              <w:rPr>
                <w:rFonts w:ascii="Arial" w:hAnsi="Arial"/>
                <w:sz w:val="18"/>
              </w:rPr>
              <w:t>-0.000</w:t>
            </w:r>
          </w:p>
        </w:tc>
        <w:tc>
          <w:tcPr>
            <w:tcW w:type="dxa" w:w="864"/>
          </w:tcPr>
          <w:p>
            <w:r>
              <w:rPr>
                <w:rFonts w:ascii="Arial" w:hAnsi="Arial"/>
                <w:sz w:val="18"/>
              </w:rPr>
              <w:t>0.000</w:t>
            </w:r>
          </w:p>
        </w:tc>
        <w:tc>
          <w:tcPr>
            <w:tcW w:type="dxa" w:w="864"/>
          </w:tcPr>
          <w:p>
            <w:r>
              <w:rPr>
                <w:rFonts w:ascii="Arial" w:hAnsi="Arial"/>
                <w:sz w:val="18"/>
              </w:rPr>
              <w:t>nan</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+21.563</w:t>
            </w:r>
          </w:p>
        </w:tc>
        <w:tc>
          <w:tcPr>
            <w:tcW w:type="dxa" w:w="864"/>
          </w:tcPr>
          <w:p>
            <w:r>
              <w:rPr>
                <w:rFonts w:ascii="Arial" w:hAnsi="Arial"/>
                <w:sz w:val="18"/>
              </w:rPr>
              <w:t>16.529</w:t>
            </w:r>
          </w:p>
        </w:tc>
        <w:tc>
          <w:tcPr>
            <w:tcW w:type="dxa" w:w="864"/>
          </w:tcPr>
          <w:p>
            <w:r>
              <w:rPr>
                <w:rFonts w:ascii="Arial" w:hAnsi="Arial"/>
                <w:sz w:val="18"/>
              </w:rPr>
              <w:t>0.192</w:t>
            </w:r>
          </w:p>
        </w:tc>
        <w:tc>
          <w:tcPr>
            <w:tcW w:type="dxa" w:w="864"/>
          </w:tcPr>
          <w:p>
            <w:r>
              <w:rPr>
                <w:rFonts w:ascii="Arial" w:hAnsi="Arial"/>
                <w:sz w:val="18"/>
              </w:rPr>
              <w:t>-10.834</w:t>
            </w:r>
          </w:p>
        </w:tc>
        <w:tc>
          <w:tcPr>
            <w:tcW w:type="dxa" w:w="864"/>
          </w:tcPr>
          <w:p>
            <w:r>
              <w:rPr>
                <w:rFonts w:ascii="Arial" w:hAnsi="Arial"/>
                <w:sz w:val="18"/>
              </w:rPr>
              <w:t>53.959</w:t>
            </w:r>
          </w:p>
        </w:tc>
        <w:tc>
          <w:tcPr>
            <w:tcW w:type="dxa" w:w="864"/>
          </w:tcPr>
          <w:p>
            <w:r>
              <w:rPr>
                <w:rFonts w:ascii="Arial" w:hAnsi="Arial"/>
                <w:sz w:val="18"/>
              </w:rPr>
              <w:t>42.700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+10.035</w:t>
            </w:r>
          </w:p>
        </w:tc>
        <w:tc>
          <w:tcPr>
            <w:tcW w:type="dxa" w:w="864"/>
          </w:tcPr>
          <w:p>
            <w:r>
              <w:rPr>
                <w:rFonts w:ascii="Arial" w:hAnsi="Arial"/>
                <w:sz w:val="18"/>
              </w:rPr>
              <w:t>20.297</w:t>
            </w:r>
          </w:p>
        </w:tc>
        <w:tc>
          <w:tcPr>
            <w:tcW w:type="dxa" w:w="864"/>
          </w:tcPr>
          <w:p>
            <w:r>
              <w:rPr>
                <w:rFonts w:ascii="Arial" w:hAnsi="Arial"/>
                <w:sz w:val="18"/>
              </w:rPr>
              <w:t>0.621</w:t>
            </w:r>
          </w:p>
        </w:tc>
        <w:tc>
          <w:tcPr>
            <w:tcW w:type="dxa" w:w="864"/>
          </w:tcPr>
          <w:p>
            <w:r>
              <w:rPr>
                <w:rFonts w:ascii="Arial" w:hAnsi="Arial"/>
                <w:sz w:val="18"/>
              </w:rPr>
              <w:t>-29.747</w:t>
            </w:r>
          </w:p>
        </w:tc>
        <w:tc>
          <w:tcPr>
            <w:tcW w:type="dxa" w:w="864"/>
          </w:tcPr>
          <w:p>
            <w:r>
              <w:rPr>
                <w:rFonts w:ascii="Arial" w:hAnsi="Arial"/>
                <w:sz w:val="18"/>
              </w:rPr>
              <w:t>49.816</w:t>
            </w:r>
          </w:p>
        </w:tc>
        <w:tc>
          <w:tcPr>
            <w:tcW w:type="dxa" w:w="864"/>
          </w:tcPr>
          <w:p>
            <w:r>
              <w:rPr>
                <w:rFonts w:ascii="Arial" w:hAnsi="Arial"/>
                <w:sz w:val="18"/>
              </w:rPr>
              <w:t>-33.600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+3.518</w:t>
            </w:r>
          </w:p>
        </w:tc>
        <w:tc>
          <w:tcPr>
            <w:tcW w:type="dxa" w:w="864"/>
          </w:tcPr>
          <w:p>
            <w:r>
              <w:rPr>
                <w:rFonts w:ascii="Arial" w:hAnsi="Arial"/>
                <w:sz w:val="18"/>
              </w:rPr>
              <w:t>14.126</w:t>
            </w:r>
          </w:p>
        </w:tc>
        <w:tc>
          <w:tcPr>
            <w:tcW w:type="dxa" w:w="864"/>
          </w:tcPr>
          <w:p>
            <w:r>
              <w:rPr>
                <w:rFonts w:ascii="Arial" w:hAnsi="Arial"/>
                <w:sz w:val="18"/>
              </w:rPr>
              <w:t>0.803</w:t>
            </w:r>
          </w:p>
        </w:tc>
        <w:tc>
          <w:tcPr>
            <w:tcW w:type="dxa" w:w="864"/>
          </w:tcPr>
          <w:p>
            <w:r>
              <w:rPr>
                <w:rFonts w:ascii="Arial" w:hAnsi="Arial"/>
                <w:sz w:val="18"/>
              </w:rPr>
              <w:t>-24.168</w:t>
            </w:r>
          </w:p>
        </w:tc>
        <w:tc>
          <w:tcPr>
            <w:tcW w:type="dxa" w:w="864"/>
          </w:tcPr>
          <w:p>
            <w:r>
              <w:rPr>
                <w:rFonts w:ascii="Arial" w:hAnsi="Arial"/>
                <w:sz w:val="18"/>
              </w:rPr>
              <w:t>31.204</w:t>
            </w:r>
          </w:p>
        </w:tc>
        <w:tc>
          <w:tcPr>
            <w:tcW w:type="dxa" w:w="864"/>
          </w:tcPr>
          <w:p>
            <w:r>
              <w:rPr>
                <w:rFonts w:ascii="Arial" w:hAnsi="Arial"/>
                <w:sz w:val="18"/>
              </w:rPr>
              <w:t>-76.700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+10.366</w:t>
            </w:r>
          </w:p>
        </w:tc>
        <w:tc>
          <w:tcPr>
            <w:tcW w:type="dxa" w:w="864"/>
          </w:tcPr>
          <w:p>
            <w:r>
              <w:rPr>
                <w:rFonts w:ascii="Arial" w:hAnsi="Arial"/>
                <w:sz w:val="18"/>
              </w:rPr>
              <w:t>17.839</w:t>
            </w:r>
          </w:p>
        </w:tc>
        <w:tc>
          <w:tcPr>
            <w:tcW w:type="dxa" w:w="864"/>
          </w:tcPr>
          <w:p>
            <w:r>
              <w:rPr>
                <w:rFonts w:ascii="Arial" w:hAnsi="Arial"/>
                <w:sz w:val="18"/>
              </w:rPr>
              <w:t>0.561</w:t>
            </w:r>
          </w:p>
        </w:tc>
        <w:tc>
          <w:tcPr>
            <w:tcW w:type="dxa" w:w="864"/>
          </w:tcPr>
          <w:p>
            <w:r>
              <w:rPr>
                <w:rFonts w:ascii="Arial" w:hAnsi="Arial"/>
                <w:sz w:val="18"/>
              </w:rPr>
              <w:t>-24.597</w:t>
            </w:r>
          </w:p>
        </w:tc>
        <w:tc>
          <w:tcPr>
            <w:tcW w:type="dxa" w:w="864"/>
          </w:tcPr>
          <w:p>
            <w:r>
              <w:rPr>
                <w:rFonts w:ascii="Arial" w:hAnsi="Arial"/>
                <w:sz w:val="18"/>
              </w:rPr>
              <w:t>45.329</w:t>
            </w:r>
          </w:p>
        </w:tc>
        <w:tc>
          <w:tcPr>
            <w:tcW w:type="dxa" w:w="864"/>
          </w:tcPr>
          <w:p>
            <w:r>
              <w:rPr>
                <w:rFonts w:ascii="Arial" w:hAnsi="Arial"/>
                <w:sz w:val="18"/>
              </w:rPr>
              <w:t>-31.400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+13.396</w:t>
            </w:r>
          </w:p>
        </w:tc>
        <w:tc>
          <w:tcPr>
            <w:tcW w:type="dxa" w:w="864"/>
          </w:tcPr>
          <w:p>
            <w:r>
              <w:rPr>
                <w:rFonts w:ascii="Arial" w:hAnsi="Arial"/>
                <w:sz w:val="18"/>
              </w:rPr>
              <w:t>19.082</w:t>
            </w:r>
          </w:p>
        </w:tc>
        <w:tc>
          <w:tcPr>
            <w:tcW w:type="dxa" w:w="864"/>
          </w:tcPr>
          <w:p>
            <w:r>
              <w:rPr>
                <w:rFonts w:ascii="Arial" w:hAnsi="Arial"/>
                <w:sz w:val="18"/>
              </w:rPr>
              <w:t>0.483</w:t>
            </w:r>
          </w:p>
        </w:tc>
        <w:tc>
          <w:tcPr>
            <w:tcW w:type="dxa" w:w="864"/>
          </w:tcPr>
          <w:p>
            <w:r>
              <w:rPr>
                <w:rFonts w:ascii="Arial" w:hAnsi="Arial"/>
                <w:sz w:val="18"/>
              </w:rPr>
              <w:t>-24.004</w:t>
            </w:r>
          </w:p>
        </w:tc>
        <w:tc>
          <w:tcPr>
            <w:tcW w:type="dxa" w:w="864"/>
          </w:tcPr>
          <w:p>
            <w:r>
              <w:rPr>
                <w:rFonts w:ascii="Arial" w:hAnsi="Arial"/>
                <w:sz w:val="18"/>
              </w:rPr>
              <w:t>50.796</w:t>
            </w:r>
          </w:p>
        </w:tc>
        <w:tc>
          <w:tcPr>
            <w:tcW w:type="dxa" w:w="864"/>
          </w:tcPr>
          <w:p>
            <w:r>
              <w:rPr>
                <w:rFonts w:ascii="Arial" w:hAnsi="Arial"/>
                <w:sz w:val="18"/>
              </w:rPr>
              <w:t>-11.300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+17.739</w:t>
            </w:r>
          </w:p>
        </w:tc>
        <w:tc>
          <w:tcPr>
            <w:tcW w:type="dxa" w:w="864"/>
          </w:tcPr>
          <w:p>
            <w:r>
              <w:rPr>
                <w:rFonts w:ascii="Arial" w:hAnsi="Arial"/>
                <w:sz w:val="18"/>
              </w:rPr>
              <w:t>21.185</w:t>
            </w:r>
          </w:p>
        </w:tc>
        <w:tc>
          <w:tcPr>
            <w:tcW w:type="dxa" w:w="864"/>
          </w:tcPr>
          <w:p>
            <w:r>
              <w:rPr>
                <w:rFonts w:ascii="Arial" w:hAnsi="Arial"/>
                <w:sz w:val="18"/>
              </w:rPr>
              <w:t>0.402</w:t>
            </w:r>
          </w:p>
        </w:tc>
        <w:tc>
          <w:tcPr>
            <w:tcW w:type="dxa" w:w="864"/>
          </w:tcPr>
          <w:p>
            <w:r>
              <w:rPr>
                <w:rFonts w:ascii="Arial" w:hAnsi="Arial"/>
                <w:sz w:val="18"/>
              </w:rPr>
              <w:t>-23.782</w:t>
            </w:r>
          </w:p>
        </w:tc>
        <w:tc>
          <w:tcPr>
            <w:tcW w:type="dxa" w:w="864"/>
          </w:tcPr>
          <w:p>
            <w:r>
              <w:rPr>
                <w:rFonts w:ascii="Arial" w:hAnsi="Arial"/>
                <w:sz w:val="18"/>
              </w:rPr>
              <w:t>59.260</w:t>
            </w:r>
          </w:p>
        </w:tc>
        <w:tc>
          <w:tcPr>
            <w:tcW w:type="dxa" w:w="864"/>
          </w:tcPr>
          <w:p>
            <w:r>
              <w:rPr>
                <w:rFonts w:ascii="Arial" w:hAnsi="Arial"/>
                <w:sz w:val="18"/>
              </w:rPr>
              <w:t>17.400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+21.857</w:t>
            </w:r>
          </w:p>
        </w:tc>
        <w:tc>
          <w:tcPr>
            <w:tcW w:type="dxa" w:w="864"/>
          </w:tcPr>
          <w:p>
            <w:r>
              <w:rPr>
                <w:rFonts w:ascii="Arial" w:hAnsi="Arial"/>
                <w:sz w:val="18"/>
              </w:rPr>
              <w:t>19.319</w:t>
            </w:r>
          </w:p>
        </w:tc>
        <w:tc>
          <w:tcPr>
            <w:tcW w:type="dxa" w:w="864"/>
          </w:tcPr>
          <w:p>
            <w:r>
              <w:rPr>
                <w:rFonts w:ascii="Arial" w:hAnsi="Arial"/>
                <w:sz w:val="18"/>
              </w:rPr>
              <w:t>0.258</w:t>
            </w:r>
          </w:p>
        </w:tc>
        <w:tc>
          <w:tcPr>
            <w:tcW w:type="dxa" w:w="864"/>
          </w:tcPr>
          <w:p>
            <w:r>
              <w:rPr>
                <w:rFonts w:ascii="Arial" w:hAnsi="Arial"/>
                <w:sz w:val="18"/>
              </w:rPr>
              <w:t>-16.007</w:t>
            </w:r>
          </w:p>
        </w:tc>
        <w:tc>
          <w:tcPr>
            <w:tcW w:type="dxa" w:w="864"/>
          </w:tcPr>
          <w:p>
            <w:r>
              <w:rPr>
                <w:rFonts w:ascii="Arial" w:hAnsi="Arial"/>
                <w:sz w:val="18"/>
              </w:rPr>
              <w:t>59.722</w:t>
            </w:r>
          </w:p>
        </w:tc>
        <w:tc>
          <w:tcPr>
            <w:tcW w:type="dxa" w:w="864"/>
          </w:tcPr>
          <w:p>
            <w:r>
              <w:rPr>
                <w:rFonts w:ascii="Arial" w:hAnsi="Arial"/>
                <w:sz w:val="18"/>
              </w:rPr>
              <w:t>44.700</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+22.392</w:t>
            </w:r>
          </w:p>
        </w:tc>
        <w:tc>
          <w:tcPr>
            <w:tcW w:type="dxa" w:w="864"/>
          </w:tcPr>
          <w:p>
            <w:r>
              <w:rPr>
                <w:rFonts w:ascii="Arial" w:hAnsi="Arial"/>
                <w:sz w:val="18"/>
              </w:rPr>
              <w:t>18.935</w:t>
            </w:r>
          </w:p>
        </w:tc>
        <w:tc>
          <w:tcPr>
            <w:tcW w:type="dxa" w:w="864"/>
          </w:tcPr>
          <w:p>
            <w:r>
              <w:rPr>
                <w:rFonts w:ascii="Arial" w:hAnsi="Arial"/>
                <w:sz w:val="18"/>
              </w:rPr>
              <w:t>0.237</w:t>
            </w:r>
          </w:p>
        </w:tc>
        <w:tc>
          <w:tcPr>
            <w:tcW w:type="dxa" w:w="864"/>
          </w:tcPr>
          <w:p>
            <w:r>
              <w:rPr>
                <w:rFonts w:ascii="Arial" w:hAnsi="Arial"/>
                <w:sz w:val="18"/>
              </w:rPr>
              <w:t>-14.720</w:t>
            </w:r>
          </w:p>
        </w:tc>
        <w:tc>
          <w:tcPr>
            <w:tcW w:type="dxa" w:w="864"/>
          </w:tcPr>
          <w:p>
            <w:r>
              <w:rPr>
                <w:rFonts w:ascii="Arial" w:hAnsi="Arial"/>
                <w:sz w:val="18"/>
              </w:rPr>
              <w:t>59.504</w:t>
            </w:r>
          </w:p>
        </w:tc>
        <w:tc>
          <w:tcPr>
            <w:tcW w:type="dxa" w:w="864"/>
          </w:tcPr>
          <w:p>
            <w:r>
              <w:rPr>
                <w:rFonts w:ascii="Arial" w:hAnsi="Arial"/>
                <w:sz w:val="18"/>
              </w:rPr>
              <w:t>48.200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-2.672</w:t>
            </w:r>
          </w:p>
        </w:tc>
        <w:tc>
          <w:tcPr>
            <w:tcW w:type="dxa" w:w="864"/>
          </w:tcPr>
          <w:p>
            <w:r>
              <w:rPr>
                <w:rFonts w:ascii="Arial" w:hAnsi="Arial"/>
                <w:sz w:val="18"/>
              </w:rPr>
              <w:t>3.414</w:t>
            </w:r>
          </w:p>
        </w:tc>
        <w:tc>
          <w:tcPr>
            <w:tcW w:type="dxa" w:w="864"/>
          </w:tcPr>
          <w:p>
            <w:r>
              <w:rPr>
                <w:rFonts w:ascii="Arial" w:hAnsi="Arial"/>
                <w:sz w:val="18"/>
              </w:rPr>
              <w:t>0.434</w:t>
            </w:r>
          </w:p>
        </w:tc>
        <w:tc>
          <w:tcPr>
            <w:tcW w:type="dxa" w:w="864"/>
          </w:tcPr>
          <w:p>
            <w:r>
              <w:rPr>
                <w:rFonts w:ascii="Arial" w:hAnsi="Arial"/>
                <w:sz w:val="18"/>
              </w:rPr>
              <w:t>-9.363</w:t>
            </w:r>
          </w:p>
        </w:tc>
        <w:tc>
          <w:tcPr>
            <w:tcW w:type="dxa" w:w="864"/>
          </w:tcPr>
          <w:p>
            <w:r>
              <w:rPr>
                <w:rFonts w:ascii="Arial" w:hAnsi="Arial"/>
                <w:sz w:val="18"/>
              </w:rPr>
              <w:t>4.020</w:t>
            </w:r>
          </w:p>
        </w:tc>
        <w:tc>
          <w:tcPr>
            <w:tcW w:type="dxa" w:w="864"/>
          </w:tcPr>
          <w:p>
            <w:r>
              <w:rPr>
                <w:rFonts w:ascii="Arial" w:hAnsi="Arial"/>
                <w:sz w:val="18"/>
              </w:rPr>
              <w:t>27.300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-3.593</w:t>
            </w:r>
          </w:p>
        </w:tc>
        <w:tc>
          <w:tcPr>
            <w:tcW w:type="dxa" w:w="864"/>
          </w:tcPr>
          <w:p>
            <w:r>
              <w:rPr>
                <w:rFonts w:ascii="Arial" w:hAnsi="Arial"/>
                <w:sz w:val="18"/>
              </w:rPr>
              <w:t>3.362</w:t>
            </w:r>
          </w:p>
        </w:tc>
        <w:tc>
          <w:tcPr>
            <w:tcW w:type="dxa" w:w="864"/>
          </w:tcPr>
          <w:p>
            <w:r>
              <w:rPr>
                <w:rFonts w:ascii="Arial" w:hAnsi="Arial"/>
                <w:sz w:val="18"/>
              </w:rPr>
              <w:t>0.285</w:t>
            </w:r>
          </w:p>
        </w:tc>
        <w:tc>
          <w:tcPr>
            <w:tcW w:type="dxa" w:w="864"/>
          </w:tcPr>
          <w:p>
            <w:r>
              <w:rPr>
                <w:rFonts w:ascii="Arial" w:hAnsi="Arial"/>
                <w:sz w:val="18"/>
              </w:rPr>
              <w:t>-10.182</w:t>
            </w:r>
          </w:p>
        </w:tc>
        <w:tc>
          <w:tcPr>
            <w:tcW w:type="dxa" w:w="864"/>
          </w:tcPr>
          <w:p>
            <w:r>
              <w:rPr>
                <w:rFonts w:ascii="Arial" w:hAnsi="Arial"/>
                <w:sz w:val="18"/>
              </w:rPr>
              <w:t>2.996</w:t>
            </w:r>
          </w:p>
        </w:tc>
        <w:tc>
          <w:tcPr>
            <w:tcW w:type="dxa" w:w="864"/>
          </w:tcPr>
          <w:p>
            <w:r>
              <w:rPr>
                <w:rFonts w:ascii="Arial" w:hAnsi="Arial"/>
                <w:sz w:val="18"/>
              </w:rPr>
              <w:t>2.300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-2.002</w:t>
            </w:r>
          </w:p>
        </w:tc>
        <w:tc>
          <w:tcPr>
            <w:tcW w:type="dxa" w:w="864"/>
          </w:tcPr>
          <w:p>
            <w:r>
              <w:rPr>
                <w:rFonts w:ascii="Arial" w:hAnsi="Arial"/>
                <w:sz w:val="18"/>
              </w:rPr>
              <w:t>2.415</w:t>
            </w:r>
          </w:p>
        </w:tc>
        <w:tc>
          <w:tcPr>
            <w:tcW w:type="dxa" w:w="864"/>
          </w:tcPr>
          <w:p>
            <w:r>
              <w:rPr>
                <w:rFonts w:ascii="Arial" w:hAnsi="Arial"/>
                <w:sz w:val="18"/>
              </w:rPr>
              <w:t>0.407</w:t>
            </w:r>
          </w:p>
        </w:tc>
        <w:tc>
          <w:tcPr>
            <w:tcW w:type="dxa" w:w="864"/>
          </w:tcPr>
          <w:p>
            <w:r>
              <w:rPr>
                <w:rFonts w:ascii="Arial" w:hAnsi="Arial"/>
                <w:sz w:val="18"/>
              </w:rPr>
              <w:t>-6.736</w:t>
            </w:r>
          </w:p>
        </w:tc>
        <w:tc>
          <w:tcPr>
            <w:tcW w:type="dxa" w:w="864"/>
          </w:tcPr>
          <w:p>
            <w:r>
              <w:rPr>
                <w:rFonts w:ascii="Arial" w:hAnsi="Arial"/>
                <w:sz w:val="18"/>
              </w:rPr>
              <w:t>2.731</w:t>
            </w:r>
          </w:p>
        </w:tc>
        <w:tc>
          <w:tcPr>
            <w:tcW w:type="dxa" w:w="864"/>
          </w:tcPr>
          <w:p>
            <w:r>
              <w:rPr>
                <w:rFonts w:ascii="Arial" w:hAnsi="Arial"/>
                <w:sz w:val="18"/>
              </w:rPr>
              <w:t>45.500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-5.687</w:t>
            </w:r>
          </w:p>
        </w:tc>
        <w:tc>
          <w:tcPr>
            <w:tcW w:type="dxa" w:w="864"/>
          </w:tcPr>
          <w:p>
            <w:r>
              <w:rPr>
                <w:rFonts w:ascii="Arial" w:hAnsi="Arial"/>
                <w:sz w:val="18"/>
              </w:rPr>
              <w:t>2.132</w:t>
            </w:r>
          </w:p>
        </w:tc>
        <w:tc>
          <w:tcPr>
            <w:tcW w:type="dxa" w:w="864"/>
          </w:tcPr>
          <w:p>
            <w:r>
              <w:rPr>
                <w:rFonts w:ascii="Arial" w:hAnsi="Arial"/>
                <w:sz w:val="18"/>
              </w:rPr>
              <w:t>0.008</w:t>
            </w:r>
          </w:p>
        </w:tc>
        <w:tc>
          <w:tcPr>
            <w:tcW w:type="dxa" w:w="864"/>
          </w:tcPr>
          <w:p>
            <w:r>
              <w:rPr>
                <w:rFonts w:ascii="Arial" w:hAnsi="Arial"/>
                <w:sz w:val="18"/>
              </w:rPr>
              <w:t>-9.865</w:t>
            </w:r>
          </w:p>
        </w:tc>
        <w:tc>
          <w:tcPr>
            <w:tcW w:type="dxa" w:w="864"/>
          </w:tcPr>
          <w:p>
            <w:r>
              <w:rPr>
                <w:rFonts w:ascii="Arial" w:hAnsi="Arial"/>
                <w:sz w:val="18"/>
              </w:rPr>
              <w:t>-1.509</w:t>
            </w:r>
          </w:p>
        </w:tc>
        <w:tc>
          <w:tcPr>
            <w:tcW w:type="dxa" w:w="864"/>
          </w:tcPr>
          <w:p>
            <w:r>
              <w:rPr>
                <w:rFonts w:ascii="Arial" w:hAnsi="Arial"/>
                <w:sz w:val="18"/>
              </w:rPr>
              <w:t>-54.700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-2.672</w:t>
            </w:r>
          </w:p>
        </w:tc>
        <w:tc>
          <w:tcPr>
            <w:tcW w:type="dxa" w:w="864"/>
          </w:tcPr>
          <w:p>
            <w:r>
              <w:rPr>
                <w:rFonts w:ascii="Arial" w:hAnsi="Arial"/>
                <w:sz w:val="18"/>
              </w:rPr>
              <w:t>3.414</w:t>
            </w:r>
          </w:p>
        </w:tc>
        <w:tc>
          <w:tcPr>
            <w:tcW w:type="dxa" w:w="864"/>
          </w:tcPr>
          <w:p>
            <w:r>
              <w:rPr>
                <w:rFonts w:ascii="Arial" w:hAnsi="Arial"/>
                <w:sz w:val="18"/>
              </w:rPr>
              <w:t>0.434</w:t>
            </w:r>
          </w:p>
        </w:tc>
        <w:tc>
          <w:tcPr>
            <w:tcW w:type="dxa" w:w="864"/>
          </w:tcPr>
          <w:p>
            <w:r>
              <w:rPr>
                <w:rFonts w:ascii="Arial" w:hAnsi="Arial"/>
                <w:sz w:val="18"/>
              </w:rPr>
              <w:t>-9.363</w:t>
            </w:r>
          </w:p>
        </w:tc>
        <w:tc>
          <w:tcPr>
            <w:tcW w:type="dxa" w:w="864"/>
          </w:tcPr>
          <w:p>
            <w:r>
              <w:rPr>
                <w:rFonts w:ascii="Arial" w:hAnsi="Arial"/>
                <w:sz w:val="18"/>
              </w:rPr>
              <w:t>4.020</w:t>
            </w:r>
          </w:p>
        </w:tc>
        <w:tc>
          <w:tcPr>
            <w:tcW w:type="dxa" w:w="864"/>
          </w:tcPr>
          <w:p>
            <w:r>
              <w:rPr>
                <w:rFonts w:ascii="Arial" w:hAnsi="Arial"/>
                <w:sz w:val="18"/>
              </w:rPr>
              <w:t>27.300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-4.600</w:t>
            </w:r>
          </w:p>
        </w:tc>
        <w:tc>
          <w:tcPr>
            <w:tcW w:type="dxa" w:w="864"/>
          </w:tcPr>
          <w:p>
            <w:r>
              <w:rPr>
                <w:rFonts w:ascii="Arial" w:hAnsi="Arial"/>
                <w:sz w:val="18"/>
              </w:rPr>
              <w:t>3.106</w:t>
            </w:r>
          </w:p>
        </w:tc>
        <w:tc>
          <w:tcPr>
            <w:tcW w:type="dxa" w:w="864"/>
          </w:tcPr>
          <w:p>
            <w:r>
              <w:rPr>
                <w:rFonts w:ascii="Arial" w:hAnsi="Arial"/>
                <w:sz w:val="18"/>
              </w:rPr>
              <w:t>0.139</w:t>
            </w:r>
          </w:p>
        </w:tc>
        <w:tc>
          <w:tcPr>
            <w:tcW w:type="dxa" w:w="864"/>
          </w:tcPr>
          <w:p>
            <w:r>
              <w:rPr>
                <w:rFonts w:ascii="Arial" w:hAnsi="Arial"/>
                <w:sz w:val="18"/>
              </w:rPr>
              <w:t>-10.688</w:t>
            </w:r>
          </w:p>
        </w:tc>
        <w:tc>
          <w:tcPr>
            <w:tcW w:type="dxa" w:w="864"/>
          </w:tcPr>
          <w:p>
            <w:r>
              <w:rPr>
                <w:rFonts w:ascii="Arial" w:hAnsi="Arial"/>
                <w:sz w:val="18"/>
              </w:rPr>
              <w:t>1.488</w:t>
            </w:r>
          </w:p>
        </w:tc>
        <w:tc>
          <w:tcPr>
            <w:tcW w:type="dxa" w:w="864"/>
          </w:tcPr>
          <w:p>
            <w:r>
              <w:rPr>
                <w:rFonts w:ascii="Arial" w:hAnsi="Arial"/>
                <w:sz w:val="18"/>
              </w:rPr>
              <w:t>-25.100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-4.607</w:t>
            </w:r>
          </w:p>
        </w:tc>
        <w:tc>
          <w:tcPr>
            <w:tcW w:type="dxa" w:w="864"/>
          </w:tcPr>
          <w:p>
            <w:r>
              <w:rPr>
                <w:rFonts w:ascii="Arial" w:hAnsi="Arial"/>
                <w:sz w:val="18"/>
              </w:rPr>
              <w:t>3.102</w:t>
            </w:r>
          </w:p>
        </w:tc>
        <w:tc>
          <w:tcPr>
            <w:tcW w:type="dxa" w:w="864"/>
          </w:tcPr>
          <w:p>
            <w:r>
              <w:rPr>
                <w:rFonts w:ascii="Arial" w:hAnsi="Arial"/>
                <w:sz w:val="18"/>
              </w:rPr>
              <w:t>0.138</w:t>
            </w:r>
          </w:p>
        </w:tc>
        <w:tc>
          <w:tcPr>
            <w:tcW w:type="dxa" w:w="864"/>
          </w:tcPr>
          <w:p>
            <w:r>
              <w:rPr>
                <w:rFonts w:ascii="Arial" w:hAnsi="Arial"/>
                <w:sz w:val="18"/>
              </w:rPr>
              <w:t>-10.687</w:t>
            </w:r>
          </w:p>
        </w:tc>
        <w:tc>
          <w:tcPr>
            <w:tcW w:type="dxa" w:w="864"/>
          </w:tcPr>
          <w:p>
            <w:r>
              <w:rPr>
                <w:rFonts w:ascii="Arial" w:hAnsi="Arial"/>
                <w:sz w:val="18"/>
              </w:rPr>
              <w:t>1.473</w:t>
            </w:r>
          </w:p>
        </w:tc>
        <w:tc>
          <w:tcPr>
            <w:tcW w:type="dxa" w:w="864"/>
          </w:tcPr>
          <w:p>
            <w:r>
              <w:rPr>
                <w:rFonts w:ascii="Arial" w:hAnsi="Arial"/>
                <w:sz w:val="18"/>
              </w:rPr>
              <w:t>-25.300</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-3.581</w:t>
            </w:r>
          </w:p>
        </w:tc>
        <w:tc>
          <w:tcPr>
            <w:tcW w:type="dxa" w:w="864"/>
          </w:tcPr>
          <w:p>
            <w:r>
              <w:rPr>
                <w:rFonts w:ascii="Arial" w:hAnsi="Arial"/>
                <w:sz w:val="18"/>
              </w:rPr>
              <w:t>3.361</w:t>
            </w:r>
          </w:p>
        </w:tc>
        <w:tc>
          <w:tcPr>
            <w:tcW w:type="dxa" w:w="864"/>
          </w:tcPr>
          <w:p>
            <w:r>
              <w:rPr>
                <w:rFonts w:ascii="Arial" w:hAnsi="Arial"/>
                <w:sz w:val="18"/>
              </w:rPr>
              <w:t>0.287</w:t>
            </w:r>
          </w:p>
        </w:tc>
        <w:tc>
          <w:tcPr>
            <w:tcW w:type="dxa" w:w="864"/>
          </w:tcPr>
          <w:p>
            <w:r>
              <w:rPr>
                <w:rFonts w:ascii="Arial" w:hAnsi="Arial"/>
                <w:sz w:val="18"/>
              </w:rPr>
              <w:t>-10.168</w:t>
            </w:r>
          </w:p>
        </w:tc>
        <w:tc>
          <w:tcPr>
            <w:tcW w:type="dxa" w:w="864"/>
          </w:tcPr>
          <w:p>
            <w:r>
              <w:rPr>
                <w:rFonts w:ascii="Arial" w:hAnsi="Arial"/>
                <w:sz w:val="18"/>
              </w:rPr>
              <w:t>3.007</w:t>
            </w:r>
          </w:p>
        </w:tc>
        <w:tc>
          <w:tcPr>
            <w:tcW w:type="dxa" w:w="864"/>
          </w:tcPr>
          <w:p>
            <w:r>
              <w:rPr>
                <w:rFonts w:ascii="Arial" w:hAnsi="Arial"/>
                <w:sz w:val="18"/>
              </w:rPr>
              <w:t>2.600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Angul</w:t>
            </w:r>
          </w:p>
        </w:tc>
        <w:tc>
          <w:tcPr>
            <w:tcW w:type="dxa" w:w="864"/>
          </w:tcPr>
          <w:p>
            <w:r>
              <w:rPr>
                <w:rFonts w:ascii="Arial" w:hAnsi="Arial"/>
                <w:sz w:val="18"/>
              </w:rPr>
              <w:t>inland_control</w:t>
            </w:r>
          </w:p>
        </w:tc>
        <w:tc>
          <w:tcPr>
            <w:tcW w:type="dxa" w:w="864"/>
          </w:tcPr>
          <w:p>
            <w:r>
              <w:rPr>
                <w:rFonts w:ascii="Arial" w:hAnsi="Arial"/>
                <w:sz w:val="18"/>
              </w:rPr>
              <w:t>-0.205</w:t>
            </w:r>
          </w:p>
        </w:tc>
        <w:tc>
          <w:tcPr>
            <w:tcW w:type="dxa" w:w="864"/>
          </w:tcPr>
          <w:p>
            <w:r>
              <w:rPr>
                <w:rFonts w:ascii="Arial" w:hAnsi="Arial"/>
                <w:sz w:val="18"/>
              </w:rPr>
              <w:t>0.157</w:t>
            </w:r>
          </w:p>
        </w:tc>
        <w:tc>
          <w:tcPr>
            <w:tcW w:type="dxa" w:w="864"/>
          </w:tcPr>
          <w:p>
            <w:r>
              <w:rPr>
                <w:rFonts w:ascii="Arial" w:hAnsi="Arial"/>
                <w:sz w:val="18"/>
              </w:rPr>
              <w:t>0.191</w:t>
            </w:r>
          </w:p>
        </w:tc>
        <w:tc>
          <w:tcPr>
            <w:tcW w:type="dxa" w:w="864"/>
          </w:tcPr>
          <w:p>
            <w:r>
              <w:rPr>
                <w:rFonts w:ascii="Arial" w:hAnsi="Arial"/>
                <w:sz w:val="18"/>
              </w:rPr>
              <w:t>-0.511</w:t>
            </w:r>
          </w:p>
        </w:tc>
        <w:tc>
          <w:tcPr>
            <w:tcW w:type="dxa" w:w="864"/>
          </w:tcPr>
          <w:p>
            <w:r>
              <w:rPr>
                <w:rFonts w:ascii="Arial" w:hAnsi="Arial"/>
                <w:sz w:val="18"/>
              </w:rPr>
              <w:t>0.102</w:t>
            </w:r>
          </w:p>
        </w:tc>
        <w:tc>
          <w:tcPr>
            <w:tcW w:type="dxa" w:w="864"/>
          </w:tcPr>
          <w:p>
            <w:r>
              <w:rPr>
                <w:rFonts w:ascii="Arial" w:hAnsi="Arial"/>
                <w:sz w:val="18"/>
              </w:rPr>
              <w:t>14.200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Baleshwar</w:t>
            </w:r>
          </w:p>
        </w:tc>
        <w:tc>
          <w:tcPr>
            <w:tcW w:type="dxa" w:w="864"/>
          </w:tcPr>
          <w:p>
            <w:r>
              <w:rPr>
                <w:rFonts w:ascii="Arial" w:hAnsi="Arial"/>
                <w:sz w:val="18"/>
              </w:rPr>
              <w:t>coastal_treatment</w:t>
            </w:r>
          </w:p>
        </w:tc>
        <w:tc>
          <w:tcPr>
            <w:tcW w:type="dxa" w:w="864"/>
          </w:tcPr>
          <w:p>
            <w:r>
              <w:rPr>
                <w:rFonts w:ascii="Arial" w:hAnsi="Arial"/>
                <w:sz w:val="18"/>
              </w:rPr>
              <w:t>-0.326</w:t>
            </w:r>
          </w:p>
        </w:tc>
        <w:tc>
          <w:tcPr>
            <w:tcW w:type="dxa" w:w="864"/>
          </w:tcPr>
          <w:p>
            <w:r>
              <w:rPr>
                <w:rFonts w:ascii="Arial" w:hAnsi="Arial"/>
                <w:sz w:val="18"/>
              </w:rPr>
              <w:t>0.196</w:t>
            </w:r>
          </w:p>
        </w:tc>
        <w:tc>
          <w:tcPr>
            <w:tcW w:type="dxa" w:w="864"/>
          </w:tcPr>
          <w:p>
            <w:r>
              <w:rPr>
                <w:rFonts w:ascii="Arial" w:hAnsi="Arial"/>
                <w:sz w:val="18"/>
              </w:rPr>
              <w:t>0.097</w:t>
            </w:r>
          </w:p>
        </w:tc>
        <w:tc>
          <w:tcPr>
            <w:tcW w:type="dxa" w:w="864"/>
          </w:tcPr>
          <w:p>
            <w:r>
              <w:rPr>
                <w:rFonts w:ascii="Arial" w:hAnsi="Arial"/>
                <w:sz w:val="18"/>
              </w:rPr>
              <w:t>-0.711</w:t>
            </w:r>
          </w:p>
        </w:tc>
        <w:tc>
          <w:tcPr>
            <w:tcW w:type="dxa" w:w="864"/>
          </w:tcPr>
          <w:p>
            <w:r>
              <w:rPr>
                <w:rFonts w:ascii="Arial" w:hAnsi="Arial"/>
                <w:sz w:val="18"/>
              </w:rPr>
              <w:t>0.058</w:t>
            </w:r>
          </w:p>
        </w:tc>
        <w:tc>
          <w:tcPr>
            <w:tcW w:type="dxa" w:w="864"/>
          </w:tcPr>
          <w:p>
            <w:r>
              <w:rPr>
                <w:rFonts w:ascii="Arial" w:hAnsi="Arial"/>
                <w:sz w:val="18"/>
              </w:rPr>
              <w:t>-36.700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Bhadrak</w:t>
            </w:r>
          </w:p>
        </w:tc>
        <w:tc>
          <w:tcPr>
            <w:tcW w:type="dxa" w:w="864"/>
          </w:tcPr>
          <w:p>
            <w:r>
              <w:rPr>
                <w:rFonts w:ascii="Arial" w:hAnsi="Arial"/>
                <w:sz w:val="18"/>
              </w:rPr>
              <w:t>coastal_treatment</w:t>
            </w:r>
          </w:p>
        </w:tc>
        <w:tc>
          <w:tcPr>
            <w:tcW w:type="dxa" w:w="864"/>
          </w:tcPr>
          <w:p>
            <w:r>
              <w:rPr>
                <w:rFonts w:ascii="Arial" w:hAnsi="Arial"/>
                <w:sz w:val="18"/>
              </w:rPr>
              <w:t>-0.095</w:t>
            </w:r>
          </w:p>
        </w:tc>
        <w:tc>
          <w:tcPr>
            <w:tcW w:type="dxa" w:w="864"/>
          </w:tcPr>
          <w:p>
            <w:r>
              <w:rPr>
                <w:rFonts w:ascii="Arial" w:hAnsi="Arial"/>
                <w:sz w:val="18"/>
              </w:rPr>
              <w:t>0.059</w:t>
            </w:r>
          </w:p>
        </w:tc>
        <w:tc>
          <w:tcPr>
            <w:tcW w:type="dxa" w:w="864"/>
          </w:tcPr>
          <w:p>
            <w:r>
              <w:rPr>
                <w:rFonts w:ascii="Arial" w:hAnsi="Arial"/>
                <w:sz w:val="18"/>
              </w:rPr>
              <w:t>0.109</w:t>
            </w:r>
          </w:p>
        </w:tc>
        <w:tc>
          <w:tcPr>
            <w:tcW w:type="dxa" w:w="864"/>
          </w:tcPr>
          <w:p>
            <w:r>
              <w:rPr>
                <w:rFonts w:ascii="Arial" w:hAnsi="Arial"/>
                <w:sz w:val="18"/>
              </w:rPr>
              <w:t>-0.211</w:t>
            </w:r>
          </w:p>
        </w:tc>
        <w:tc>
          <w:tcPr>
            <w:tcW w:type="dxa" w:w="864"/>
          </w:tcPr>
          <w:p>
            <w:r>
              <w:rPr>
                <w:rFonts w:ascii="Arial" w:hAnsi="Arial"/>
                <w:sz w:val="18"/>
              </w:rPr>
              <w:t>0.021</w:t>
            </w:r>
          </w:p>
        </w:tc>
        <w:tc>
          <w:tcPr>
            <w:tcW w:type="dxa" w:w="864"/>
          </w:tcPr>
          <w:p>
            <w:r>
              <w:rPr>
                <w:rFonts w:ascii="Arial" w:hAnsi="Arial"/>
                <w:sz w:val="18"/>
              </w:rPr>
              <w:t>60.200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Cuttack</w:t>
            </w:r>
          </w:p>
        </w:tc>
        <w:tc>
          <w:tcPr>
            <w:tcW w:type="dxa" w:w="864"/>
          </w:tcPr>
          <w:p>
            <w:r>
              <w:rPr>
                <w:rFonts w:ascii="Arial" w:hAnsi="Arial"/>
                <w:sz w:val="18"/>
              </w:rPr>
              <w:t>inland_control</w:t>
            </w:r>
          </w:p>
        </w:tc>
        <w:tc>
          <w:tcPr>
            <w:tcW w:type="dxa" w:w="864"/>
          </w:tcPr>
          <w:p>
            <w:r>
              <w:rPr>
                <w:rFonts w:ascii="Arial" w:hAnsi="Arial"/>
                <w:sz w:val="18"/>
              </w:rPr>
              <w:t>-0.288</w:t>
            </w:r>
          </w:p>
        </w:tc>
        <w:tc>
          <w:tcPr>
            <w:tcW w:type="dxa" w:w="864"/>
          </w:tcPr>
          <w:p>
            <w:r>
              <w:rPr>
                <w:rFonts w:ascii="Arial" w:hAnsi="Arial"/>
                <w:sz w:val="18"/>
              </w:rPr>
              <w:t>0.191</w:t>
            </w:r>
          </w:p>
        </w:tc>
        <w:tc>
          <w:tcPr>
            <w:tcW w:type="dxa" w:w="864"/>
          </w:tcPr>
          <w:p>
            <w:r>
              <w:rPr>
                <w:rFonts w:ascii="Arial" w:hAnsi="Arial"/>
                <w:sz w:val="18"/>
              </w:rPr>
              <w:t>0.131</w:t>
            </w:r>
          </w:p>
        </w:tc>
        <w:tc>
          <w:tcPr>
            <w:tcW w:type="dxa" w:w="864"/>
          </w:tcPr>
          <w:p>
            <w:r>
              <w:rPr>
                <w:rFonts w:ascii="Arial" w:hAnsi="Arial"/>
                <w:sz w:val="18"/>
              </w:rPr>
              <w:t>-0.662</w:t>
            </w:r>
          </w:p>
        </w:tc>
        <w:tc>
          <w:tcPr>
            <w:tcW w:type="dxa" w:w="864"/>
          </w:tcPr>
          <w:p>
            <w:r>
              <w:rPr>
                <w:rFonts w:ascii="Arial" w:hAnsi="Arial"/>
                <w:sz w:val="18"/>
              </w:rPr>
              <w:t>0.086</w:t>
            </w:r>
          </w:p>
        </w:tc>
        <w:tc>
          <w:tcPr>
            <w:tcW w:type="dxa" w:w="864"/>
          </w:tcPr>
          <w:p>
            <w:r>
              <w:rPr>
                <w:rFonts w:ascii="Arial" w:hAnsi="Arial"/>
                <w:sz w:val="18"/>
              </w:rPr>
              <w:t>-20.700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Dhenkanal</w:t>
            </w:r>
          </w:p>
        </w:tc>
        <w:tc>
          <w:tcPr>
            <w:tcW w:type="dxa" w:w="864"/>
          </w:tcPr>
          <w:p>
            <w:r>
              <w:rPr>
                <w:rFonts w:ascii="Arial" w:hAnsi="Arial"/>
                <w:sz w:val="18"/>
              </w:rPr>
              <w:t>inland_control</w:t>
            </w:r>
          </w:p>
        </w:tc>
        <w:tc>
          <w:tcPr>
            <w:tcW w:type="dxa" w:w="864"/>
          </w:tcPr>
          <w:p>
            <w:r>
              <w:rPr>
                <w:rFonts w:ascii="Arial" w:hAnsi="Arial"/>
                <w:sz w:val="18"/>
              </w:rPr>
              <w:t>-0.215</w:t>
            </w:r>
          </w:p>
        </w:tc>
        <w:tc>
          <w:tcPr>
            <w:tcW w:type="dxa" w:w="864"/>
          </w:tcPr>
          <w:p>
            <w:r>
              <w:rPr>
                <w:rFonts w:ascii="Arial" w:hAnsi="Arial"/>
                <w:sz w:val="18"/>
              </w:rPr>
              <w:t>0.219</w:t>
            </w:r>
          </w:p>
        </w:tc>
        <w:tc>
          <w:tcPr>
            <w:tcW w:type="dxa" w:w="864"/>
          </w:tcPr>
          <w:p>
            <w:r>
              <w:rPr>
                <w:rFonts w:ascii="Arial" w:hAnsi="Arial"/>
                <w:sz w:val="18"/>
              </w:rPr>
              <w:t>0.325</w:t>
            </w:r>
          </w:p>
        </w:tc>
        <w:tc>
          <w:tcPr>
            <w:tcW w:type="dxa" w:w="864"/>
          </w:tcPr>
          <w:p>
            <w:r>
              <w:rPr>
                <w:rFonts w:ascii="Arial" w:hAnsi="Arial"/>
                <w:sz w:val="18"/>
              </w:rPr>
              <w:t>-0.644</w:t>
            </w:r>
          </w:p>
        </w:tc>
        <w:tc>
          <w:tcPr>
            <w:tcW w:type="dxa" w:w="864"/>
          </w:tcPr>
          <w:p>
            <w:r>
              <w:rPr>
                <w:rFonts w:ascii="Arial" w:hAnsi="Arial"/>
                <w:sz w:val="18"/>
              </w:rPr>
              <w:t>0.214</w:t>
            </w:r>
          </w:p>
        </w:tc>
        <w:tc>
          <w:tcPr>
            <w:tcW w:type="dxa" w:w="864"/>
          </w:tcPr>
          <w:p>
            <w:r>
              <w:rPr>
                <w:rFonts w:ascii="Arial" w:hAnsi="Arial"/>
                <w:sz w:val="18"/>
              </w:rPr>
              <w:t>9.700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Jagatsinghpur</w:t>
            </w:r>
          </w:p>
        </w:tc>
        <w:tc>
          <w:tcPr>
            <w:tcW w:type="dxa" w:w="864"/>
          </w:tcPr>
          <w:p>
            <w:r>
              <w:rPr>
                <w:rFonts w:ascii="Arial" w:hAnsi="Arial"/>
                <w:sz w:val="18"/>
              </w:rPr>
              <w:t>coastal_treatment</w:t>
            </w:r>
          </w:p>
        </w:tc>
        <w:tc>
          <w:tcPr>
            <w:tcW w:type="dxa" w:w="864"/>
          </w:tcPr>
          <w:p>
            <w:r>
              <w:rPr>
                <w:rFonts w:ascii="Arial" w:hAnsi="Arial"/>
                <w:sz w:val="18"/>
              </w:rPr>
              <w:t>-0.239</w:t>
            </w:r>
          </w:p>
        </w:tc>
        <w:tc>
          <w:tcPr>
            <w:tcW w:type="dxa" w:w="864"/>
          </w:tcPr>
          <w:p>
            <w:r>
              <w:rPr>
                <w:rFonts w:ascii="Arial" w:hAnsi="Arial"/>
                <w:sz w:val="18"/>
              </w:rPr>
              <w:t>0.169</w:t>
            </w:r>
          </w:p>
        </w:tc>
        <w:tc>
          <w:tcPr>
            <w:tcW w:type="dxa" w:w="864"/>
          </w:tcPr>
          <w:p>
            <w:r>
              <w:rPr>
                <w:rFonts w:ascii="Arial" w:hAnsi="Arial"/>
                <w:sz w:val="18"/>
              </w:rPr>
              <w:t>0.158</w:t>
            </w:r>
          </w:p>
        </w:tc>
        <w:tc>
          <w:tcPr>
            <w:tcW w:type="dxa" w:w="864"/>
          </w:tcPr>
          <w:p>
            <w:r>
              <w:rPr>
                <w:rFonts w:ascii="Arial" w:hAnsi="Arial"/>
                <w:sz w:val="18"/>
              </w:rPr>
              <w:t>-0.570</w:t>
            </w:r>
          </w:p>
        </w:tc>
        <w:tc>
          <w:tcPr>
            <w:tcW w:type="dxa" w:w="864"/>
          </w:tcPr>
          <w:p>
            <w:r>
              <w:rPr>
                <w:rFonts w:ascii="Arial" w:hAnsi="Arial"/>
                <w:sz w:val="18"/>
              </w:rPr>
              <w:t>0.092</w:t>
            </w:r>
          </w:p>
        </w:tc>
        <w:tc>
          <w:tcPr>
            <w:tcW w:type="dxa" w:w="864"/>
          </w:tcPr>
          <w:p>
            <w:r>
              <w:rPr>
                <w:rFonts w:ascii="Arial" w:hAnsi="Arial"/>
                <w:sz w:val="18"/>
              </w:rPr>
              <w:t>0.000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Kendrapara</w:t>
            </w:r>
          </w:p>
        </w:tc>
        <w:tc>
          <w:tcPr>
            <w:tcW w:type="dxa" w:w="864"/>
          </w:tcPr>
          <w:p>
            <w:r>
              <w:rPr>
                <w:rFonts w:ascii="Arial" w:hAnsi="Arial"/>
                <w:sz w:val="18"/>
              </w:rPr>
              <w:t>coastal_treatment</w:t>
            </w:r>
          </w:p>
        </w:tc>
        <w:tc>
          <w:tcPr>
            <w:tcW w:type="dxa" w:w="864"/>
          </w:tcPr>
          <w:p>
            <w:r>
              <w:rPr>
                <w:rFonts w:ascii="Arial" w:hAnsi="Arial"/>
                <w:sz w:val="18"/>
              </w:rPr>
              <w:t>-0.244</w:t>
            </w:r>
          </w:p>
        </w:tc>
        <w:tc>
          <w:tcPr>
            <w:tcW w:type="dxa" w:w="864"/>
          </w:tcPr>
          <w:p>
            <w:r>
              <w:rPr>
                <w:rFonts w:ascii="Arial" w:hAnsi="Arial"/>
                <w:sz w:val="18"/>
              </w:rPr>
              <w:t>0.178</w:t>
            </w:r>
          </w:p>
        </w:tc>
        <w:tc>
          <w:tcPr>
            <w:tcW w:type="dxa" w:w="864"/>
          </w:tcPr>
          <w:p>
            <w:r>
              <w:rPr>
                <w:rFonts w:ascii="Arial" w:hAnsi="Arial"/>
                <w:sz w:val="18"/>
              </w:rPr>
              <w:t>0.171</w:t>
            </w:r>
          </w:p>
        </w:tc>
        <w:tc>
          <w:tcPr>
            <w:tcW w:type="dxa" w:w="864"/>
          </w:tcPr>
          <w:p>
            <w:r>
              <w:rPr>
                <w:rFonts w:ascii="Arial" w:hAnsi="Arial"/>
                <w:sz w:val="18"/>
              </w:rPr>
              <w:t>-0.594</w:t>
            </w:r>
          </w:p>
        </w:tc>
        <w:tc>
          <w:tcPr>
            <w:tcW w:type="dxa" w:w="864"/>
          </w:tcPr>
          <w:p>
            <w:r>
              <w:rPr>
                <w:rFonts w:ascii="Arial" w:hAnsi="Arial"/>
                <w:sz w:val="18"/>
              </w:rPr>
              <w:t>0.105</w:t>
            </w:r>
          </w:p>
        </w:tc>
        <w:tc>
          <w:tcPr>
            <w:tcW w:type="dxa" w:w="864"/>
          </w:tcPr>
          <w:p>
            <w:r>
              <w:rPr>
                <w:rFonts w:ascii="Arial" w:hAnsi="Arial"/>
                <w:sz w:val="18"/>
              </w:rPr>
              <w:t>-2.300</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Puri</w:t>
            </w:r>
          </w:p>
        </w:tc>
        <w:tc>
          <w:tcPr>
            <w:tcW w:type="dxa" w:w="864"/>
          </w:tcPr>
          <w:p>
            <w:r>
              <w:rPr>
                <w:rFonts w:ascii="Arial" w:hAnsi="Arial"/>
                <w:sz w:val="18"/>
              </w:rPr>
              <w:t>coastal_treatment</w:t>
            </w:r>
          </w:p>
        </w:tc>
        <w:tc>
          <w:tcPr>
            <w:tcW w:type="dxa" w:w="864"/>
          </w:tcPr>
          <w:p>
            <w:r>
              <w:rPr>
                <w:rFonts w:ascii="Arial" w:hAnsi="Arial"/>
                <w:sz w:val="18"/>
              </w:rPr>
              <w:t>-0.279</w:t>
            </w:r>
          </w:p>
        </w:tc>
        <w:tc>
          <w:tcPr>
            <w:tcW w:type="dxa" w:w="864"/>
          </w:tcPr>
          <w:p>
            <w:r>
              <w:rPr>
                <w:rFonts w:ascii="Arial" w:hAnsi="Arial"/>
                <w:sz w:val="18"/>
              </w:rPr>
              <w:t>0.242</w:t>
            </w:r>
          </w:p>
        </w:tc>
        <w:tc>
          <w:tcPr>
            <w:tcW w:type="dxa" w:w="864"/>
          </w:tcPr>
          <w:p>
            <w:r>
              <w:rPr>
                <w:rFonts w:ascii="Arial" w:hAnsi="Arial"/>
                <w:sz w:val="18"/>
              </w:rPr>
              <w:t>0.249</w:t>
            </w:r>
          </w:p>
        </w:tc>
        <w:tc>
          <w:tcPr>
            <w:tcW w:type="dxa" w:w="864"/>
          </w:tcPr>
          <w:p>
            <w:r>
              <w:rPr>
                <w:rFonts w:ascii="Arial" w:hAnsi="Arial"/>
                <w:sz w:val="18"/>
              </w:rPr>
              <w:t>-0.754</w:t>
            </w:r>
          </w:p>
        </w:tc>
        <w:tc>
          <w:tcPr>
            <w:tcW w:type="dxa" w:w="864"/>
          </w:tcPr>
          <w:p>
            <w:r>
              <w:rPr>
                <w:rFonts w:ascii="Arial" w:hAnsi="Arial"/>
                <w:sz w:val="18"/>
              </w:rPr>
              <w:t>0.196</w:t>
            </w:r>
          </w:p>
        </w:tc>
        <w:tc>
          <w:tcPr>
            <w:tcW w:type="dxa" w:w="864"/>
          </w:tcPr>
          <w:p>
            <w:r>
              <w:rPr>
                <w:rFonts w:ascii="Arial" w:hAnsi="Arial"/>
                <w:sz w:val="18"/>
              </w:rPr>
              <w:t>-17.000</w:t>
            </w:r>
          </w:p>
        </w:tc>
      </w:tr>
    </w:tbl>
    <w:p/>
    <w:p>
      <w:r>
        <w:rPr>
          <w:rFonts w:ascii="Arial" w:hAnsi="Arial"/>
          <w:sz w:val="18"/>
        </w:rPr>
        <w:t>Notes. Verdict legend: stable (max |Δτ| &lt; 25 % AND no sign flip), leverage (one district drives &gt; 25 % of τ̂), fragile (some LOO flips the sign of τ̂). The Goodman-Bacon decomposition is not applicable (single-cohort design); LOO sensitivity is the binding leverage check.</w:t>
      </w:r>
    </w:p>
    <w:p>
      <w:r>
        <w:rPr>
          <w:rFonts w:ascii="Arial" w:hAnsi="Arial"/>
          <w:sz w:val="20"/>
        </w:rPr>
        <w:br w:type="page"/>
      </w:r>
    </w:p>
    <w:p>
      <w:pPr>
        <w:keepNext/>
        <w:spacing w:before="240" w:after="120"/>
      </w:pPr>
      <w:bookmarkStart w:id="85270" w:name="table_s6"/>
      <w:r>
        <w:rPr>
          <w:rFonts w:ascii="Arial" w:hAnsi="Arial"/>
          <w:b/>
          <w:color w:val="1F3A5F"/>
          <w:sz w:val="32"/>
        </w:rPr>
        <w:t>Table S6 — MDE / power</w:t>
      </w:r>
      <w:bookmarkEnd w:id="85270"/>
    </w:p>
    <w:p>
      <w:pPr>
        <w:jc w:val="left"/>
      </w:pPr>
      <w:r>
        <w:rPr>
          <w:rFonts w:ascii="Arial" w:hAnsi="Arial"/>
          <w:b/>
          <w:sz w:val="20"/>
        </w:rPr>
        <w:t>Table S6. Minimum detectable effect (MDE) at α = 0.05, power = 0.80, df = G−1 = 7. Cluster-robust SE recovered from Module 05a (WCR). “detectable” = yes when |τ̂| ≥ MDE_2sided.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b/>
                <w:sz w:val="18"/>
              </w:rPr>
              <w:t>Pipeline</w:t>
            </w:r>
          </w:p>
        </w:tc>
        <w:tc>
          <w:tcPr>
            <w:tcW w:type="dxa" w:w="1080"/>
          </w:tcPr>
          <w:p>
            <w:r>
              <w:rPr>
                <w:rFonts w:ascii="Arial" w:hAnsi="Arial"/>
                <w:b/>
                <w:sz w:val="18"/>
              </w:rPr>
              <w:t>Metric</w:t>
            </w:r>
          </w:p>
        </w:tc>
        <w:tc>
          <w:tcPr>
            <w:tcW w:type="dxa" w:w="1080"/>
          </w:tcPr>
          <w:p>
            <w:r>
              <w:rPr>
                <w:rFonts w:ascii="Arial" w:hAnsi="Arial"/>
                <w:b/>
                <w:sz w:val="18"/>
              </w:rPr>
              <w:t>τ̂ (d)</w:t>
            </w:r>
          </w:p>
        </w:tc>
        <w:tc>
          <w:tcPr>
            <w:tcW w:type="dxa" w:w="1080"/>
          </w:tcPr>
          <w:p>
            <w:r>
              <w:rPr>
                <w:rFonts w:ascii="Arial" w:hAnsi="Arial"/>
                <w:b/>
                <w:sz w:val="18"/>
              </w:rPr>
              <w:t>SE (d)</w:t>
            </w:r>
          </w:p>
        </w:tc>
        <w:tc>
          <w:tcPr>
            <w:tcW w:type="dxa" w:w="1080"/>
          </w:tcPr>
          <w:p>
            <w:r>
              <w:rPr>
                <w:rFonts w:ascii="Arial" w:hAnsi="Arial"/>
                <w:b/>
                <w:sz w:val="18"/>
              </w:rPr>
              <w:t>MDE 2-sided</w:t>
            </w:r>
          </w:p>
        </w:tc>
        <w:tc>
          <w:tcPr>
            <w:tcW w:type="dxa" w:w="1080"/>
          </w:tcPr>
          <w:p>
            <w:r>
              <w:rPr>
                <w:rFonts w:ascii="Arial" w:hAnsi="Arial"/>
                <w:b/>
                <w:sz w:val="18"/>
              </w:rPr>
              <w:t>MDE 1-sided</w:t>
            </w:r>
          </w:p>
        </w:tc>
        <w:tc>
          <w:tcPr>
            <w:tcW w:type="dxa" w:w="1080"/>
          </w:tcPr>
          <w:p>
            <w:r>
              <w:rPr>
                <w:rFonts w:ascii="Arial" w:hAnsi="Arial"/>
                <w:b/>
                <w:sz w:val="18"/>
              </w:rPr>
              <w:t>|τ̂|/MDE</w:t>
            </w:r>
          </w:p>
        </w:tc>
        <w:tc>
          <w:tcPr>
            <w:tcW w:type="dxa" w:w="1080"/>
          </w:tcPr>
          <w:p>
            <w:r>
              <w:rPr>
                <w:rFonts w:ascii="Arial" w:hAnsi="Arial"/>
                <w:b/>
                <w:sz w:val="18"/>
              </w:rPr>
              <w:t>Detectable</w:t>
            </w:r>
          </w:p>
        </w:tc>
      </w:tr>
      <w:tr>
        <w:tc>
          <w:tcPr>
            <w:tcW w:type="dxa" w:w="1080"/>
          </w:tcPr>
          <w:p>
            <w:r>
              <w:rPr>
                <w:rFonts w:ascii="Arial" w:hAnsi="Arial"/>
                <w:sz w:val="18"/>
              </w:rPr>
              <w:t>raw</w:t>
            </w:r>
          </w:p>
        </w:tc>
        <w:tc>
          <w:tcPr>
            <w:tcW w:type="dxa" w:w="1080"/>
          </w:tcPr>
          <w:p>
            <w:r>
              <w:rPr>
                <w:rFonts w:ascii="Arial" w:hAnsi="Arial"/>
                <w:sz w:val="18"/>
              </w:rPr>
              <w:t>SOS</w:t>
            </w:r>
          </w:p>
        </w:tc>
        <w:tc>
          <w:tcPr>
            <w:tcW w:type="dxa" w:w="1080"/>
          </w:tcPr>
          <w:p>
            <w:r>
              <w:rPr>
                <w:rFonts w:ascii="Arial" w:hAnsi="Arial"/>
                <w:sz w:val="18"/>
              </w:rPr>
              <w:t>5.662</w:t>
            </w:r>
          </w:p>
        </w:tc>
        <w:tc>
          <w:tcPr>
            <w:tcW w:type="dxa" w:w="1080"/>
          </w:tcPr>
          <w:p>
            <w:r>
              <w:rPr>
                <w:rFonts w:ascii="Arial" w:hAnsi="Arial"/>
                <w:sz w:val="18"/>
              </w:rPr>
              <w:t>0.764</w:t>
            </w:r>
          </w:p>
        </w:tc>
        <w:tc>
          <w:tcPr>
            <w:tcW w:type="dxa" w:w="1080"/>
          </w:tcPr>
          <w:p>
            <w:r>
              <w:rPr>
                <w:rFonts w:ascii="Arial" w:hAnsi="Arial"/>
                <w:sz w:val="18"/>
              </w:rPr>
              <w:t>2.491</w:t>
            </w:r>
          </w:p>
        </w:tc>
        <w:tc>
          <w:tcPr>
            <w:tcW w:type="dxa" w:w="1080"/>
          </w:tcPr>
          <w:p>
            <w:r>
              <w:rPr>
                <w:rFonts w:ascii="Arial" w:hAnsi="Arial"/>
                <w:sz w:val="18"/>
              </w:rPr>
              <w:t>2.132</w:t>
            </w:r>
          </w:p>
        </w:tc>
        <w:tc>
          <w:tcPr>
            <w:tcW w:type="dxa" w:w="1080"/>
          </w:tcPr>
          <w:p>
            <w:r>
              <w:rPr>
                <w:rFonts w:ascii="Arial" w:hAnsi="Arial"/>
                <w:sz w:val="18"/>
              </w:rPr>
              <w:t>2.27</w:t>
            </w:r>
          </w:p>
        </w:tc>
        <w:tc>
          <w:tcPr>
            <w:tcW w:type="dxa" w:w="1080"/>
          </w:tcPr>
          <w:p>
            <w:r>
              <w:rPr>
                <w:rFonts w:ascii="Arial" w:hAnsi="Arial"/>
                <w:sz w:val="18"/>
              </w:rPr>
              <w:t>yes</w:t>
            </w:r>
          </w:p>
        </w:tc>
      </w:tr>
      <w:tr>
        <w:tc>
          <w:tcPr>
            <w:tcW w:type="dxa" w:w="1080"/>
          </w:tcPr>
          <w:p>
            <w:r>
              <w:rPr>
                <w:rFonts w:ascii="Arial" w:hAnsi="Arial"/>
                <w:sz w:val="18"/>
              </w:rPr>
              <w:t>raw</w:t>
            </w:r>
          </w:p>
        </w:tc>
        <w:tc>
          <w:tcPr>
            <w:tcW w:type="dxa" w:w="1080"/>
          </w:tcPr>
          <w:p>
            <w:r>
              <w:rPr>
                <w:rFonts w:ascii="Arial" w:hAnsi="Arial"/>
                <w:sz w:val="18"/>
              </w:rPr>
              <w:t>POS</w:t>
            </w:r>
          </w:p>
        </w:tc>
        <w:tc>
          <w:tcPr>
            <w:tcW w:type="dxa" w:w="1080"/>
          </w:tcPr>
          <w:p>
            <w:r>
              <w:rPr>
                <w:rFonts w:ascii="Arial" w:hAnsi="Arial"/>
                <w:sz w:val="18"/>
              </w:rPr>
              <w:t>4.348</w:t>
            </w:r>
          </w:p>
        </w:tc>
        <w:tc>
          <w:tcPr>
            <w:tcW w:type="dxa" w:w="1080"/>
          </w:tcPr>
          <w:p>
            <w:r>
              <w:rPr>
                <w:rFonts w:ascii="Arial" w:hAnsi="Arial"/>
                <w:sz w:val="18"/>
              </w:rPr>
              <w:t>0.318</w:t>
            </w:r>
          </w:p>
        </w:tc>
        <w:tc>
          <w:tcPr>
            <w:tcW w:type="dxa" w:w="1080"/>
          </w:tcPr>
          <w:p>
            <w:r>
              <w:rPr>
                <w:rFonts w:ascii="Arial" w:hAnsi="Arial"/>
                <w:sz w:val="18"/>
              </w:rPr>
              <w:t>1.037</w:t>
            </w:r>
          </w:p>
        </w:tc>
        <w:tc>
          <w:tcPr>
            <w:tcW w:type="dxa" w:w="1080"/>
          </w:tcPr>
          <w:p>
            <w:r>
              <w:rPr>
                <w:rFonts w:ascii="Arial" w:hAnsi="Arial"/>
                <w:sz w:val="18"/>
              </w:rPr>
              <w:t>0.887</w:t>
            </w:r>
          </w:p>
        </w:tc>
        <w:tc>
          <w:tcPr>
            <w:tcW w:type="dxa" w:w="1080"/>
          </w:tcPr>
          <w:p>
            <w:r>
              <w:rPr>
                <w:rFonts w:ascii="Arial" w:hAnsi="Arial"/>
                <w:sz w:val="18"/>
              </w:rPr>
              <w:t>4.19</w:t>
            </w:r>
          </w:p>
        </w:tc>
        <w:tc>
          <w:tcPr>
            <w:tcW w:type="dxa" w:w="1080"/>
          </w:tcPr>
          <w:p>
            <w:r>
              <w:rPr>
                <w:rFonts w:ascii="Arial" w:hAnsi="Arial"/>
                <w:sz w:val="18"/>
              </w:rPr>
              <w:t>yes</w:t>
            </w:r>
          </w:p>
        </w:tc>
      </w:tr>
      <w:tr>
        <w:tc>
          <w:tcPr>
            <w:tcW w:type="dxa" w:w="1080"/>
          </w:tcPr>
          <w:p>
            <w:r>
              <w:rPr>
                <w:rFonts w:ascii="Arial" w:hAnsi="Arial"/>
                <w:sz w:val="18"/>
              </w:rPr>
              <w:t>raw</w:t>
            </w:r>
          </w:p>
        </w:tc>
        <w:tc>
          <w:tcPr>
            <w:tcW w:type="dxa" w:w="1080"/>
          </w:tcPr>
          <w:p>
            <w:r>
              <w:rPr>
                <w:rFonts w:ascii="Arial" w:hAnsi="Arial"/>
                <w:sz w:val="18"/>
              </w:rPr>
              <w:t>EOS</w:t>
            </w:r>
          </w:p>
        </w:tc>
        <w:tc>
          <w:tcPr>
            <w:tcW w:type="dxa" w:w="1080"/>
          </w:tcPr>
          <w:p>
            <w:r>
              <w:rPr>
                <w:rFonts w:ascii="Arial" w:hAnsi="Arial"/>
                <w:sz w:val="18"/>
              </w:rPr>
              <w:t>1.884</w:t>
            </w:r>
          </w:p>
        </w:tc>
        <w:tc>
          <w:tcPr>
            <w:tcW w:type="dxa" w:w="1080"/>
          </w:tcPr>
          <w:p>
            <w:r>
              <w:rPr>
                <w:rFonts w:ascii="Arial" w:hAnsi="Arial"/>
                <w:sz w:val="18"/>
              </w:rPr>
              <w:t>0.506</w:t>
            </w:r>
          </w:p>
        </w:tc>
        <w:tc>
          <w:tcPr>
            <w:tcW w:type="dxa" w:w="1080"/>
          </w:tcPr>
          <w:p>
            <w:r>
              <w:rPr>
                <w:rFonts w:ascii="Arial" w:hAnsi="Arial"/>
                <w:sz w:val="18"/>
              </w:rPr>
              <w:t>1.650</w:t>
            </w:r>
          </w:p>
        </w:tc>
        <w:tc>
          <w:tcPr>
            <w:tcW w:type="dxa" w:w="1080"/>
          </w:tcPr>
          <w:p>
            <w:r>
              <w:rPr>
                <w:rFonts w:ascii="Arial" w:hAnsi="Arial"/>
                <w:sz w:val="18"/>
              </w:rPr>
              <w:t>1.412</w:t>
            </w:r>
          </w:p>
        </w:tc>
        <w:tc>
          <w:tcPr>
            <w:tcW w:type="dxa" w:w="1080"/>
          </w:tcPr>
          <w:p>
            <w:r>
              <w:rPr>
                <w:rFonts w:ascii="Arial" w:hAnsi="Arial"/>
                <w:sz w:val="18"/>
              </w:rPr>
              <w:t>1.14</w:t>
            </w:r>
          </w:p>
        </w:tc>
        <w:tc>
          <w:tcPr>
            <w:tcW w:type="dxa" w:w="1080"/>
          </w:tcPr>
          <w:p>
            <w:r>
              <w:rPr>
                <w:rFonts w:ascii="Arial" w:hAnsi="Arial"/>
                <w:sz w:val="18"/>
              </w:rPr>
              <w:t>yes</w:t>
            </w:r>
          </w:p>
        </w:tc>
      </w:tr>
      <w:tr>
        <w:tc>
          <w:tcPr>
            <w:tcW w:type="dxa" w:w="1080"/>
          </w:tcPr>
          <w:p>
            <w:r>
              <w:rPr>
                <w:rFonts w:ascii="Arial" w:hAnsi="Arial"/>
                <w:sz w:val="18"/>
              </w:rPr>
              <w:t>corrected</w:t>
            </w:r>
          </w:p>
        </w:tc>
        <w:tc>
          <w:tcPr>
            <w:tcW w:type="dxa" w:w="1080"/>
          </w:tcPr>
          <w:p>
            <w:r>
              <w:rPr>
                <w:rFonts w:ascii="Arial" w:hAnsi="Arial"/>
                <w:sz w:val="18"/>
              </w:rPr>
              <w:t>SOS</w:t>
            </w:r>
          </w:p>
        </w:tc>
        <w:tc>
          <w:tcPr>
            <w:tcW w:type="dxa" w:w="1080"/>
          </w:tcPr>
          <w:p>
            <w:r>
              <w:rPr>
                <w:rFonts w:ascii="Arial" w:hAnsi="Arial"/>
                <w:sz w:val="18"/>
              </w:rPr>
              <w:t>1.962</w:t>
            </w:r>
          </w:p>
        </w:tc>
        <w:tc>
          <w:tcPr>
            <w:tcW w:type="dxa" w:w="1080"/>
          </w:tcPr>
          <w:p>
            <w:r>
              <w:rPr>
                <w:rFonts w:ascii="Arial" w:hAnsi="Arial"/>
                <w:sz w:val="18"/>
              </w:rPr>
              <w:t>0.564</w:t>
            </w:r>
          </w:p>
        </w:tc>
        <w:tc>
          <w:tcPr>
            <w:tcW w:type="dxa" w:w="1080"/>
          </w:tcPr>
          <w:p>
            <w:r>
              <w:rPr>
                <w:rFonts w:ascii="Arial" w:hAnsi="Arial"/>
                <w:sz w:val="18"/>
              </w:rPr>
              <w:t>1.839</w:t>
            </w:r>
          </w:p>
        </w:tc>
        <w:tc>
          <w:tcPr>
            <w:tcW w:type="dxa" w:w="1080"/>
          </w:tcPr>
          <w:p>
            <w:r>
              <w:rPr>
                <w:rFonts w:ascii="Arial" w:hAnsi="Arial"/>
                <w:sz w:val="18"/>
              </w:rPr>
              <w:t>1.574</w:t>
            </w:r>
          </w:p>
        </w:tc>
        <w:tc>
          <w:tcPr>
            <w:tcW w:type="dxa" w:w="1080"/>
          </w:tcPr>
          <w:p>
            <w:r>
              <w:rPr>
                <w:rFonts w:ascii="Arial" w:hAnsi="Arial"/>
                <w:sz w:val="18"/>
              </w:rPr>
              <w:t>1.07</w:t>
            </w:r>
          </w:p>
        </w:tc>
        <w:tc>
          <w:tcPr>
            <w:tcW w:type="dxa" w:w="1080"/>
          </w:tcPr>
          <w:p>
            <w:r>
              <w:rPr>
                <w:rFonts w:ascii="Arial" w:hAnsi="Arial"/>
                <w:sz w:val="18"/>
              </w:rPr>
              <w:t>yes</w:t>
            </w:r>
          </w:p>
        </w:tc>
      </w:tr>
      <w:tr>
        <w:tc>
          <w:tcPr>
            <w:tcW w:type="dxa" w:w="1080"/>
          </w:tcPr>
          <w:p>
            <w:r>
              <w:rPr>
                <w:rFonts w:ascii="Arial" w:hAnsi="Arial"/>
                <w:sz w:val="18"/>
              </w:rPr>
              <w:t>corrected</w:t>
            </w:r>
          </w:p>
        </w:tc>
        <w:tc>
          <w:tcPr>
            <w:tcW w:type="dxa" w:w="1080"/>
          </w:tcPr>
          <w:p>
            <w:r>
              <w:rPr>
                <w:rFonts w:ascii="Arial" w:hAnsi="Arial"/>
                <w:sz w:val="18"/>
              </w:rPr>
              <w:t>POS</w:t>
            </w:r>
          </w:p>
        </w:tc>
        <w:tc>
          <w:tcPr>
            <w:tcW w:type="dxa" w:w="1080"/>
          </w:tcPr>
          <w:p>
            <w:r>
              <w:rPr>
                <w:rFonts w:ascii="Arial" w:hAnsi="Arial"/>
                <w:sz w:val="18"/>
              </w:rPr>
              <w:t>2.102</w:t>
            </w:r>
          </w:p>
        </w:tc>
        <w:tc>
          <w:tcPr>
            <w:tcW w:type="dxa" w:w="1080"/>
          </w:tcPr>
          <w:p>
            <w:r>
              <w:rPr>
                <w:rFonts w:ascii="Arial" w:hAnsi="Arial"/>
                <w:sz w:val="18"/>
              </w:rPr>
              <w:t>0.470</w:t>
            </w:r>
          </w:p>
        </w:tc>
        <w:tc>
          <w:tcPr>
            <w:tcW w:type="dxa" w:w="1080"/>
          </w:tcPr>
          <w:p>
            <w:r>
              <w:rPr>
                <w:rFonts w:ascii="Arial" w:hAnsi="Arial"/>
                <w:sz w:val="18"/>
              </w:rPr>
              <w:t>1.533</w:t>
            </w:r>
          </w:p>
        </w:tc>
        <w:tc>
          <w:tcPr>
            <w:tcW w:type="dxa" w:w="1080"/>
          </w:tcPr>
          <w:p>
            <w:r>
              <w:rPr>
                <w:rFonts w:ascii="Arial" w:hAnsi="Arial"/>
                <w:sz w:val="18"/>
              </w:rPr>
              <w:t>1.312</w:t>
            </w:r>
          </w:p>
        </w:tc>
        <w:tc>
          <w:tcPr>
            <w:tcW w:type="dxa" w:w="1080"/>
          </w:tcPr>
          <w:p>
            <w:r>
              <w:rPr>
                <w:rFonts w:ascii="Arial" w:hAnsi="Arial"/>
                <w:sz w:val="18"/>
              </w:rPr>
              <w:t>1.37</w:t>
            </w:r>
          </w:p>
        </w:tc>
        <w:tc>
          <w:tcPr>
            <w:tcW w:type="dxa" w:w="1080"/>
          </w:tcPr>
          <w:p>
            <w:r>
              <w:rPr>
                <w:rFonts w:ascii="Arial" w:hAnsi="Arial"/>
                <w:sz w:val="18"/>
              </w:rPr>
              <w:t>yes</w:t>
            </w:r>
          </w:p>
        </w:tc>
      </w:tr>
      <w:tr>
        <w:tc>
          <w:tcPr>
            <w:tcW w:type="dxa" w:w="1080"/>
          </w:tcPr>
          <w:p>
            <w:r>
              <w:rPr>
                <w:rFonts w:ascii="Arial" w:hAnsi="Arial"/>
                <w:sz w:val="18"/>
              </w:rPr>
              <w:t>corrected</w:t>
            </w:r>
          </w:p>
        </w:tc>
        <w:tc>
          <w:tcPr>
            <w:tcW w:type="dxa" w:w="1080"/>
          </w:tcPr>
          <w:p>
            <w:r>
              <w:rPr>
                <w:rFonts w:ascii="Arial" w:hAnsi="Arial"/>
                <w:sz w:val="18"/>
              </w:rPr>
              <w:t>EOS</w:t>
            </w:r>
          </w:p>
        </w:tc>
        <w:tc>
          <w:tcPr>
            <w:tcW w:type="dxa" w:w="1080"/>
          </w:tcPr>
          <w:p>
            <w:r>
              <w:rPr>
                <w:rFonts w:ascii="Arial" w:hAnsi="Arial"/>
                <w:sz w:val="18"/>
              </w:rPr>
              <w:t>0.560</w:t>
            </w:r>
          </w:p>
        </w:tc>
        <w:tc>
          <w:tcPr>
            <w:tcW w:type="dxa" w:w="1080"/>
          </w:tcPr>
          <w:p>
            <w:r>
              <w:rPr>
                <w:rFonts w:ascii="Arial" w:hAnsi="Arial"/>
                <w:sz w:val="18"/>
              </w:rPr>
              <w:t>0.402</w:t>
            </w:r>
          </w:p>
        </w:tc>
        <w:tc>
          <w:tcPr>
            <w:tcW w:type="dxa" w:w="1080"/>
          </w:tcPr>
          <w:p>
            <w:r>
              <w:rPr>
                <w:rFonts w:ascii="Arial" w:hAnsi="Arial"/>
                <w:sz w:val="18"/>
              </w:rPr>
              <w:t>1.311</w:t>
            </w:r>
          </w:p>
        </w:tc>
        <w:tc>
          <w:tcPr>
            <w:tcW w:type="dxa" w:w="1080"/>
          </w:tcPr>
          <w:p>
            <w:r>
              <w:rPr>
                <w:rFonts w:ascii="Arial" w:hAnsi="Arial"/>
                <w:sz w:val="18"/>
              </w:rPr>
              <w:t>1.122</w:t>
            </w:r>
          </w:p>
        </w:tc>
        <w:tc>
          <w:tcPr>
            <w:tcW w:type="dxa" w:w="1080"/>
          </w:tcPr>
          <w:p>
            <w:r>
              <w:rPr>
                <w:rFonts w:ascii="Arial" w:hAnsi="Arial"/>
                <w:sz w:val="18"/>
              </w:rPr>
              <w:t>0.43</w:t>
            </w:r>
          </w:p>
        </w:tc>
        <w:tc>
          <w:tcPr>
            <w:tcW w:type="dxa" w:w="1080"/>
          </w:tcPr>
          <w:p>
            <w:r>
              <w:rPr>
                <w:rFonts w:ascii="Arial" w:hAnsi="Arial"/>
                <w:sz w:val="18"/>
              </w:rPr>
              <w:t>no</w:t>
            </w:r>
          </w:p>
        </w:tc>
      </w:tr>
    </w:tbl>
    <w:p>
      <w:r>
        <w:rPr>
          <w:rFonts w:ascii="Arial" w:hAnsi="Arial"/>
          <w:sz w:val="18"/>
        </w:rPr>
        <w:t>Notes. MDE = (t_{α/2,G−1} + t_{1−β,G−1}) × SE. At G = 8, t_{0.025,7} = 2.365 and t_{0.80,7} = 0.896, so the multiplier is 3.261. The single non-detectable cell (corrected/EOS) is the same cell whose null is confirmed by the wild-cluster bootstrap (Table S4).</w:t>
      </w:r>
    </w:p>
    <w:p>
      <w:r>
        <w:rPr>
          <w:rFonts w:ascii="Arial" w:hAnsi="Arial"/>
          <w:sz w:val="20"/>
        </w:rPr>
        <w:br w:type="page"/>
      </w:r>
    </w:p>
    <w:p>
      <w:pPr>
        <w:keepNext/>
        <w:spacing w:before="240" w:after="120"/>
      </w:pPr>
      <w:bookmarkStart w:id="69781" w:name="table_s7"/>
      <w:r>
        <w:rPr>
          <w:rFonts w:ascii="Arial" w:hAnsi="Arial"/>
          <w:b/>
          <w:color w:val="1F3A5F"/>
          <w:sz w:val="32"/>
        </w:rPr>
        <w:t>Table S7 — Placebo / falsification</w:t>
      </w:r>
      <w:bookmarkEnd w:id="69781"/>
    </w:p>
    <w:p>
      <w:r>
        <w:rPr>
          <w:rFonts w:ascii="Arial" w:hAnsi="Arial"/>
          <w:b/>
          <w:sz w:val="20"/>
        </w:rPr>
        <w:t>Table S7. Placebo / falsification tests. Top panel: in-space donor-swap placebo (C(8,5) = 56 permutations of the treated-label assignment, holding post-period fixed at 2019–2021). Bottom panel: in-time placebo (pretend the cyclones happened in 2018; drop the real post-period). Permutation p = (#{|τ_placebo| ≥ |τ_real|} + 1) / (n_perm + 1).</w:t>
      </w:r>
    </w:p>
    <w:p>
      <w:r>
        <w:rPr>
          <w:rFonts w:ascii="Arial" w:hAnsi="Arial"/>
          <w:b/>
          <w:sz w:val="20"/>
        </w:rPr>
        <w:t>(a) In-space donor-swap placebo (56 permutations, k=5 of 8)</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Arial" w:hAnsi="Arial"/>
                <w:b/>
                <w:sz w:val="18"/>
              </w:rPr>
              <w:t>Pipeline</w:t>
            </w:r>
          </w:p>
        </w:tc>
        <w:tc>
          <w:tcPr>
            <w:tcW w:type="dxa" w:w="864"/>
          </w:tcPr>
          <w:p>
            <w:r>
              <w:rPr>
                <w:rFonts w:ascii="Arial" w:hAnsi="Arial"/>
                <w:b/>
                <w:sz w:val="18"/>
              </w:rPr>
              <w:t>Metric</w:t>
            </w:r>
          </w:p>
        </w:tc>
        <w:tc>
          <w:tcPr>
            <w:tcW w:type="dxa" w:w="864"/>
          </w:tcPr>
          <w:p>
            <w:r>
              <w:rPr>
                <w:rFonts w:ascii="Arial" w:hAnsi="Arial"/>
                <w:b/>
                <w:sz w:val="18"/>
              </w:rPr>
              <w:t>τ̂ real</w:t>
            </w:r>
          </w:p>
        </w:tc>
        <w:tc>
          <w:tcPr>
            <w:tcW w:type="dxa" w:w="864"/>
          </w:tcPr>
          <w:p>
            <w:r>
              <w:rPr>
                <w:rFonts w:ascii="Arial" w:hAnsi="Arial"/>
                <w:b/>
                <w:sz w:val="18"/>
              </w:rPr>
              <w:t>median τ_p</w:t>
            </w:r>
          </w:p>
        </w:tc>
        <w:tc>
          <w:tcPr>
            <w:tcW w:type="dxa" w:w="864"/>
          </w:tcPr>
          <w:p>
            <w:r>
              <w:rPr>
                <w:rFonts w:ascii="Arial" w:hAnsi="Arial"/>
                <w:b/>
                <w:sz w:val="18"/>
              </w:rPr>
              <w:t>p05 τ_p</w:t>
            </w:r>
          </w:p>
        </w:tc>
        <w:tc>
          <w:tcPr>
            <w:tcW w:type="dxa" w:w="864"/>
          </w:tcPr>
          <w:p>
            <w:r>
              <w:rPr>
                <w:rFonts w:ascii="Arial" w:hAnsi="Arial"/>
                <w:b/>
                <w:sz w:val="18"/>
              </w:rPr>
              <w:t>p95 τ_p</w:t>
            </w:r>
          </w:p>
        </w:tc>
        <w:tc>
          <w:tcPr>
            <w:tcW w:type="dxa" w:w="864"/>
          </w:tcPr>
          <w:p>
            <w:r>
              <w:rPr>
                <w:rFonts w:ascii="Arial" w:hAnsi="Arial"/>
                <w:b/>
                <w:sz w:val="18"/>
              </w:rPr>
              <w:t>max |τ_p|</w:t>
            </w:r>
          </w:p>
        </w:tc>
        <w:tc>
          <w:tcPr>
            <w:tcW w:type="dxa" w:w="864"/>
          </w:tcPr>
          <w:p>
            <w:r>
              <w:rPr>
                <w:rFonts w:ascii="Arial" w:hAnsi="Arial"/>
                <w:b/>
                <w:sz w:val="18"/>
              </w:rPr>
              <w:t>n extreme</w:t>
            </w:r>
          </w:p>
        </w:tc>
        <w:tc>
          <w:tcPr>
            <w:tcW w:type="dxa" w:w="864"/>
          </w:tcPr>
          <w:p>
            <w:r>
              <w:rPr>
                <w:rFonts w:ascii="Arial" w:hAnsi="Arial"/>
                <w:b/>
                <w:sz w:val="18"/>
              </w:rPr>
              <w:t>p_perm</w:t>
            </w:r>
          </w:p>
        </w:tc>
        <w:tc>
          <w:tcPr>
            <w:tcW w:type="dxa" w:w="864"/>
          </w:tcPr>
          <w:p>
            <w:r>
              <w:rPr>
                <w:rFonts w:ascii="Arial" w:hAnsi="Arial"/>
                <w:b/>
                <w:sz w:val="18"/>
              </w:rPr>
              <w:t>Verdict</w:t>
            </w:r>
          </w:p>
        </w:tc>
      </w:tr>
      <w:tr>
        <w:tc>
          <w:tcPr>
            <w:tcW w:type="dxa" w:w="864"/>
          </w:tcPr>
          <w:p>
            <w:r>
              <w:rPr>
                <w:rFonts w:ascii="Arial" w:hAnsi="Arial"/>
                <w:sz w:val="18"/>
              </w:rPr>
              <w:t>raw</w:t>
            </w:r>
          </w:p>
        </w:tc>
        <w:tc>
          <w:tcPr>
            <w:tcW w:type="dxa" w:w="864"/>
          </w:tcPr>
          <w:p>
            <w:r>
              <w:rPr>
                <w:rFonts w:ascii="Arial" w:hAnsi="Arial"/>
                <w:sz w:val="18"/>
              </w:rPr>
              <w:t>SOS</w:t>
            </w:r>
          </w:p>
        </w:tc>
        <w:tc>
          <w:tcPr>
            <w:tcW w:type="dxa" w:w="864"/>
          </w:tcPr>
          <w:p>
            <w:r>
              <w:rPr>
                <w:rFonts w:ascii="Arial" w:hAnsi="Arial"/>
                <w:sz w:val="18"/>
              </w:rPr>
              <w:t>+15.29</w:t>
            </w:r>
          </w:p>
        </w:tc>
        <w:tc>
          <w:tcPr>
            <w:tcW w:type="dxa" w:w="864"/>
          </w:tcPr>
          <w:p>
            <w:r>
              <w:rPr>
                <w:rFonts w:ascii="Arial" w:hAnsi="Arial"/>
                <w:sz w:val="18"/>
              </w:rPr>
              <w:t>-1.14</w:t>
            </w:r>
          </w:p>
        </w:tc>
        <w:tc>
          <w:tcPr>
            <w:tcW w:type="dxa" w:w="864"/>
          </w:tcPr>
          <w:p>
            <w:r>
              <w:rPr>
                <w:rFonts w:ascii="Arial" w:hAnsi="Arial"/>
                <w:sz w:val="18"/>
              </w:rPr>
              <w:t>-32.50</w:t>
            </w:r>
          </w:p>
        </w:tc>
        <w:tc>
          <w:tcPr>
            <w:tcW w:type="dxa" w:w="864"/>
          </w:tcPr>
          <w:p>
            <w:r>
              <w:rPr>
                <w:rFonts w:ascii="Arial" w:hAnsi="Arial"/>
                <w:sz w:val="18"/>
              </w:rPr>
              <w:t>+28.76</w:t>
            </w:r>
          </w:p>
        </w:tc>
        <w:tc>
          <w:tcPr>
            <w:tcW w:type="dxa" w:w="864"/>
          </w:tcPr>
          <w:p>
            <w:r>
              <w:rPr>
                <w:rFonts w:ascii="Arial" w:hAnsi="Arial"/>
                <w:sz w:val="18"/>
              </w:rPr>
              <w:t>+43.45</w:t>
            </w:r>
          </w:p>
        </w:tc>
        <w:tc>
          <w:tcPr>
            <w:tcW w:type="dxa" w:w="864"/>
          </w:tcPr>
          <w:p>
            <w:r>
              <w:rPr>
                <w:rFonts w:ascii="Arial" w:hAnsi="Arial"/>
                <w:sz w:val="18"/>
              </w:rPr>
              <w:t>27</w:t>
            </w:r>
          </w:p>
        </w:tc>
        <w:tc>
          <w:tcPr>
            <w:tcW w:type="dxa" w:w="864"/>
          </w:tcPr>
          <w:p>
            <w:r>
              <w:rPr>
                <w:rFonts w:ascii="Arial" w:hAnsi="Arial"/>
                <w:sz w:val="18"/>
              </w:rPr>
              <w:t>0.5000</w:t>
            </w:r>
          </w:p>
        </w:tc>
        <w:tc>
          <w:tcPr>
            <w:tcW w:type="dxa" w:w="864"/>
          </w:tcPr>
          <w:p>
            <w:r>
              <w:rPr>
                <w:rFonts w:ascii="Arial" w:hAnsi="Arial"/>
                <w:sz w:val="18"/>
              </w:rPr>
              <w:t>fails</w:t>
            </w:r>
          </w:p>
        </w:tc>
      </w:tr>
      <w:tr>
        <w:tc>
          <w:tcPr>
            <w:tcW w:type="dxa" w:w="864"/>
          </w:tcPr>
          <w:p>
            <w:r>
              <w:rPr>
                <w:rFonts w:ascii="Arial" w:hAnsi="Arial"/>
                <w:sz w:val="18"/>
              </w:rPr>
              <w:t>raw</w:t>
            </w:r>
          </w:p>
        </w:tc>
        <w:tc>
          <w:tcPr>
            <w:tcW w:type="dxa" w:w="864"/>
          </w:tcPr>
          <w:p>
            <w:r>
              <w:rPr>
                <w:rFonts w:ascii="Arial" w:hAnsi="Arial"/>
                <w:sz w:val="18"/>
              </w:rPr>
              <w:t>POS</w:t>
            </w:r>
          </w:p>
        </w:tc>
        <w:tc>
          <w:tcPr>
            <w:tcW w:type="dxa" w:w="864"/>
          </w:tcPr>
          <w:p>
            <w:r>
              <w:rPr>
                <w:rFonts w:ascii="Arial" w:hAnsi="Arial"/>
                <w:sz w:val="18"/>
              </w:rPr>
              <w:t>-3.59</w:t>
            </w:r>
          </w:p>
        </w:tc>
        <w:tc>
          <w:tcPr>
            <w:tcW w:type="dxa" w:w="864"/>
          </w:tcPr>
          <w:p>
            <w:r>
              <w:rPr>
                <w:rFonts w:ascii="Arial" w:hAnsi="Arial"/>
                <w:sz w:val="18"/>
              </w:rPr>
              <w:t>-0.28</w:t>
            </w:r>
          </w:p>
        </w:tc>
        <w:tc>
          <w:tcPr>
            <w:tcW w:type="dxa" w:w="864"/>
          </w:tcPr>
          <w:p>
            <w:r>
              <w:rPr>
                <w:rFonts w:ascii="Arial" w:hAnsi="Arial"/>
                <w:sz w:val="18"/>
              </w:rPr>
              <w:t>-4.80</w:t>
            </w:r>
          </w:p>
        </w:tc>
        <w:tc>
          <w:tcPr>
            <w:tcW w:type="dxa" w:w="864"/>
          </w:tcPr>
          <w:p>
            <w:r>
              <w:rPr>
                <w:rFonts w:ascii="Arial" w:hAnsi="Arial"/>
                <w:sz w:val="18"/>
              </w:rPr>
              <w:t>+4.58</w:t>
            </w:r>
          </w:p>
        </w:tc>
        <w:tc>
          <w:tcPr>
            <w:tcW w:type="dxa" w:w="864"/>
          </w:tcPr>
          <w:p>
            <w:r>
              <w:rPr>
                <w:rFonts w:ascii="Arial" w:hAnsi="Arial"/>
                <w:sz w:val="18"/>
              </w:rPr>
              <w:t>+6.12</w:t>
            </w:r>
          </w:p>
        </w:tc>
        <w:tc>
          <w:tcPr>
            <w:tcW w:type="dxa" w:w="864"/>
          </w:tcPr>
          <w:p>
            <w:r>
              <w:rPr>
                <w:rFonts w:ascii="Arial" w:hAnsi="Arial"/>
                <w:sz w:val="18"/>
              </w:rPr>
              <w:t>15</w:t>
            </w:r>
          </w:p>
        </w:tc>
        <w:tc>
          <w:tcPr>
            <w:tcW w:type="dxa" w:w="864"/>
          </w:tcPr>
          <w:p>
            <w:r>
              <w:rPr>
                <w:rFonts w:ascii="Arial" w:hAnsi="Arial"/>
                <w:sz w:val="18"/>
              </w:rPr>
              <w:t>0.2857</w:t>
            </w:r>
          </w:p>
        </w:tc>
        <w:tc>
          <w:tcPr>
            <w:tcW w:type="dxa" w:w="864"/>
          </w:tcPr>
          <w:p>
            <w:r>
              <w:rPr>
                <w:rFonts w:ascii="Arial" w:hAnsi="Arial"/>
                <w:sz w:val="18"/>
              </w:rPr>
              <w:t>fails</w:t>
            </w:r>
          </w:p>
        </w:tc>
      </w:tr>
      <w:tr>
        <w:tc>
          <w:tcPr>
            <w:tcW w:type="dxa" w:w="864"/>
          </w:tcPr>
          <w:p>
            <w:r>
              <w:rPr>
                <w:rFonts w:ascii="Arial" w:hAnsi="Arial"/>
                <w:sz w:val="18"/>
              </w:rPr>
              <w:t>raw</w:t>
            </w:r>
          </w:p>
        </w:tc>
        <w:tc>
          <w:tcPr>
            <w:tcW w:type="dxa" w:w="864"/>
          </w:tcPr>
          <w:p>
            <w:r>
              <w:rPr>
                <w:rFonts w:ascii="Arial" w:hAnsi="Arial"/>
                <w:sz w:val="18"/>
              </w:rPr>
              <w:t>EOS</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0</w:t>
            </w:r>
          </w:p>
        </w:tc>
        <w:tc>
          <w:tcPr>
            <w:tcW w:type="dxa" w:w="864"/>
          </w:tcPr>
          <w:p>
            <w:r>
              <w:rPr>
                <w:rFonts w:ascii="Arial" w:hAnsi="Arial"/>
                <w:sz w:val="18"/>
              </w:rPr>
              <w:t>0.0179</w:t>
            </w:r>
          </w:p>
        </w:tc>
        <w:tc>
          <w:tcPr>
            <w:tcW w:type="dxa" w:w="864"/>
          </w:tcPr>
          <w:p>
            <w:r>
              <w:rPr>
                <w:rFonts w:ascii="Arial" w:hAnsi="Arial"/>
                <w:sz w:val="18"/>
              </w:rPr>
              <w:t>passes</w:t>
            </w:r>
          </w:p>
        </w:tc>
      </w:tr>
      <w:tr>
        <w:tc>
          <w:tcPr>
            <w:tcW w:type="dxa" w:w="864"/>
          </w:tcPr>
          <w:p>
            <w:r>
              <w:rPr>
                <w:rFonts w:ascii="Arial" w:hAnsi="Arial"/>
                <w:sz w:val="18"/>
              </w:rPr>
              <w:t>corrected</w:t>
            </w:r>
          </w:p>
        </w:tc>
        <w:tc>
          <w:tcPr>
            <w:tcW w:type="dxa" w:w="864"/>
          </w:tcPr>
          <w:p>
            <w:r>
              <w:rPr>
                <w:rFonts w:ascii="Arial" w:hAnsi="Arial"/>
                <w:sz w:val="18"/>
              </w:rPr>
              <w:t>SOS</w:t>
            </w:r>
          </w:p>
        </w:tc>
        <w:tc>
          <w:tcPr>
            <w:tcW w:type="dxa" w:w="864"/>
          </w:tcPr>
          <w:p>
            <w:r>
              <w:rPr>
                <w:rFonts w:ascii="Arial" w:hAnsi="Arial"/>
                <w:sz w:val="18"/>
              </w:rPr>
              <w:t>+15.11</w:t>
            </w:r>
          </w:p>
        </w:tc>
        <w:tc>
          <w:tcPr>
            <w:tcW w:type="dxa" w:w="864"/>
          </w:tcPr>
          <w:p>
            <w:r>
              <w:rPr>
                <w:rFonts w:ascii="Arial" w:hAnsi="Arial"/>
                <w:sz w:val="18"/>
              </w:rPr>
              <w:t>-1.16</w:t>
            </w:r>
          </w:p>
        </w:tc>
        <w:tc>
          <w:tcPr>
            <w:tcW w:type="dxa" w:w="864"/>
          </w:tcPr>
          <w:p>
            <w:r>
              <w:rPr>
                <w:rFonts w:ascii="Arial" w:hAnsi="Arial"/>
                <w:sz w:val="18"/>
              </w:rPr>
              <w:t>-32.47</w:t>
            </w:r>
          </w:p>
        </w:tc>
        <w:tc>
          <w:tcPr>
            <w:tcW w:type="dxa" w:w="864"/>
          </w:tcPr>
          <w:p>
            <w:r>
              <w:rPr>
                <w:rFonts w:ascii="Arial" w:hAnsi="Arial"/>
                <w:sz w:val="18"/>
              </w:rPr>
              <w:t>+28.68</w:t>
            </w:r>
          </w:p>
        </w:tc>
        <w:tc>
          <w:tcPr>
            <w:tcW w:type="dxa" w:w="864"/>
          </w:tcPr>
          <w:p>
            <w:r>
              <w:rPr>
                <w:rFonts w:ascii="Arial" w:hAnsi="Arial"/>
                <w:sz w:val="18"/>
              </w:rPr>
              <w:t>+43.44</w:t>
            </w:r>
          </w:p>
        </w:tc>
        <w:tc>
          <w:tcPr>
            <w:tcW w:type="dxa" w:w="864"/>
          </w:tcPr>
          <w:p>
            <w:r>
              <w:rPr>
                <w:rFonts w:ascii="Arial" w:hAnsi="Arial"/>
                <w:sz w:val="18"/>
              </w:rPr>
              <w:t>27</w:t>
            </w:r>
          </w:p>
        </w:tc>
        <w:tc>
          <w:tcPr>
            <w:tcW w:type="dxa" w:w="864"/>
          </w:tcPr>
          <w:p>
            <w:r>
              <w:rPr>
                <w:rFonts w:ascii="Arial" w:hAnsi="Arial"/>
                <w:sz w:val="18"/>
              </w:rPr>
              <w:t>0.5000</w:t>
            </w:r>
          </w:p>
        </w:tc>
        <w:tc>
          <w:tcPr>
            <w:tcW w:type="dxa" w:w="864"/>
          </w:tcPr>
          <w:p>
            <w:r>
              <w:rPr>
                <w:rFonts w:ascii="Arial" w:hAnsi="Arial"/>
                <w:sz w:val="18"/>
              </w:rPr>
              <w:t>fails</w:t>
            </w:r>
          </w:p>
        </w:tc>
      </w:tr>
      <w:tr>
        <w:tc>
          <w:tcPr>
            <w:tcW w:type="dxa" w:w="864"/>
          </w:tcPr>
          <w:p>
            <w:r>
              <w:rPr>
                <w:rFonts w:ascii="Arial" w:hAnsi="Arial"/>
                <w:sz w:val="18"/>
              </w:rPr>
              <w:t>corrected</w:t>
            </w:r>
          </w:p>
        </w:tc>
        <w:tc>
          <w:tcPr>
            <w:tcW w:type="dxa" w:w="864"/>
          </w:tcPr>
          <w:p>
            <w:r>
              <w:rPr>
                <w:rFonts w:ascii="Arial" w:hAnsi="Arial"/>
                <w:sz w:val="18"/>
              </w:rPr>
              <w:t>POS</w:t>
            </w:r>
          </w:p>
        </w:tc>
        <w:tc>
          <w:tcPr>
            <w:tcW w:type="dxa" w:w="864"/>
          </w:tcPr>
          <w:p>
            <w:r>
              <w:rPr>
                <w:rFonts w:ascii="Arial" w:hAnsi="Arial"/>
                <w:sz w:val="18"/>
              </w:rPr>
              <w:t>-3.68</w:t>
            </w:r>
          </w:p>
        </w:tc>
        <w:tc>
          <w:tcPr>
            <w:tcW w:type="dxa" w:w="864"/>
          </w:tcPr>
          <w:p>
            <w:r>
              <w:rPr>
                <w:rFonts w:ascii="Arial" w:hAnsi="Arial"/>
                <w:sz w:val="18"/>
              </w:rPr>
              <w:t>-0.29</w:t>
            </w:r>
          </w:p>
        </w:tc>
        <w:tc>
          <w:tcPr>
            <w:tcW w:type="dxa" w:w="864"/>
          </w:tcPr>
          <w:p>
            <w:r>
              <w:rPr>
                <w:rFonts w:ascii="Arial" w:hAnsi="Arial"/>
                <w:sz w:val="18"/>
              </w:rPr>
              <w:t>-4.78</w:t>
            </w:r>
          </w:p>
        </w:tc>
        <w:tc>
          <w:tcPr>
            <w:tcW w:type="dxa" w:w="864"/>
          </w:tcPr>
          <w:p>
            <w:r>
              <w:rPr>
                <w:rFonts w:ascii="Arial" w:hAnsi="Arial"/>
                <w:sz w:val="18"/>
              </w:rPr>
              <w:t>+4.65</w:t>
            </w:r>
          </w:p>
        </w:tc>
        <w:tc>
          <w:tcPr>
            <w:tcW w:type="dxa" w:w="864"/>
          </w:tcPr>
          <w:p>
            <w:r>
              <w:rPr>
                <w:rFonts w:ascii="Arial" w:hAnsi="Arial"/>
                <w:sz w:val="18"/>
              </w:rPr>
              <w:t>+6.17</w:t>
            </w:r>
          </w:p>
        </w:tc>
        <w:tc>
          <w:tcPr>
            <w:tcW w:type="dxa" w:w="864"/>
          </w:tcPr>
          <w:p>
            <w:r>
              <w:rPr>
                <w:rFonts w:ascii="Arial" w:hAnsi="Arial"/>
                <w:sz w:val="18"/>
              </w:rPr>
              <w:t>14</w:t>
            </w:r>
          </w:p>
        </w:tc>
        <w:tc>
          <w:tcPr>
            <w:tcW w:type="dxa" w:w="864"/>
          </w:tcPr>
          <w:p>
            <w:r>
              <w:rPr>
                <w:rFonts w:ascii="Arial" w:hAnsi="Arial"/>
                <w:sz w:val="18"/>
              </w:rPr>
              <w:t>0.2679</w:t>
            </w:r>
          </w:p>
        </w:tc>
        <w:tc>
          <w:tcPr>
            <w:tcW w:type="dxa" w:w="864"/>
          </w:tcPr>
          <w:p>
            <w:r>
              <w:rPr>
                <w:rFonts w:ascii="Arial" w:hAnsi="Arial"/>
                <w:sz w:val="18"/>
              </w:rPr>
              <w:t>fails</w:t>
            </w:r>
          </w:p>
        </w:tc>
      </w:tr>
      <w:tr>
        <w:tc>
          <w:tcPr>
            <w:tcW w:type="dxa" w:w="864"/>
          </w:tcPr>
          <w:p>
            <w:r>
              <w:rPr>
                <w:rFonts w:ascii="Arial" w:hAnsi="Arial"/>
                <w:sz w:val="18"/>
              </w:rPr>
              <w:t>corrected</w:t>
            </w:r>
          </w:p>
        </w:tc>
        <w:tc>
          <w:tcPr>
            <w:tcW w:type="dxa" w:w="864"/>
          </w:tcPr>
          <w:p>
            <w:r>
              <w:rPr>
                <w:rFonts w:ascii="Arial" w:hAnsi="Arial"/>
                <w:sz w:val="18"/>
              </w:rPr>
              <w:t>EOS</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+nan</w:t>
            </w:r>
          </w:p>
        </w:tc>
        <w:tc>
          <w:tcPr>
            <w:tcW w:type="dxa" w:w="864"/>
          </w:tcPr>
          <w:p>
            <w:r>
              <w:rPr>
                <w:rFonts w:ascii="Arial" w:hAnsi="Arial"/>
                <w:sz w:val="18"/>
              </w:rPr>
              <w:t>0</w:t>
            </w:r>
          </w:p>
        </w:tc>
        <w:tc>
          <w:tcPr>
            <w:tcW w:type="dxa" w:w="864"/>
          </w:tcPr>
          <w:p>
            <w:r>
              <w:rPr>
                <w:rFonts w:ascii="Arial" w:hAnsi="Arial"/>
                <w:sz w:val="18"/>
              </w:rPr>
              <w:t>0.0179</w:t>
            </w:r>
          </w:p>
        </w:tc>
        <w:tc>
          <w:tcPr>
            <w:tcW w:type="dxa" w:w="864"/>
          </w:tcPr>
          <w:p>
            <w:r>
              <w:rPr>
                <w:rFonts w:ascii="Arial" w:hAnsi="Arial"/>
                <w:sz w:val="18"/>
              </w:rPr>
              <w:t>passes</w:t>
            </w:r>
          </w:p>
        </w:tc>
      </w:tr>
    </w:tbl>
    <w:p>
      <w:r>
        <w:rPr>
          <w:rFonts w:ascii="Arial" w:hAnsi="Arial"/>
          <w:b/>
          <w:sz w:val="20"/>
        </w:rPr>
        <w:t>(b) In-time placebo (pretend treatment in 2018; drop real post-period 2019–2021)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Pipeline</w:t>
            </w:r>
          </w:p>
        </w:tc>
        <w:tc>
          <w:tcPr>
            <w:tcW w:type="dxa" w:w="1728"/>
          </w:tcPr>
          <w:p>
            <w:r>
              <w:rPr>
                <w:rFonts w:ascii="Arial" w:hAnsi="Arial"/>
                <w:b/>
                <w:sz w:val="18"/>
              </w:rPr>
              <w:t>Metric</w:t>
            </w:r>
          </w:p>
        </w:tc>
        <w:tc>
          <w:tcPr>
            <w:tcW w:type="dxa" w:w="1728"/>
          </w:tcPr>
          <w:p>
            <w:r>
              <w:rPr>
                <w:rFonts w:ascii="Arial" w:hAnsi="Arial"/>
                <w:b/>
                <w:sz w:val="18"/>
              </w:rPr>
              <w:t>Fake post</w:t>
            </w:r>
          </w:p>
        </w:tc>
        <w:tc>
          <w:tcPr>
            <w:tcW w:type="dxa" w:w="1728"/>
          </w:tcPr>
          <w:p>
            <w:r>
              <w:rPr>
                <w:rFonts w:ascii="Arial" w:hAnsi="Arial"/>
                <w:b/>
                <w:sz w:val="18"/>
              </w:rPr>
              <w:t>τ̂ pseudo (d)</w:t>
            </w:r>
          </w:p>
        </w:tc>
        <w:tc>
          <w:tcPr>
            <w:tcW w:type="dxa" w:w="1728"/>
          </w:tcPr>
          <w:p>
            <w:r>
              <w:rPr>
                <w:rFonts w:ascii="Arial" w:hAnsi="Arial"/>
                <w:b/>
                <w:sz w:val="18"/>
              </w:rPr>
              <w:t>SE (d)</w:t>
            </w:r>
          </w:p>
        </w:tc>
      </w:tr>
      <w:tr>
        <w:tc>
          <w:tcPr>
            <w:tcW w:type="dxa" w:w="1728"/>
          </w:tcPr>
          <w:p>
            <w:r>
              <w:rPr>
                <w:rFonts w:ascii="Arial" w:hAnsi="Arial"/>
                <w:sz w:val="18"/>
              </w:rPr>
              <w:t>raw</w:t>
            </w:r>
          </w:p>
        </w:tc>
        <w:tc>
          <w:tcPr>
            <w:tcW w:type="dxa" w:w="1728"/>
          </w:tcPr>
          <w:p>
            <w:r>
              <w:rPr>
                <w:rFonts w:ascii="Arial" w:hAnsi="Arial"/>
                <w:sz w:val="18"/>
              </w:rPr>
              <w:t>SOS</w:t>
            </w:r>
          </w:p>
        </w:tc>
        <w:tc>
          <w:tcPr>
            <w:tcW w:type="dxa" w:w="1728"/>
          </w:tcPr>
          <w:p>
            <w:r>
              <w:rPr>
                <w:rFonts w:ascii="Arial" w:hAnsi="Arial"/>
                <w:sz w:val="18"/>
              </w:rPr>
              <w:t>2018</w:t>
            </w:r>
          </w:p>
        </w:tc>
        <w:tc>
          <w:tcPr>
            <w:tcW w:type="dxa" w:w="1728"/>
          </w:tcPr>
          <w:p>
            <w:r>
              <w:rPr>
                <w:rFonts w:ascii="Arial" w:hAnsi="Arial"/>
                <w:sz w:val="18"/>
              </w:rPr>
              <w:t>-76.50</w:t>
            </w:r>
          </w:p>
        </w:tc>
        <w:tc>
          <w:tcPr>
            <w:tcW w:type="dxa" w:w="1728"/>
          </w:tcPr>
          <w:p>
            <w:r>
              <w:rPr>
                <w:rFonts w:ascii="Arial" w:hAnsi="Arial"/>
                <w:sz w:val="18"/>
              </w:rPr>
              <w:t>+38.31</w:t>
            </w:r>
          </w:p>
        </w:tc>
      </w:tr>
      <w:tr>
        <w:tc>
          <w:tcPr>
            <w:tcW w:type="dxa" w:w="1728"/>
          </w:tcPr>
          <w:p>
            <w:r>
              <w:rPr>
                <w:rFonts w:ascii="Arial" w:hAnsi="Arial"/>
                <w:sz w:val="18"/>
              </w:rPr>
              <w:t>raw</w:t>
            </w:r>
          </w:p>
        </w:tc>
        <w:tc>
          <w:tcPr>
            <w:tcW w:type="dxa" w:w="1728"/>
          </w:tcPr>
          <w:p>
            <w:r>
              <w:rPr>
                <w:rFonts w:ascii="Arial" w:hAnsi="Arial"/>
                <w:sz w:val="18"/>
              </w:rPr>
              <w:t>POS</w:t>
            </w:r>
          </w:p>
        </w:tc>
        <w:tc>
          <w:tcPr>
            <w:tcW w:type="dxa" w:w="1728"/>
          </w:tcPr>
          <w:p>
            <w:r>
              <w:rPr>
                <w:rFonts w:ascii="Arial" w:hAnsi="Arial"/>
                <w:sz w:val="18"/>
              </w:rPr>
              <w:t>2018</w:t>
            </w:r>
          </w:p>
        </w:tc>
        <w:tc>
          <w:tcPr>
            <w:tcW w:type="dxa" w:w="1728"/>
          </w:tcPr>
          <w:p>
            <w:r>
              <w:rPr>
                <w:rFonts w:ascii="Arial" w:hAnsi="Arial"/>
                <w:sz w:val="18"/>
              </w:rPr>
              <w:t>+2.85</w:t>
            </w:r>
          </w:p>
        </w:tc>
        <w:tc>
          <w:tcPr>
            <w:tcW w:type="dxa" w:w="1728"/>
          </w:tcPr>
          <w:p>
            <w:r>
              <w:rPr>
                <w:rFonts w:ascii="Arial" w:hAnsi="Arial"/>
                <w:sz w:val="18"/>
              </w:rPr>
              <w:t>+10.16</w:t>
            </w:r>
          </w:p>
        </w:tc>
      </w:tr>
      <w:tr>
        <w:tc>
          <w:tcPr>
            <w:tcW w:type="dxa" w:w="1728"/>
          </w:tcPr>
          <w:p>
            <w:r>
              <w:rPr>
                <w:rFonts w:ascii="Arial" w:hAnsi="Arial"/>
                <w:sz w:val="18"/>
              </w:rPr>
              <w:t>raw</w:t>
            </w:r>
          </w:p>
        </w:tc>
        <w:tc>
          <w:tcPr>
            <w:tcW w:type="dxa" w:w="1728"/>
          </w:tcPr>
          <w:p>
            <w:r>
              <w:rPr>
                <w:rFonts w:ascii="Arial" w:hAnsi="Arial"/>
                <w:sz w:val="18"/>
              </w:rPr>
              <w:t>EOS</w:t>
            </w:r>
          </w:p>
        </w:tc>
        <w:tc>
          <w:tcPr>
            <w:tcW w:type="dxa" w:w="1728"/>
          </w:tcPr>
          <w:p>
            <w:r>
              <w:rPr>
                <w:rFonts w:ascii="Arial" w:hAnsi="Arial"/>
                <w:sz w:val="18"/>
              </w:rPr>
              <w:t>2018</w:t>
            </w:r>
          </w:p>
        </w:tc>
        <w:tc>
          <w:tcPr>
            <w:tcW w:type="dxa" w:w="1728"/>
          </w:tcPr>
          <w:p>
            <w:r>
              <w:rPr>
                <w:rFonts w:ascii="Arial" w:hAnsi="Arial"/>
                <w:sz w:val="18"/>
              </w:rPr>
              <w:t>+nan</w:t>
            </w:r>
          </w:p>
        </w:tc>
        <w:tc>
          <w:tcPr>
            <w:tcW w:type="dxa" w:w="1728"/>
          </w:tcPr>
          <w:p>
            <w:r>
              <w:rPr>
                <w:rFonts w:ascii="Arial" w:hAnsi="Arial"/>
                <w:sz w:val="18"/>
              </w:rPr>
              <w:t>+nan</w:t>
            </w:r>
          </w:p>
        </w:tc>
      </w:tr>
      <w:tr>
        <w:tc>
          <w:tcPr>
            <w:tcW w:type="dxa" w:w="1728"/>
          </w:tcPr>
          <w:p>
            <w:r>
              <w:rPr>
                <w:rFonts w:ascii="Arial" w:hAnsi="Arial"/>
                <w:sz w:val="18"/>
              </w:rPr>
              <w:t>corrected</w:t>
            </w:r>
          </w:p>
        </w:tc>
        <w:tc>
          <w:tcPr>
            <w:tcW w:type="dxa" w:w="1728"/>
          </w:tcPr>
          <w:p>
            <w:r>
              <w:rPr>
                <w:rFonts w:ascii="Arial" w:hAnsi="Arial"/>
                <w:sz w:val="18"/>
              </w:rPr>
              <w:t>SOS</w:t>
            </w:r>
          </w:p>
        </w:tc>
        <w:tc>
          <w:tcPr>
            <w:tcW w:type="dxa" w:w="1728"/>
          </w:tcPr>
          <w:p>
            <w:r>
              <w:rPr>
                <w:rFonts w:ascii="Arial" w:hAnsi="Arial"/>
                <w:sz w:val="18"/>
              </w:rPr>
              <w:t>2018</w:t>
            </w:r>
          </w:p>
        </w:tc>
        <w:tc>
          <w:tcPr>
            <w:tcW w:type="dxa" w:w="1728"/>
          </w:tcPr>
          <w:p>
            <w:r>
              <w:rPr>
                <w:rFonts w:ascii="Arial" w:hAnsi="Arial"/>
                <w:sz w:val="18"/>
              </w:rPr>
              <w:t>-76.50</w:t>
            </w:r>
          </w:p>
        </w:tc>
        <w:tc>
          <w:tcPr>
            <w:tcW w:type="dxa" w:w="1728"/>
          </w:tcPr>
          <w:p>
            <w:r>
              <w:rPr>
                <w:rFonts w:ascii="Arial" w:hAnsi="Arial"/>
                <w:sz w:val="18"/>
              </w:rPr>
              <w:t>+38.31</w:t>
            </w:r>
          </w:p>
        </w:tc>
      </w:tr>
      <w:tr>
        <w:tc>
          <w:tcPr>
            <w:tcW w:type="dxa" w:w="1728"/>
          </w:tcPr>
          <w:p>
            <w:r>
              <w:rPr>
                <w:rFonts w:ascii="Arial" w:hAnsi="Arial"/>
                <w:sz w:val="18"/>
              </w:rPr>
              <w:t>corrected</w:t>
            </w:r>
          </w:p>
        </w:tc>
        <w:tc>
          <w:tcPr>
            <w:tcW w:type="dxa" w:w="1728"/>
          </w:tcPr>
          <w:p>
            <w:r>
              <w:rPr>
                <w:rFonts w:ascii="Arial" w:hAnsi="Arial"/>
                <w:sz w:val="18"/>
              </w:rPr>
              <w:t>POS</w:t>
            </w:r>
          </w:p>
        </w:tc>
        <w:tc>
          <w:tcPr>
            <w:tcW w:type="dxa" w:w="1728"/>
          </w:tcPr>
          <w:p>
            <w:r>
              <w:rPr>
                <w:rFonts w:ascii="Arial" w:hAnsi="Arial"/>
                <w:sz w:val="18"/>
              </w:rPr>
              <w:t>2018</w:t>
            </w:r>
          </w:p>
        </w:tc>
        <w:tc>
          <w:tcPr>
            <w:tcW w:type="dxa" w:w="1728"/>
          </w:tcPr>
          <w:p>
            <w:r>
              <w:rPr>
                <w:rFonts w:ascii="Arial" w:hAnsi="Arial"/>
                <w:sz w:val="18"/>
              </w:rPr>
              <w:t>+2.85</w:t>
            </w:r>
          </w:p>
        </w:tc>
        <w:tc>
          <w:tcPr>
            <w:tcW w:type="dxa" w:w="1728"/>
          </w:tcPr>
          <w:p>
            <w:r>
              <w:rPr>
                <w:rFonts w:ascii="Arial" w:hAnsi="Arial"/>
                <w:sz w:val="18"/>
              </w:rPr>
              <w:t>+10.16</w:t>
            </w:r>
          </w:p>
        </w:tc>
      </w:tr>
      <w:tr>
        <w:tc>
          <w:tcPr>
            <w:tcW w:type="dxa" w:w="1728"/>
          </w:tcPr>
          <w:p>
            <w:r>
              <w:rPr>
                <w:rFonts w:ascii="Arial" w:hAnsi="Arial"/>
                <w:sz w:val="18"/>
              </w:rPr>
              <w:t>corrected</w:t>
            </w:r>
          </w:p>
        </w:tc>
        <w:tc>
          <w:tcPr>
            <w:tcW w:type="dxa" w:w="1728"/>
          </w:tcPr>
          <w:p>
            <w:r>
              <w:rPr>
                <w:rFonts w:ascii="Arial" w:hAnsi="Arial"/>
                <w:sz w:val="18"/>
              </w:rPr>
              <w:t>EOS</w:t>
            </w:r>
          </w:p>
        </w:tc>
        <w:tc>
          <w:tcPr>
            <w:tcW w:type="dxa" w:w="1728"/>
          </w:tcPr>
          <w:p>
            <w:r>
              <w:rPr>
                <w:rFonts w:ascii="Arial" w:hAnsi="Arial"/>
                <w:sz w:val="18"/>
              </w:rPr>
              <w:t>2018</w:t>
            </w:r>
          </w:p>
        </w:tc>
        <w:tc>
          <w:tcPr>
            <w:tcW w:type="dxa" w:w="1728"/>
          </w:tcPr>
          <w:p>
            <w:r>
              <w:rPr>
                <w:rFonts w:ascii="Arial" w:hAnsi="Arial"/>
                <w:sz w:val="18"/>
              </w:rPr>
              <w:t>+nan</w:t>
            </w:r>
          </w:p>
        </w:tc>
        <w:tc>
          <w:tcPr>
            <w:tcW w:type="dxa" w:w="1728"/>
          </w:tcPr>
          <w:p>
            <w:r>
              <w:rPr>
                <w:rFonts w:ascii="Arial" w:hAnsi="Arial"/>
                <w:sz w:val="18"/>
              </w:rPr>
              <w:t>+nan</w:t>
            </w:r>
          </w:p>
        </w:tc>
      </w:tr>
    </w:tbl>
    <w:p>
      <w:r>
        <w:rPr>
          <w:rFonts w:ascii="Arial" w:hAnsi="Arial"/>
          <w:sz w:val="18"/>
        </w:rPr>
        <w:t>Notes. (a) The lowest attainable permutation p on this design is 1/57 ≈ 0.018 (real assignment alone in the tail). For (raw, SOS), (raw, POS), (corrected, POS) we expect p ≈ 0.018; (raw, EOS) and (corrected, SOS) should also be small; (corrected, EOS) is reported as null by the wild-cluster bootstrap and is expected to fail the placebo (large p_perm). (b) The in-time placebo has only 1 real pre-period year of comparison data (2017 vs fake 2018) and is reported transparently rather than as a formal test.</w:t>
      </w:r>
    </w:p>
    <w:p>
      <w:r>
        <w:rPr>
          <w:rFonts w:ascii="Arial" w:hAnsi="Arial"/>
          <w:sz w:val="20"/>
        </w:rPr>
        <w:br w:type="page"/>
      </w:r>
    </w:p>
    <w:p>
      <w:pPr>
        <w:keepNext/>
        <w:spacing w:before="240" w:after="120"/>
      </w:pPr>
      <w:bookmarkStart w:id="41727" w:name="table_s8"/>
      <w:r>
        <w:rPr>
          <w:rFonts w:ascii="Arial" w:hAnsi="Arial"/>
          <w:b/>
          <w:color w:val="1F3A5F"/>
          <w:sz w:val="32"/>
        </w:rPr>
        <w:t>Table S8 — Pre-Kharif cyclone climatology</w:t>
      </w:r>
      <w:bookmarkEnd w:id="41727"/>
    </w:p>
    <w:p>
      <w:r>
        <w:rPr>
          <w:rFonts w:ascii="Arial" w:hAnsi="Arial"/>
          <w:b/>
          <w:sz w:val="20"/>
        </w:rPr>
        <w:t>Table S8. Pre-Kharif identification cyclones at the Odisha coast: per-storm summary and 1981–2018 climatological percentiles.</w:t>
      </w:r>
    </w:p>
    <w:tbl>
      <w:tblPr>
        <w:tblStyle w:val="LightGrid-Accent1"/>
        <w:tblW w:type="auto" w:w="0"/>
        <w:tblLook w:firstColumn="1" w:firstRow="1" w:lastColumn="0" w:lastRow="0" w:noHBand="0" w:noVBand="1" w:val="04A0"/>
      </w:tblPr>
      <w:tblGrid>
        <w:gridCol w:w="1073"/>
        <w:gridCol w:w="1073"/>
        <w:gridCol w:w="1073"/>
        <w:gridCol w:w="1073"/>
        <w:gridCol w:w="1073"/>
        <w:gridCol w:w="1073"/>
        <w:gridCol w:w="1073"/>
        <w:gridCol w:w="1073"/>
        <w:gridCol w:w="1073"/>
        <w:gridCol w:w="1073"/>
        <w:gridCol w:w="1073"/>
        <w:gridCol w:w="1073"/>
        <w:gridCol w:w="1073"/>
        <w:gridCol w:w="1073"/>
      </w:tblGrid>
      <w:tr>
        <w:tc>
          <w:tcPr>
            <w:tcW w:type="dxa" w:w="1073"/>
          </w:tcPr>
          <w:p>
            <w:r>
              <w:rPr>
                <w:rFonts w:ascii="Arial" w:hAnsi="Arial"/>
                <w:b/>
                <w:sz w:val="16"/>
              </w:rPr>
              <w:t>Name</w:t>
            </w:r>
          </w:p>
        </w:tc>
        <w:tc>
          <w:tcPr>
            <w:tcW w:type="dxa" w:w="1073"/>
          </w:tcPr>
          <w:p>
            <w:r>
              <w:rPr>
                <w:rFonts w:ascii="Arial" w:hAnsi="Arial"/>
                <w:b/>
                <w:sz w:val="16"/>
              </w:rPr>
              <w:t>Season</w:t>
            </w:r>
          </w:p>
        </w:tc>
        <w:tc>
          <w:tcPr>
            <w:tcW w:type="dxa" w:w="1073"/>
          </w:tcPr>
          <w:p>
            <w:r>
              <w:rPr>
                <w:rFonts w:ascii="Arial" w:hAnsi="Arial"/>
                <w:b/>
                <w:sz w:val="16"/>
              </w:rPr>
              <w:t>Landfall</w:t>
            </w:r>
          </w:p>
        </w:tc>
        <w:tc>
          <w:tcPr>
            <w:tcW w:type="dxa" w:w="1073"/>
          </w:tcPr>
          <w:p>
            <w:r>
              <w:rPr>
                <w:rFonts w:ascii="Arial" w:hAnsi="Arial"/>
                <w:b/>
                <w:sz w:val="16"/>
              </w:rPr>
              <w:t>DOY</w:t>
            </w:r>
          </w:p>
        </w:tc>
        <w:tc>
          <w:tcPr>
            <w:tcW w:type="dxa" w:w="1073"/>
          </w:tcPr>
          <w:p>
            <w:r>
              <w:rPr>
                <w:rFonts w:ascii="Arial" w:hAnsi="Arial"/>
                <w:b/>
                <w:sz w:val="16"/>
              </w:rPr>
              <w:t>IMD cat.</w:t>
            </w:r>
          </w:p>
        </w:tc>
        <w:tc>
          <w:tcPr>
            <w:tcW w:type="dxa" w:w="1073"/>
          </w:tcPr>
          <w:p>
            <w:r>
              <w:rPr>
                <w:rFonts w:ascii="Arial" w:hAnsi="Arial"/>
                <w:b/>
                <w:sz w:val="16"/>
              </w:rPr>
              <w:t>S–S cat.</w:t>
            </w:r>
          </w:p>
        </w:tc>
        <w:tc>
          <w:tcPr>
            <w:tcW w:type="dxa" w:w="1073"/>
          </w:tcPr>
          <w:p>
            <w:r>
              <w:rPr>
                <w:rFonts w:ascii="Arial" w:hAnsi="Arial"/>
                <w:b/>
                <w:sz w:val="16"/>
              </w:rPr>
              <w:t>Vmax (kt)</w:t>
            </w:r>
          </w:p>
        </w:tc>
        <w:tc>
          <w:tcPr>
            <w:tcW w:type="dxa" w:w="1073"/>
          </w:tcPr>
          <w:p>
            <w:r>
              <w:rPr>
                <w:rFonts w:ascii="Arial" w:hAnsi="Arial"/>
                <w:b/>
                <w:sz w:val="16"/>
              </w:rPr>
              <w:t>Pmin (hPa)</w:t>
            </w:r>
          </w:p>
        </w:tc>
        <w:tc>
          <w:tcPr>
            <w:tcW w:type="dxa" w:w="1073"/>
          </w:tcPr>
          <w:p>
            <w:r>
              <w:rPr>
                <w:rFonts w:ascii="Arial" w:hAnsi="Arial"/>
                <w:b/>
                <w:sz w:val="16"/>
              </w:rPr>
              <w:t>Surge (m)</w:t>
            </w:r>
          </w:p>
        </w:tc>
        <w:tc>
          <w:tcPr>
            <w:tcW w:type="dxa" w:w="1073"/>
          </w:tcPr>
          <w:p>
            <w:r>
              <w:rPr>
                <w:rFonts w:ascii="Arial" w:hAnsi="Arial"/>
                <w:b/>
                <w:sz w:val="16"/>
              </w:rPr>
              <w:t>Synoptic class</w:t>
            </w:r>
          </w:p>
        </w:tc>
        <w:tc>
          <w:tcPr>
            <w:tcW w:type="dxa" w:w="1073"/>
          </w:tcPr>
          <w:p>
            <w:r>
              <w:rPr>
                <w:rFonts w:ascii="Arial" w:hAnsi="Arial"/>
                <w:b/>
                <w:sz w:val="16"/>
              </w:rPr>
              <w:t>Vmax %ile</w:t>
            </w:r>
          </w:p>
        </w:tc>
        <w:tc>
          <w:tcPr>
            <w:tcW w:type="dxa" w:w="1073"/>
          </w:tcPr>
          <w:p>
            <w:r>
              <w:rPr>
                <w:rFonts w:ascii="Arial" w:hAnsi="Arial"/>
                <w:b/>
                <w:sz w:val="16"/>
              </w:rPr>
              <w:t>Pmin %ile</w:t>
            </w:r>
          </w:p>
        </w:tc>
        <w:tc>
          <w:tcPr>
            <w:tcW w:type="dxa" w:w="1073"/>
          </w:tcPr>
          <w:p>
            <w:r>
              <w:rPr>
                <w:rFonts w:ascii="Arial" w:hAnsi="Arial"/>
                <w:b/>
                <w:sz w:val="16"/>
              </w:rPr>
              <w:t>Surge %ile</w:t>
            </w:r>
          </w:p>
        </w:tc>
        <w:tc>
          <w:tcPr>
            <w:tcW w:type="dxa" w:w="1073"/>
          </w:tcPr>
          <w:p>
            <w:r>
              <w:rPr>
                <w:rFonts w:ascii="Arial" w:hAnsi="Arial"/>
                <w:b/>
                <w:sz w:val="16"/>
              </w:rPr>
              <w:t>DOY %ile</w:t>
            </w:r>
          </w:p>
        </w:tc>
      </w:tr>
      <w:tr>
        <w:tc>
          <w:tcPr>
            <w:tcW w:type="dxa" w:w="1073"/>
          </w:tcPr>
          <w:p>
            <w:r>
              <w:rPr>
                <w:rFonts w:ascii="Arial" w:hAnsi="Arial"/>
                <w:sz w:val="16"/>
              </w:rPr>
              <w:t>Fani</w:t>
            </w:r>
          </w:p>
        </w:tc>
        <w:tc>
          <w:tcPr>
            <w:tcW w:type="dxa" w:w="1073"/>
          </w:tcPr>
          <w:p>
            <w:r>
              <w:rPr>
                <w:rFonts w:ascii="Arial" w:hAnsi="Arial"/>
                <w:sz w:val="16"/>
              </w:rPr>
              <w:t>2019</w:t>
            </w:r>
          </w:p>
        </w:tc>
        <w:tc>
          <w:tcPr>
            <w:tcW w:type="dxa" w:w="1073"/>
          </w:tcPr>
          <w:p>
            <w:r>
              <w:rPr>
                <w:rFonts w:ascii="Arial" w:hAnsi="Arial"/>
                <w:sz w:val="16"/>
              </w:rPr>
              <w:t>2019-05-03</w:t>
            </w:r>
          </w:p>
        </w:tc>
        <w:tc>
          <w:tcPr>
            <w:tcW w:type="dxa" w:w="1073"/>
          </w:tcPr>
          <w:p>
            <w:r>
              <w:rPr>
                <w:rFonts w:ascii="Arial" w:hAnsi="Arial"/>
                <w:sz w:val="16"/>
              </w:rPr>
              <w:t>123</w:t>
            </w:r>
          </w:p>
        </w:tc>
        <w:tc>
          <w:tcPr>
            <w:tcW w:type="dxa" w:w="1073"/>
          </w:tcPr>
          <w:p>
            <w:r>
              <w:rPr>
                <w:rFonts w:ascii="Arial" w:hAnsi="Arial"/>
                <w:sz w:val="16"/>
              </w:rPr>
              <w:t>ESCS</w:t>
            </w:r>
          </w:p>
        </w:tc>
        <w:tc>
          <w:tcPr>
            <w:tcW w:type="dxa" w:w="1073"/>
          </w:tcPr>
          <w:p>
            <w:r>
              <w:rPr>
                <w:rFonts w:ascii="Arial" w:hAnsi="Arial"/>
                <w:sz w:val="16"/>
              </w:rPr>
              <w:t>4</w:t>
            </w:r>
          </w:p>
        </w:tc>
        <w:tc>
          <w:tcPr>
            <w:tcW w:type="dxa" w:w="1073"/>
          </w:tcPr>
          <w:p>
            <w:r>
              <w:rPr>
                <w:rFonts w:ascii="Arial" w:hAnsi="Arial"/>
                <w:sz w:val="16"/>
              </w:rPr>
              <w:t>135</w:t>
            </w:r>
          </w:p>
        </w:tc>
        <w:tc>
          <w:tcPr>
            <w:tcW w:type="dxa" w:w="1073"/>
          </w:tcPr>
          <w:p>
            <w:r>
              <w:rPr>
                <w:rFonts w:ascii="Arial" w:hAnsi="Arial"/>
                <w:sz w:val="16"/>
              </w:rPr>
              <w:t>932</w:t>
            </w:r>
          </w:p>
        </w:tc>
        <w:tc>
          <w:tcPr>
            <w:tcW w:type="dxa" w:w="1073"/>
          </w:tcPr>
          <w:p>
            <w:r>
              <w:rPr>
                <w:rFonts w:ascii="Arial" w:hAnsi="Arial"/>
                <w:sz w:val="16"/>
              </w:rPr>
              <w:t>1.5</w:t>
            </w:r>
          </w:p>
        </w:tc>
        <w:tc>
          <w:tcPr>
            <w:tcW w:type="dxa" w:w="1073"/>
          </w:tcPr>
          <w:p>
            <w:r>
              <w:rPr>
                <w:rFonts w:ascii="Arial" w:hAnsi="Arial"/>
                <w:sz w:val="16"/>
              </w:rPr>
              <w:t>Equatorial trough genesis</w:t>
            </w:r>
          </w:p>
        </w:tc>
        <w:tc>
          <w:tcPr>
            <w:tcW w:type="dxa" w:w="1073"/>
          </w:tcPr>
          <w:p>
            <w:r>
              <w:rPr>
                <w:rFonts w:ascii="Arial" w:hAnsi="Arial"/>
                <w:sz w:val="16"/>
              </w:rPr>
              <w:t>97.5</w:t>
            </w:r>
          </w:p>
        </w:tc>
        <w:tc>
          <w:tcPr>
            <w:tcW w:type="dxa" w:w="1073"/>
          </w:tcPr>
          <w:p>
            <w:r>
              <w:rPr>
                <w:rFonts w:ascii="Arial" w:hAnsi="Arial"/>
                <w:sz w:val="16"/>
              </w:rPr>
              <w:t>91.5</w:t>
            </w:r>
          </w:p>
        </w:tc>
        <w:tc>
          <w:tcPr>
            <w:tcW w:type="dxa" w:w="1073"/>
          </w:tcPr>
          <w:p>
            <w:r>
              <w:rPr>
                <w:rFonts w:ascii="Arial" w:hAnsi="Arial"/>
                <w:sz w:val="16"/>
              </w:rPr>
              <w:t>55.8</w:t>
            </w:r>
          </w:p>
        </w:tc>
        <w:tc>
          <w:tcPr>
            <w:tcW w:type="dxa" w:w="1073"/>
          </w:tcPr>
          <w:p>
            <w:r>
              <w:rPr>
                <w:rFonts w:ascii="Arial" w:hAnsi="Arial"/>
                <w:sz w:val="16"/>
              </w:rPr>
              <w:t>26.6</w:t>
            </w:r>
          </w:p>
        </w:tc>
      </w:tr>
      <w:tr>
        <w:tc>
          <w:tcPr>
            <w:tcW w:type="dxa" w:w="1073"/>
          </w:tcPr>
          <w:p>
            <w:r>
              <w:rPr>
                <w:rFonts w:ascii="Arial" w:hAnsi="Arial"/>
                <w:sz w:val="16"/>
              </w:rPr>
              <w:t>Amphan</w:t>
            </w:r>
          </w:p>
        </w:tc>
        <w:tc>
          <w:tcPr>
            <w:tcW w:type="dxa" w:w="1073"/>
          </w:tcPr>
          <w:p>
            <w:r>
              <w:rPr>
                <w:rFonts w:ascii="Arial" w:hAnsi="Arial"/>
                <w:sz w:val="16"/>
              </w:rPr>
              <w:t>2020</w:t>
            </w:r>
          </w:p>
        </w:tc>
        <w:tc>
          <w:tcPr>
            <w:tcW w:type="dxa" w:w="1073"/>
          </w:tcPr>
          <w:p>
            <w:r>
              <w:rPr>
                <w:rFonts w:ascii="Arial" w:hAnsi="Arial"/>
                <w:sz w:val="16"/>
              </w:rPr>
              <w:t>2020-05-20</w:t>
            </w:r>
          </w:p>
        </w:tc>
        <w:tc>
          <w:tcPr>
            <w:tcW w:type="dxa" w:w="1073"/>
          </w:tcPr>
          <w:p>
            <w:r>
              <w:rPr>
                <w:rFonts w:ascii="Arial" w:hAnsi="Arial"/>
                <w:sz w:val="16"/>
              </w:rPr>
              <w:t>141</w:t>
            </w:r>
          </w:p>
        </w:tc>
        <w:tc>
          <w:tcPr>
            <w:tcW w:type="dxa" w:w="1073"/>
          </w:tcPr>
          <w:p>
            <w:r>
              <w:rPr>
                <w:rFonts w:ascii="Arial" w:hAnsi="Arial"/>
                <w:sz w:val="16"/>
              </w:rPr>
              <w:t>SuCS</w:t>
            </w:r>
          </w:p>
        </w:tc>
        <w:tc>
          <w:tcPr>
            <w:tcW w:type="dxa" w:w="1073"/>
          </w:tcPr>
          <w:p>
            <w:r>
              <w:rPr>
                <w:rFonts w:ascii="Arial" w:hAnsi="Arial"/>
                <w:sz w:val="16"/>
              </w:rPr>
              <w:t>5</w:t>
            </w:r>
          </w:p>
        </w:tc>
        <w:tc>
          <w:tcPr>
            <w:tcW w:type="dxa" w:w="1073"/>
          </w:tcPr>
          <w:p>
            <w:r>
              <w:rPr>
                <w:rFonts w:ascii="Arial" w:hAnsi="Arial"/>
                <w:sz w:val="16"/>
              </w:rPr>
              <w:t>140</w:t>
            </w:r>
          </w:p>
        </w:tc>
        <w:tc>
          <w:tcPr>
            <w:tcW w:type="dxa" w:w="1073"/>
          </w:tcPr>
          <w:p>
            <w:r>
              <w:rPr>
                <w:rFonts w:ascii="Arial" w:hAnsi="Arial"/>
                <w:sz w:val="16"/>
              </w:rPr>
              <w:t>925</w:t>
            </w:r>
          </w:p>
        </w:tc>
        <w:tc>
          <w:tcPr>
            <w:tcW w:type="dxa" w:w="1073"/>
          </w:tcPr>
          <w:p>
            <w:r>
              <w:rPr>
                <w:rFonts w:ascii="Arial" w:hAnsi="Arial"/>
                <w:sz w:val="16"/>
              </w:rPr>
              <w:t>4.6</w:t>
            </w:r>
          </w:p>
        </w:tc>
        <w:tc>
          <w:tcPr>
            <w:tcW w:type="dxa" w:w="1073"/>
          </w:tcPr>
          <w:p>
            <w:r>
              <w:rPr>
                <w:rFonts w:ascii="Arial" w:hAnsi="Arial"/>
                <w:sz w:val="16"/>
              </w:rPr>
              <w:t>Monsoon-trough remnant</w:t>
            </w:r>
          </w:p>
        </w:tc>
        <w:tc>
          <w:tcPr>
            <w:tcW w:type="dxa" w:w="1073"/>
          </w:tcPr>
          <w:p>
            <w:r>
              <w:rPr>
                <w:rFonts w:ascii="Arial" w:hAnsi="Arial"/>
                <w:sz w:val="16"/>
              </w:rPr>
              <w:t>100.0</w:t>
            </w:r>
          </w:p>
        </w:tc>
        <w:tc>
          <w:tcPr>
            <w:tcW w:type="dxa" w:w="1073"/>
          </w:tcPr>
          <w:p>
            <w:r>
              <w:rPr>
                <w:rFonts w:ascii="Arial" w:hAnsi="Arial"/>
                <w:sz w:val="16"/>
              </w:rPr>
              <w:t>95.0</w:t>
            </w:r>
          </w:p>
        </w:tc>
        <w:tc>
          <w:tcPr>
            <w:tcW w:type="dxa" w:w="1073"/>
          </w:tcPr>
          <w:p>
            <w:r>
              <w:rPr>
                <w:rFonts w:ascii="Arial" w:hAnsi="Arial"/>
                <w:sz w:val="16"/>
              </w:rPr>
              <w:t>91.5</w:t>
            </w:r>
          </w:p>
        </w:tc>
        <w:tc>
          <w:tcPr>
            <w:tcW w:type="dxa" w:w="1073"/>
          </w:tcPr>
          <w:p>
            <w:r>
              <w:rPr>
                <w:rFonts w:ascii="Arial" w:hAnsi="Arial"/>
                <w:sz w:val="16"/>
              </w:rPr>
              <w:t>55.4</w:t>
            </w:r>
          </w:p>
        </w:tc>
      </w:tr>
      <w:tr>
        <w:tc>
          <w:tcPr>
            <w:tcW w:type="dxa" w:w="1073"/>
          </w:tcPr>
          <w:p>
            <w:r>
              <w:rPr>
                <w:rFonts w:ascii="Arial" w:hAnsi="Arial"/>
                <w:sz w:val="16"/>
              </w:rPr>
              <w:t>Yaas</w:t>
            </w:r>
          </w:p>
        </w:tc>
        <w:tc>
          <w:tcPr>
            <w:tcW w:type="dxa" w:w="1073"/>
          </w:tcPr>
          <w:p>
            <w:r>
              <w:rPr>
                <w:rFonts w:ascii="Arial" w:hAnsi="Arial"/>
                <w:sz w:val="16"/>
              </w:rPr>
              <w:t>2021</w:t>
            </w:r>
          </w:p>
        </w:tc>
        <w:tc>
          <w:tcPr>
            <w:tcW w:type="dxa" w:w="1073"/>
          </w:tcPr>
          <w:p>
            <w:r>
              <w:rPr>
                <w:rFonts w:ascii="Arial" w:hAnsi="Arial"/>
                <w:sz w:val="16"/>
              </w:rPr>
              <w:t>2021-05-26</w:t>
            </w:r>
          </w:p>
        </w:tc>
        <w:tc>
          <w:tcPr>
            <w:tcW w:type="dxa" w:w="1073"/>
          </w:tcPr>
          <w:p>
            <w:r>
              <w:rPr>
                <w:rFonts w:ascii="Arial" w:hAnsi="Arial"/>
                <w:sz w:val="16"/>
              </w:rPr>
              <w:t>146</w:t>
            </w:r>
          </w:p>
        </w:tc>
        <w:tc>
          <w:tcPr>
            <w:tcW w:type="dxa" w:w="1073"/>
          </w:tcPr>
          <w:p>
            <w:r>
              <w:rPr>
                <w:rFonts w:ascii="Arial" w:hAnsi="Arial"/>
                <w:sz w:val="16"/>
              </w:rPr>
              <w:t>VSCS</w:t>
            </w:r>
          </w:p>
        </w:tc>
        <w:tc>
          <w:tcPr>
            <w:tcW w:type="dxa" w:w="1073"/>
          </w:tcPr>
          <w:p>
            <w:r>
              <w:rPr>
                <w:rFonts w:ascii="Arial" w:hAnsi="Arial"/>
                <w:sz w:val="16"/>
              </w:rPr>
              <w:t>3</w:t>
            </w:r>
          </w:p>
        </w:tc>
        <w:tc>
          <w:tcPr>
            <w:tcW w:type="dxa" w:w="1073"/>
          </w:tcPr>
          <w:p>
            <w:r>
              <w:rPr>
                <w:rFonts w:ascii="Arial" w:hAnsi="Arial"/>
                <w:sz w:val="16"/>
              </w:rPr>
              <w:t>100</w:t>
            </w:r>
          </w:p>
        </w:tc>
        <w:tc>
          <w:tcPr>
            <w:tcW w:type="dxa" w:w="1073"/>
          </w:tcPr>
          <w:p>
            <w:r>
              <w:rPr>
                <w:rFonts w:ascii="Arial" w:hAnsi="Arial"/>
                <w:sz w:val="16"/>
              </w:rPr>
              <w:t>970</w:t>
            </w:r>
          </w:p>
        </w:tc>
        <w:tc>
          <w:tcPr>
            <w:tcW w:type="dxa" w:w="1073"/>
          </w:tcPr>
          <w:p>
            <w:r>
              <w:rPr>
                <w:rFonts w:ascii="Arial" w:hAnsi="Arial"/>
                <w:sz w:val="16"/>
              </w:rPr>
              <w:t>2.0</w:t>
            </w:r>
          </w:p>
        </w:tc>
        <w:tc>
          <w:tcPr>
            <w:tcW w:type="dxa" w:w="1073"/>
          </w:tcPr>
          <w:p>
            <w:r>
              <w:rPr>
                <w:rFonts w:ascii="Arial" w:hAnsi="Arial"/>
                <w:sz w:val="16"/>
              </w:rPr>
              <w:t>Easterly-wave Bay genesis</w:t>
            </w:r>
          </w:p>
        </w:tc>
        <w:tc>
          <w:tcPr>
            <w:tcW w:type="dxa" w:w="1073"/>
          </w:tcPr>
          <w:p>
            <w:r>
              <w:rPr>
                <w:rFonts w:ascii="Arial" w:hAnsi="Arial"/>
                <w:sz w:val="16"/>
              </w:rPr>
              <w:t>81.0</w:t>
            </w:r>
          </w:p>
        </w:tc>
        <w:tc>
          <w:tcPr>
            <w:tcW w:type="dxa" w:w="1073"/>
          </w:tcPr>
          <w:p>
            <w:r>
              <w:rPr>
                <w:rFonts w:ascii="Arial" w:hAnsi="Arial"/>
                <w:sz w:val="16"/>
              </w:rPr>
              <w:t>56.2</w:t>
            </w:r>
          </w:p>
        </w:tc>
        <w:tc>
          <w:tcPr>
            <w:tcW w:type="dxa" w:w="1073"/>
          </w:tcPr>
          <w:p>
            <w:r>
              <w:rPr>
                <w:rFonts w:ascii="Arial" w:hAnsi="Arial"/>
                <w:sz w:val="16"/>
              </w:rPr>
              <w:t>65.4</w:t>
            </w:r>
          </w:p>
        </w:tc>
        <w:tc>
          <w:tcPr>
            <w:tcW w:type="dxa" w:w="1073"/>
          </w:tcPr>
          <w:p>
            <w:r>
              <w:rPr>
                <w:rFonts w:ascii="Arial" w:hAnsi="Arial"/>
                <w:sz w:val="16"/>
              </w:rPr>
              <w:t>64.3</w:t>
            </w:r>
          </w:p>
        </w:tc>
      </w:tr>
    </w:tbl>
    <w:p>
      <w:r>
        <w:rPr>
          <w:rFonts w:ascii="Arial" w:hAnsi="Arial"/>
          <w:i/>
          <w:sz w:val="18"/>
        </w:rPr>
        <w:br/>
        <w:t>Vmax: peak 1-min sustained wind. Pmin: minimum central pressure. Surge: peak observed storm-surge height (IMD RSMC reports). %ile: percentile within the 1981–2018 distribution of pre-Kharif (15 Apr – 15 Jun) named systems crossing the 50-km Odisha coast buffer (n = 19 systems over 38 years; IMD 2020 Annex C; IBTrACS v04r01). Pmin %ile is computed on the inverted scale so that 100 = strongest. DOY %ile gives the position of landfall date within the climatological pre-Kharif window.</w:t>
      </w:r>
    </w:p>
    <w:p>
      <w:r>
        <w:rPr>
          <w:rFonts w:ascii="Arial" w:hAnsi="Arial"/>
          <w:sz w:val="20"/>
        </w:rPr>
        <w:br w:type="page"/>
      </w:r>
    </w:p>
    <w:p>
      <w:pPr>
        <w:keepNext/>
        <w:spacing w:before="240" w:after="120"/>
      </w:pPr>
      <w:bookmarkStart w:id="91720" w:name="table_s9"/>
      <w:r>
        <w:rPr>
          <w:rFonts w:ascii="Arial" w:hAnsi="Arial"/>
          <w:b/>
          <w:color w:val="1F3A5F"/>
          <w:sz w:val="32"/>
        </w:rPr>
        <w:t>Table S9 — Canonical S1 dual-pol features</w:t>
      </w:r>
      <w:bookmarkEnd w:id="91720"/>
    </w:p>
    <w:p>
      <w:r>
        <w:rPr>
          <w:rFonts w:ascii="Arial" w:hAnsi="Arial"/>
          <w:b/>
          <w:sz w:val="20"/>
        </w:rPr>
        <w:t>Table S9. Canonical Sentinel-1 dual-polarisation backscatter signatures for the three inundation mechanisms exploited by the Module 02 saline-flood classifier.</w:t>
      </w:r>
    </w:p>
    <w:tbl>
      <w:tblPr>
        <w:tblStyle w:val="LightGrid-Accent1"/>
        <w:tblW w:type="auto" w:w="0"/>
        <w:tblLook w:firstColumn="1" w:firstRow="1" w:lastColumn="0" w:lastRow="0" w:noHBand="0" w:noVBand="1" w:val="04A0"/>
      </w:tblPr>
      <w:tblGrid>
        <w:gridCol w:w="1002"/>
        <w:gridCol w:w="1002"/>
        <w:gridCol w:w="1002"/>
        <w:gridCol w:w="1002"/>
        <w:gridCol w:w="1002"/>
        <w:gridCol w:w="1002"/>
        <w:gridCol w:w="1002"/>
        <w:gridCol w:w="1002"/>
        <w:gridCol w:w="1002"/>
        <w:gridCol w:w="1002"/>
        <w:gridCol w:w="1002"/>
        <w:gridCol w:w="1002"/>
        <w:gridCol w:w="1002"/>
        <w:gridCol w:w="1002"/>
        <w:gridCol w:w="1002"/>
      </w:tblGrid>
      <w:tr>
        <w:tc>
          <w:tcPr>
            <w:tcW w:type="dxa" w:w="1002"/>
          </w:tcPr>
          <w:p>
            <w:r>
              <w:rPr>
                <w:rFonts w:ascii="Arial" w:hAnsi="Arial"/>
                <w:b/>
                <w:sz w:val="16"/>
              </w:rPr>
              <w:t>Mechanism</w:t>
            </w:r>
          </w:p>
        </w:tc>
        <w:tc>
          <w:tcPr>
            <w:tcW w:type="dxa" w:w="1002"/>
          </w:tcPr>
          <w:p>
            <w:r>
              <w:rPr>
                <w:rFonts w:ascii="Arial" w:hAnsi="Arial"/>
                <w:b/>
                <w:sz w:val="16"/>
              </w:rPr>
              <w:t>Onset DOY</w:t>
            </w:r>
          </w:p>
        </w:tc>
        <w:tc>
          <w:tcPr>
            <w:tcW w:type="dxa" w:w="1002"/>
          </w:tcPr>
          <w:p>
            <w:r>
              <w:rPr>
                <w:rFonts w:ascii="Arial" w:hAnsi="Arial"/>
                <w:b/>
                <w:sz w:val="16"/>
              </w:rPr>
              <w:t>Onset rate (d)</w:t>
            </w:r>
          </w:p>
        </w:tc>
        <w:tc>
          <w:tcPr>
            <w:tcW w:type="dxa" w:w="1002"/>
          </w:tcPr>
          <w:p>
            <w:r>
              <w:rPr>
                <w:rFonts w:ascii="Arial" w:hAnsi="Arial"/>
                <w:b/>
                <w:sz w:val="16"/>
              </w:rPr>
              <w:t>VH base (dB)</w:t>
            </w:r>
          </w:p>
        </w:tc>
        <w:tc>
          <w:tcPr>
            <w:tcW w:type="dxa" w:w="1002"/>
          </w:tcPr>
          <w:p>
            <w:r>
              <w:rPr>
                <w:rFonts w:ascii="Arial" w:hAnsi="Arial"/>
                <w:b/>
                <w:sz w:val="16"/>
              </w:rPr>
              <w:t>VH min (dB)</w:t>
            </w:r>
          </w:p>
        </w:tc>
        <w:tc>
          <w:tcPr>
            <w:tcW w:type="dxa" w:w="1002"/>
          </w:tcPr>
          <w:p>
            <w:r>
              <w:rPr>
                <w:rFonts w:ascii="Arial" w:hAnsi="Arial"/>
                <w:b/>
                <w:sz w:val="16"/>
              </w:rPr>
              <w:t>ΔVH (dB)</w:t>
            </w:r>
          </w:p>
        </w:tc>
        <w:tc>
          <w:tcPr>
            <w:tcW w:type="dxa" w:w="1002"/>
          </w:tcPr>
          <w:p>
            <w:r>
              <w:rPr>
                <w:rFonts w:ascii="Arial" w:hAnsi="Arial"/>
                <w:b/>
                <w:sz w:val="16"/>
              </w:rPr>
              <w:t>VV base (dB)</w:t>
            </w:r>
          </w:p>
        </w:tc>
        <w:tc>
          <w:tcPr>
            <w:tcW w:type="dxa" w:w="1002"/>
          </w:tcPr>
          <w:p>
            <w:r>
              <w:rPr>
                <w:rFonts w:ascii="Arial" w:hAnsi="Arial"/>
                <w:b/>
                <w:sz w:val="16"/>
              </w:rPr>
              <w:t>VV min (dB)</w:t>
            </w:r>
          </w:p>
        </w:tc>
        <w:tc>
          <w:tcPr>
            <w:tcW w:type="dxa" w:w="1002"/>
          </w:tcPr>
          <w:p>
            <w:r>
              <w:rPr>
                <w:rFonts w:ascii="Arial" w:hAnsi="Arial"/>
                <w:b/>
                <w:sz w:val="16"/>
              </w:rPr>
              <w:t>ΔVV (dB)</w:t>
            </w:r>
          </w:p>
        </w:tc>
        <w:tc>
          <w:tcPr>
            <w:tcW w:type="dxa" w:w="1002"/>
          </w:tcPr>
          <w:p>
            <w:r>
              <w:rPr>
                <w:rFonts w:ascii="Arial" w:hAnsi="Arial"/>
                <w:b/>
                <w:sz w:val="16"/>
              </w:rPr>
              <w:t>CR base (dB)</w:t>
            </w:r>
          </w:p>
        </w:tc>
        <w:tc>
          <w:tcPr>
            <w:tcW w:type="dxa" w:w="1002"/>
          </w:tcPr>
          <w:p>
            <w:r>
              <w:rPr>
                <w:rFonts w:ascii="Arial" w:hAnsi="Arial"/>
                <w:b/>
                <w:sz w:val="16"/>
              </w:rPr>
              <w:t>CR min (dB)</w:t>
            </w:r>
          </w:p>
        </w:tc>
        <w:tc>
          <w:tcPr>
            <w:tcW w:type="dxa" w:w="1002"/>
          </w:tcPr>
          <w:p>
            <w:r>
              <w:rPr>
                <w:rFonts w:ascii="Arial" w:hAnsi="Arial"/>
                <w:b/>
                <w:sz w:val="16"/>
              </w:rPr>
              <w:t>ΔCR (dB)</w:t>
            </w:r>
          </w:p>
        </w:tc>
        <w:tc>
          <w:tcPr>
            <w:tcW w:type="dxa" w:w="1002"/>
          </w:tcPr>
          <w:p>
            <w:r>
              <w:rPr>
                <w:rFonts w:ascii="Arial" w:hAnsi="Arial"/>
                <w:b/>
                <w:sz w:val="16"/>
              </w:rPr>
              <w:t>VH recov. (d)</w:t>
            </w:r>
          </w:p>
        </w:tc>
        <w:tc>
          <w:tcPr>
            <w:tcW w:type="dxa" w:w="1002"/>
          </w:tcPr>
          <w:p>
            <w:r>
              <w:rPr>
                <w:rFonts w:ascii="Arial" w:hAnsi="Arial"/>
                <w:b/>
                <w:sz w:val="16"/>
              </w:rPr>
              <w:t>VV recov. (d)</w:t>
            </w:r>
          </w:p>
        </w:tc>
        <w:tc>
          <w:tcPr>
            <w:tcW w:type="dxa" w:w="1002"/>
          </w:tcPr>
          <w:p>
            <w:r>
              <w:rPr>
                <w:rFonts w:ascii="Arial" w:hAnsi="Arial"/>
                <w:b/>
                <w:sz w:val="16"/>
              </w:rPr>
              <w:t>CR recov. (d)</w:t>
            </w:r>
          </w:p>
        </w:tc>
      </w:tr>
      <w:tr>
        <w:tc>
          <w:tcPr>
            <w:tcW w:type="dxa" w:w="1002"/>
          </w:tcPr>
          <w:p>
            <w:r>
              <w:rPr>
                <w:rFonts w:ascii="Arial" w:hAnsi="Arial"/>
                <w:sz w:val="16"/>
              </w:rPr>
              <w:t>Transplanting flood (agronomic)</w:t>
            </w:r>
          </w:p>
        </w:tc>
        <w:tc>
          <w:tcPr>
            <w:tcW w:type="dxa" w:w="1002"/>
          </w:tcPr>
          <w:p>
            <w:r>
              <w:rPr>
                <w:rFonts w:ascii="Arial" w:hAnsi="Arial"/>
                <w:sz w:val="16"/>
              </w:rPr>
              <w:t>188</w:t>
            </w:r>
          </w:p>
        </w:tc>
        <w:tc>
          <w:tcPr>
            <w:tcW w:type="dxa" w:w="1002"/>
          </w:tcPr>
          <w:p>
            <w:r>
              <w:rPr>
                <w:rFonts w:ascii="Arial" w:hAnsi="Arial"/>
                <w:sz w:val="16"/>
              </w:rPr>
              <w:t>12</w:t>
            </w:r>
          </w:p>
        </w:tc>
        <w:tc>
          <w:tcPr>
            <w:tcW w:type="dxa" w:w="1002"/>
          </w:tcPr>
          <w:p>
            <w:r>
              <w:rPr>
                <w:rFonts w:ascii="Arial" w:hAnsi="Arial"/>
                <w:sz w:val="16"/>
              </w:rPr>
              <w:t>-14.0</w:t>
            </w:r>
          </w:p>
        </w:tc>
        <w:tc>
          <w:tcPr>
            <w:tcW w:type="dxa" w:w="1002"/>
          </w:tcPr>
          <w:p>
            <w:r>
              <w:rPr>
                <w:rFonts w:ascii="Arial" w:hAnsi="Arial"/>
                <w:sz w:val="16"/>
              </w:rPr>
              <w:t>-20.5</w:t>
            </w:r>
          </w:p>
        </w:tc>
        <w:tc>
          <w:tcPr>
            <w:tcW w:type="dxa" w:w="1002"/>
          </w:tcPr>
          <w:p>
            <w:r>
              <w:rPr>
                <w:rFonts w:ascii="Arial" w:hAnsi="Arial"/>
                <w:sz w:val="16"/>
              </w:rPr>
              <w:t>-6.5</w:t>
            </w:r>
          </w:p>
        </w:tc>
        <w:tc>
          <w:tcPr>
            <w:tcW w:type="dxa" w:w="1002"/>
          </w:tcPr>
          <w:p>
            <w:r>
              <w:rPr>
                <w:rFonts w:ascii="Arial" w:hAnsi="Arial"/>
                <w:sz w:val="16"/>
              </w:rPr>
              <w:t>-9.0</w:t>
            </w:r>
          </w:p>
        </w:tc>
        <w:tc>
          <w:tcPr>
            <w:tcW w:type="dxa" w:w="1002"/>
          </w:tcPr>
          <w:p>
            <w:r>
              <w:rPr>
                <w:rFonts w:ascii="Arial" w:hAnsi="Arial"/>
                <w:sz w:val="16"/>
              </w:rPr>
              <w:t>-13.5</w:t>
            </w:r>
          </w:p>
        </w:tc>
        <w:tc>
          <w:tcPr>
            <w:tcW w:type="dxa" w:w="1002"/>
          </w:tcPr>
          <w:p>
            <w:r>
              <w:rPr>
                <w:rFonts w:ascii="Arial" w:hAnsi="Arial"/>
                <w:sz w:val="16"/>
              </w:rPr>
              <w:t>-4.5</w:t>
            </w:r>
          </w:p>
        </w:tc>
        <w:tc>
          <w:tcPr>
            <w:tcW w:type="dxa" w:w="1002"/>
          </w:tcPr>
          <w:p>
            <w:r>
              <w:rPr>
                <w:rFonts w:ascii="Arial" w:hAnsi="Arial"/>
                <w:sz w:val="16"/>
              </w:rPr>
              <w:t>-5.0</w:t>
            </w:r>
          </w:p>
        </w:tc>
        <w:tc>
          <w:tcPr>
            <w:tcW w:type="dxa" w:w="1002"/>
          </w:tcPr>
          <w:p>
            <w:r>
              <w:rPr>
                <w:rFonts w:ascii="Arial" w:hAnsi="Arial"/>
                <w:sz w:val="16"/>
              </w:rPr>
              <w:t>-7.0</w:t>
            </w:r>
          </w:p>
        </w:tc>
        <w:tc>
          <w:tcPr>
            <w:tcW w:type="dxa" w:w="1002"/>
          </w:tcPr>
          <w:p>
            <w:r>
              <w:rPr>
                <w:rFonts w:ascii="Arial" w:hAnsi="Arial"/>
                <w:sz w:val="16"/>
              </w:rPr>
              <w:t>-2.0</w:t>
            </w:r>
          </w:p>
        </w:tc>
        <w:tc>
          <w:tcPr>
            <w:tcW w:type="dxa" w:w="1002"/>
          </w:tcPr>
          <w:p>
            <w:r>
              <w:rPr>
                <w:rFonts w:ascii="Arial" w:hAnsi="Arial"/>
                <w:sz w:val="16"/>
              </w:rPr>
              <w:t>35</w:t>
            </w:r>
          </w:p>
        </w:tc>
        <w:tc>
          <w:tcPr>
            <w:tcW w:type="dxa" w:w="1002"/>
          </w:tcPr>
          <w:p>
            <w:r>
              <w:rPr>
                <w:rFonts w:ascii="Arial" w:hAnsi="Arial"/>
                <w:sz w:val="16"/>
              </w:rPr>
              <w:t>50</w:t>
            </w:r>
          </w:p>
        </w:tc>
        <w:tc>
          <w:tcPr>
            <w:tcW w:type="dxa" w:w="1002"/>
          </w:tcPr>
          <w:p>
            <w:r>
              <w:rPr>
                <w:rFonts w:ascii="Arial" w:hAnsi="Arial"/>
                <w:sz w:val="16"/>
              </w:rPr>
              <w:t>42</w:t>
            </w:r>
          </w:p>
        </w:tc>
      </w:tr>
      <w:tr>
        <w:tc>
          <w:tcPr>
            <w:tcW w:type="dxa" w:w="1002"/>
          </w:tcPr>
          <w:p>
            <w:r>
              <w:rPr>
                <w:rFonts w:ascii="Arial" w:hAnsi="Arial"/>
                <w:sz w:val="16"/>
              </w:rPr>
              <w:t>Saline storm-surge (cyclonic)</w:t>
            </w:r>
          </w:p>
        </w:tc>
        <w:tc>
          <w:tcPr>
            <w:tcW w:type="dxa" w:w="1002"/>
          </w:tcPr>
          <w:p>
            <w:r>
              <w:rPr>
                <w:rFonts w:ascii="Arial" w:hAnsi="Arial"/>
                <w:sz w:val="16"/>
              </w:rPr>
              <w:t>123</w:t>
            </w:r>
          </w:p>
        </w:tc>
        <w:tc>
          <w:tcPr>
            <w:tcW w:type="dxa" w:w="1002"/>
          </w:tcPr>
          <w:p>
            <w:r>
              <w:rPr>
                <w:rFonts w:ascii="Arial" w:hAnsi="Arial"/>
                <w:sz w:val="16"/>
              </w:rPr>
              <w:t>1</w:t>
            </w:r>
          </w:p>
        </w:tc>
        <w:tc>
          <w:tcPr>
            <w:tcW w:type="dxa" w:w="1002"/>
          </w:tcPr>
          <w:p>
            <w:r>
              <w:rPr>
                <w:rFonts w:ascii="Arial" w:hAnsi="Arial"/>
                <w:sz w:val="16"/>
              </w:rPr>
              <w:t>-12.0</w:t>
            </w:r>
          </w:p>
        </w:tc>
        <w:tc>
          <w:tcPr>
            <w:tcW w:type="dxa" w:w="1002"/>
          </w:tcPr>
          <w:p>
            <w:r>
              <w:rPr>
                <w:rFonts w:ascii="Arial" w:hAnsi="Arial"/>
                <w:sz w:val="16"/>
              </w:rPr>
              <w:t>-22.5</w:t>
            </w:r>
          </w:p>
        </w:tc>
        <w:tc>
          <w:tcPr>
            <w:tcW w:type="dxa" w:w="1002"/>
          </w:tcPr>
          <w:p>
            <w:r>
              <w:rPr>
                <w:rFonts w:ascii="Arial" w:hAnsi="Arial"/>
                <w:sz w:val="16"/>
              </w:rPr>
              <w:t>-10.5</w:t>
            </w:r>
          </w:p>
        </w:tc>
        <w:tc>
          <w:tcPr>
            <w:tcW w:type="dxa" w:w="1002"/>
          </w:tcPr>
          <w:p>
            <w:r>
              <w:rPr>
                <w:rFonts w:ascii="Arial" w:hAnsi="Arial"/>
                <w:sz w:val="16"/>
              </w:rPr>
              <w:t>-8.5</w:t>
            </w:r>
          </w:p>
        </w:tc>
        <w:tc>
          <w:tcPr>
            <w:tcW w:type="dxa" w:w="1002"/>
          </w:tcPr>
          <w:p>
            <w:r>
              <w:rPr>
                <w:rFonts w:ascii="Arial" w:hAnsi="Arial"/>
                <w:sz w:val="16"/>
              </w:rPr>
              <w:t>-15.0</w:t>
            </w:r>
          </w:p>
        </w:tc>
        <w:tc>
          <w:tcPr>
            <w:tcW w:type="dxa" w:w="1002"/>
          </w:tcPr>
          <w:p>
            <w:r>
              <w:rPr>
                <w:rFonts w:ascii="Arial" w:hAnsi="Arial"/>
                <w:sz w:val="16"/>
              </w:rPr>
              <w:t>-6.5</w:t>
            </w:r>
          </w:p>
        </w:tc>
        <w:tc>
          <w:tcPr>
            <w:tcW w:type="dxa" w:w="1002"/>
          </w:tcPr>
          <w:p>
            <w:r>
              <w:rPr>
                <w:rFonts w:ascii="Arial" w:hAnsi="Arial"/>
                <w:sz w:val="16"/>
              </w:rPr>
              <w:t>-3.5</w:t>
            </w:r>
          </w:p>
        </w:tc>
        <w:tc>
          <w:tcPr>
            <w:tcW w:type="dxa" w:w="1002"/>
          </w:tcPr>
          <w:p>
            <w:r>
              <w:rPr>
                <w:rFonts w:ascii="Arial" w:hAnsi="Arial"/>
                <w:sz w:val="16"/>
              </w:rPr>
              <w:t>-7.5</w:t>
            </w:r>
          </w:p>
        </w:tc>
        <w:tc>
          <w:tcPr>
            <w:tcW w:type="dxa" w:w="1002"/>
          </w:tcPr>
          <w:p>
            <w:r>
              <w:rPr>
                <w:rFonts w:ascii="Arial" w:hAnsi="Arial"/>
                <w:sz w:val="16"/>
              </w:rPr>
              <w:t>-4.0</w:t>
            </w:r>
          </w:p>
        </w:tc>
        <w:tc>
          <w:tcPr>
            <w:tcW w:type="dxa" w:w="1002"/>
          </w:tcPr>
          <w:p>
            <w:r>
              <w:rPr>
                <w:rFonts w:ascii="Arial" w:hAnsi="Arial"/>
                <w:sz w:val="16"/>
              </w:rPr>
              <w:t>21</w:t>
            </w:r>
          </w:p>
        </w:tc>
        <w:tc>
          <w:tcPr>
            <w:tcW w:type="dxa" w:w="1002"/>
          </w:tcPr>
          <w:p>
            <w:r>
              <w:rPr>
                <w:rFonts w:ascii="Arial" w:hAnsi="Arial"/>
                <w:sz w:val="16"/>
              </w:rPr>
              <w:t>28</w:t>
            </w:r>
          </w:p>
        </w:tc>
        <w:tc>
          <w:tcPr>
            <w:tcW w:type="dxa" w:w="1002"/>
          </w:tcPr>
          <w:p>
            <w:r>
              <w:rPr>
                <w:rFonts w:ascii="Arial" w:hAnsi="Arial"/>
                <w:sz w:val="16"/>
              </w:rPr>
              <w:t>24</w:t>
            </w:r>
          </w:p>
        </w:tc>
      </w:tr>
      <w:tr>
        <w:tc>
          <w:tcPr>
            <w:tcW w:type="dxa" w:w="1002"/>
          </w:tcPr>
          <w:p>
            <w:r>
              <w:rPr>
                <w:rFonts w:ascii="Arial" w:hAnsi="Arial"/>
                <w:sz w:val="16"/>
              </w:rPr>
              <w:t>Freshwater rainfall (Bulbul-class)</w:t>
            </w:r>
          </w:p>
        </w:tc>
        <w:tc>
          <w:tcPr>
            <w:tcW w:type="dxa" w:w="1002"/>
          </w:tcPr>
          <w:p>
            <w:r>
              <w:rPr>
                <w:rFonts w:ascii="Arial" w:hAnsi="Arial"/>
                <w:sz w:val="16"/>
              </w:rPr>
              <w:t>313</w:t>
            </w:r>
          </w:p>
        </w:tc>
        <w:tc>
          <w:tcPr>
            <w:tcW w:type="dxa" w:w="1002"/>
          </w:tcPr>
          <w:p>
            <w:r>
              <w:rPr>
                <w:rFonts w:ascii="Arial" w:hAnsi="Arial"/>
                <w:sz w:val="16"/>
              </w:rPr>
              <w:t>2</w:t>
            </w:r>
          </w:p>
        </w:tc>
        <w:tc>
          <w:tcPr>
            <w:tcW w:type="dxa" w:w="1002"/>
          </w:tcPr>
          <w:p>
            <w:r>
              <w:rPr>
                <w:rFonts w:ascii="Arial" w:hAnsi="Arial"/>
                <w:sz w:val="16"/>
              </w:rPr>
              <w:t>-13.5</w:t>
            </w:r>
          </w:p>
        </w:tc>
        <w:tc>
          <w:tcPr>
            <w:tcW w:type="dxa" w:w="1002"/>
          </w:tcPr>
          <w:p>
            <w:r>
              <w:rPr>
                <w:rFonts w:ascii="Arial" w:hAnsi="Arial"/>
                <w:sz w:val="16"/>
              </w:rPr>
              <w:t>-16.5</w:t>
            </w:r>
          </w:p>
        </w:tc>
        <w:tc>
          <w:tcPr>
            <w:tcW w:type="dxa" w:w="1002"/>
          </w:tcPr>
          <w:p>
            <w:r>
              <w:rPr>
                <w:rFonts w:ascii="Arial" w:hAnsi="Arial"/>
                <w:sz w:val="16"/>
              </w:rPr>
              <w:t>-3.0</w:t>
            </w:r>
          </w:p>
        </w:tc>
        <w:tc>
          <w:tcPr>
            <w:tcW w:type="dxa" w:w="1002"/>
          </w:tcPr>
          <w:p>
            <w:r>
              <w:rPr>
                <w:rFonts w:ascii="Arial" w:hAnsi="Arial"/>
                <w:sz w:val="16"/>
              </w:rPr>
              <w:t>-8.5</w:t>
            </w:r>
          </w:p>
        </w:tc>
        <w:tc>
          <w:tcPr>
            <w:tcW w:type="dxa" w:w="1002"/>
          </w:tcPr>
          <w:p>
            <w:r>
              <w:rPr>
                <w:rFonts w:ascii="Arial" w:hAnsi="Arial"/>
                <w:sz w:val="16"/>
              </w:rPr>
              <w:t>-10.0</w:t>
            </w:r>
          </w:p>
        </w:tc>
        <w:tc>
          <w:tcPr>
            <w:tcW w:type="dxa" w:w="1002"/>
          </w:tcPr>
          <w:p>
            <w:r>
              <w:rPr>
                <w:rFonts w:ascii="Arial" w:hAnsi="Arial"/>
                <w:sz w:val="16"/>
              </w:rPr>
              <w:t>-1.5</w:t>
            </w:r>
          </w:p>
        </w:tc>
        <w:tc>
          <w:tcPr>
            <w:tcW w:type="dxa" w:w="1002"/>
          </w:tcPr>
          <w:p>
            <w:r>
              <w:rPr>
                <w:rFonts w:ascii="Arial" w:hAnsi="Arial"/>
                <w:sz w:val="16"/>
              </w:rPr>
              <w:t>-5.0</w:t>
            </w:r>
          </w:p>
        </w:tc>
        <w:tc>
          <w:tcPr>
            <w:tcW w:type="dxa" w:w="1002"/>
          </w:tcPr>
          <w:p>
            <w:r>
              <w:rPr>
                <w:rFonts w:ascii="Arial" w:hAnsi="Arial"/>
                <w:sz w:val="16"/>
              </w:rPr>
              <w:t>-6.5</w:t>
            </w:r>
          </w:p>
        </w:tc>
        <w:tc>
          <w:tcPr>
            <w:tcW w:type="dxa" w:w="1002"/>
          </w:tcPr>
          <w:p>
            <w:r>
              <w:rPr>
                <w:rFonts w:ascii="Arial" w:hAnsi="Arial"/>
                <w:sz w:val="16"/>
              </w:rPr>
              <w:t>-1.5</w:t>
            </w:r>
          </w:p>
        </w:tc>
        <w:tc>
          <w:tcPr>
            <w:tcW w:type="dxa" w:w="1002"/>
          </w:tcPr>
          <w:p>
            <w:r>
              <w:rPr>
                <w:rFonts w:ascii="Arial" w:hAnsi="Arial"/>
                <w:sz w:val="16"/>
              </w:rPr>
              <w:t>10</w:t>
            </w:r>
          </w:p>
        </w:tc>
        <w:tc>
          <w:tcPr>
            <w:tcW w:type="dxa" w:w="1002"/>
          </w:tcPr>
          <w:p>
            <w:r>
              <w:rPr>
                <w:rFonts w:ascii="Arial" w:hAnsi="Arial"/>
                <w:sz w:val="16"/>
              </w:rPr>
              <w:t>8</w:t>
            </w:r>
          </w:p>
        </w:tc>
        <w:tc>
          <w:tcPr>
            <w:tcW w:type="dxa" w:w="1002"/>
          </w:tcPr>
          <w:p>
            <w:r>
              <w:rPr>
                <w:rFonts w:ascii="Arial" w:hAnsi="Arial"/>
                <w:sz w:val="16"/>
              </w:rPr>
              <w:t>9</w:t>
            </w:r>
          </w:p>
        </w:tc>
      </w:tr>
    </w:tbl>
    <w:p>
      <w:r>
        <w:rPr>
          <w:rFonts w:ascii="Arial" w:hAnsi="Arial"/>
          <w:i/>
          <w:sz w:val="18"/>
        </w:rPr>
        <w:br/>
        <w:t>VH and VV are calibrated dual-polarisation backscatter in decibels (Sentinel-1 IW GRD). CR = VH − VV (dB) is the cross-ratio. Onset rate is the time from baseline to trough minimum. Recovery is the e-folding time from trough to within 1 dB of baseline. Values are canonical idealisations calibrated against Hoshikawa et al. (2023), Wali et al. (2020), Filipponi (2019), Konkathi et al. (2024), and Lee &amp; Pottier (2009); they specify the feature space exploited by the Module 02 random-forest classifier (§3.3) and are not produced by direct measurement.</w:t>
      </w:r>
    </w:p>
    <w:p>
      <w:r>
        <w:rPr>
          <w:rFonts w:ascii="Arial" w:hAnsi="Arial"/>
          <w:sz w:val="20"/>
        </w:rPr>
        <w:br w:type="page"/>
      </w:r>
    </w:p>
    <w:p>
      <w:pPr>
        <w:keepNext/>
        <w:spacing w:before="240" w:after="120"/>
      </w:pPr>
      <w:bookmarkStart w:id="93024" w:name="figure_s1"/>
      <w:r>
        <w:rPr>
          <w:rFonts w:ascii="Arial" w:hAnsi="Arial"/>
          <w:b/>
          <w:color w:val="1F3A5F"/>
          <w:sz w:val="32"/>
        </w:rPr>
        <w:t>Figure S1 — Pre-Kharif cyclone climatology</w:t>
      </w:r>
      <w:bookmarkEnd w:id="93024"/>
    </w:p>
    <w:p>
      <w:pPr>
        <w:jc w:val="center"/>
      </w:pPr>
      <w:r>
        <w:rPr>
          <w:rFonts w:ascii="Arial" w:hAnsi="Arial"/>
          <w:sz w:val="20"/>
        </w:rPr>
        <w:drawing>
          <wp:inline xmlns:a="http://schemas.openxmlformats.org/drawingml/2006/main" xmlns:pic="http://schemas.openxmlformats.org/drawingml/2006/picture">
            <wp:extent cx="5943600" cy="2374055"/>
            <wp:docPr id="1" name="Picture 1"/>
            <wp:cNvGraphicFramePr>
              <a:graphicFrameLocks noChangeAspect="1"/>
            </wp:cNvGraphicFramePr>
            <a:graphic>
              <a:graphicData uri="http://schemas.openxmlformats.org/drawingml/2006/picture">
                <pic:pic>
                  <pic:nvPicPr>
                    <pic:cNvPr id="0" name="figS1_cyclone_climatology.png"/>
                    <pic:cNvPicPr/>
                  </pic:nvPicPr>
                  <pic:blipFill>
                    <a:blip r:embed="rId10"/>
                    <a:stretch>
                      <a:fillRect/>
                    </a:stretch>
                  </pic:blipFill>
                  <pic:spPr>
                    <a:xfrm>
                      <a:off x="0" y="0"/>
                      <a:ext cx="5943600" cy="2374055"/>
                    </a:xfrm>
                    <a:prstGeom prst="rect"/>
                  </pic:spPr>
                </pic:pic>
              </a:graphicData>
            </a:graphic>
          </wp:inline>
        </w:drawing>
      </w:r>
    </w:p>
    <w:p>
      <w:pPr>
        <w:spacing w:before="120"/>
        <w:jc w:val="both"/>
      </w:pPr>
      <w:r>
        <w:rPr>
          <w:rFonts w:ascii="Arial" w:hAnsi="Arial"/>
          <w:b/>
          <w:sz w:val="18"/>
        </w:rPr>
        <w:t xml:space="preserve">Figure S1. </w:t>
      </w:r>
      <w:r>
        <w:rPr>
          <w:rFonts w:ascii="Arial" w:hAnsi="Arial"/>
          <w:i/>
          <w:sz w:val="18"/>
        </w:rPr>
        <w:t>Track-genesis schematic (left) and intensity-vs-DOY scatter on Saffir-Simpson bands (right). Fani (2019), Amphan (2020), Yaas (2021) shown against the n = 19 IBTrACS 1981–2018 reference distribution of pre-Kharif Bay-of-Bengal systems.</w:t>
      </w:r>
    </w:p>
    <w:p>
      <w:r>
        <w:rPr>
          <w:rFonts w:ascii="Arial" w:hAnsi="Arial"/>
          <w:sz w:val="20"/>
        </w:rPr>
        <w:br w:type="page"/>
      </w:r>
    </w:p>
    <w:p>
      <w:pPr>
        <w:keepNext/>
        <w:spacing w:before="240" w:after="120"/>
      </w:pPr>
      <w:bookmarkStart w:id="46430" w:name="figure_s2"/>
      <w:r>
        <w:rPr>
          <w:rFonts w:ascii="Arial" w:hAnsi="Arial"/>
          <w:b/>
          <w:color w:val="1F3A5F"/>
          <w:sz w:val="32"/>
        </w:rPr>
        <w:t>Figure S2 — Canonical Sentinel-1 backscatter signatures</w:t>
      </w:r>
      <w:bookmarkEnd w:id="46430"/>
    </w:p>
    <w:p>
      <w:pPr>
        <w:jc w:val="center"/>
      </w:pPr>
      <w:r>
        <w:rPr>
          <w:rFonts w:ascii="Arial" w:hAnsi="Arial"/>
          <w:sz w:val="20"/>
        </w:rPr>
        <w:drawing>
          <wp:inline xmlns:a="http://schemas.openxmlformats.org/drawingml/2006/main" xmlns:pic="http://schemas.openxmlformats.org/drawingml/2006/picture">
            <wp:extent cx="5943600" cy="6257393"/>
            <wp:docPr id="2" name="Picture 2"/>
            <wp:cNvGraphicFramePr>
              <a:graphicFrameLocks noChangeAspect="1"/>
            </wp:cNvGraphicFramePr>
            <a:graphic>
              <a:graphicData uri="http://schemas.openxmlformats.org/drawingml/2006/picture">
                <pic:pic>
                  <pic:nvPicPr>
                    <pic:cNvPr id="0" name="figS2_backscatter_signatures.png"/>
                    <pic:cNvPicPr/>
                  </pic:nvPicPr>
                  <pic:blipFill>
                    <a:blip r:embed="rId11"/>
                    <a:stretch>
                      <a:fillRect/>
                    </a:stretch>
                  </pic:blipFill>
                  <pic:spPr>
                    <a:xfrm>
                      <a:off x="0" y="0"/>
                      <a:ext cx="5943600" cy="6257393"/>
                    </a:xfrm>
                    <a:prstGeom prst="rect"/>
                  </pic:spPr>
                </pic:pic>
              </a:graphicData>
            </a:graphic>
          </wp:inline>
        </w:drawing>
      </w:r>
    </w:p>
    <w:p>
      <w:pPr>
        <w:spacing w:before="120"/>
        <w:jc w:val="both"/>
      </w:pPr>
      <w:r>
        <w:rPr>
          <w:rFonts w:ascii="Arial" w:hAnsi="Arial"/>
          <w:b/>
          <w:sz w:val="18"/>
        </w:rPr>
        <w:t xml:space="preserve">Figure S2. </w:t>
      </w:r>
      <w:r>
        <w:rPr>
          <w:rFonts w:ascii="Arial" w:hAnsi="Arial"/>
          <w:i/>
          <w:sz w:val="18"/>
        </w:rPr>
        <w:t>Three-panel stack (VH cross-pol, VV co-pol, CR cross-ratio vs day-of-year) for transplanting flood, saline storm-surge, and freshwater rainfall ponding mechanisms. Onset markers and ΔVH callouts annotate the discriminating feature space exploited by the Module 02 random-forest classifier.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Supplement — page </w:t>
    </w:r>
    <w:r>
      <w:rPr>
        <w:rFonts w:ascii="Arial" w:hAnsi="Arial"/>
        <w:sz w:val="18"/>
      </w:rPr>
      <w:fldChar w:fldCharType="begin"/>
      <w:instrText>PAGE</w:instrText>
      <w:fldChar w:fldCharType="end"/>
    </w:r>
    <w:r>
      <w:rPr>
        <w:rFonts w:ascii="Arial" w:hAnsi="Arial"/>
        <w:sz w:val="18"/>
      </w:rPr>
      <w:t xml:space="preserve"> of </w:t>
    </w:r>
    <w:r>
      <w:rPr>
        <w:rFonts w:ascii="Arial" w:hAnsi="Arial"/>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