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nearly 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the 95% CI still includes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rPr>
          <w:b/>
          <w:bCs/>
        </w:rPr>
        <w:t xml:space="preserve">Open-science and provenance.</w:t>
      </w:r>
      <w:r>
        <w:t xml:space="preserve"> </w:t>
      </w:r>
      <w:r>
        <w:t xml:space="preserve">OSF — Open Science Framework; DOI — Digital Object Identifier; ORCID — Open Researcher and Contributor ID; SHA-256 — Secure Hash Algorithm 256-bit; URL — Uniform Resource Locator; ID — identifier; CC-BY-4.0 — Creative Commons Attribution 4.0 International licence; SLA — service-level agreement; AI — artificial intelligence (used only in the Generative-AI declaration). Journal and conference acronyms appearing in the reference list (e.g., TGRS, IGARSS, JAG, ISPRS, IEEE, EGU, ECRS) are used in the conventional bibliographic sense and follow each publisher’s standard usage. Mathematical and statistical symbols introduced within specific equations (e.g., (Y_{dt}), (</w:t>
      </w:r>
      <w:r>
        <w:t xml:space="preserve">_d), (</w:t>
      </w:r>
      <w:r>
        <w:t xml:space="preserve">_1), (</w:t>
      </w:r>
      <w:r>
        <w:rPr>
          <w:i/>
          <w:iCs/>
        </w:rPr>
        <w:t xml:space="preserve">2), (</w:t>
      </w:r>
      <w:r>
        <w:t xml:space="preserve">{dt}), (</w:t>
      </w:r>
      <w:r>
        <w:t xml:space="preserve">), (t)) are defined at first use in §3.6 and Supplementary Note S1.</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West Bengal (Sundarbans)</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8"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9"/>
    <w:bookmarkStart w:id="40"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WCR 95 % CI [−54.14, +84.36]),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WCR 95 % CI [−15.27, +7.91],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WCR 95 % CI [−0.92, +0.44]),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(per-district nonzero pixel-share among the five coastal treatment districts: Fani 0.10–2.52 %, Amphan 0.04–1.92 %, Yaas 0.42–7.21 %; Table S13a,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(per-district nonzero pixel-share across the five coastal treatment districts: Fani 0.10–2.52 %, Amphan 0.04–1.92 %, Yaas 0.42–7.21 %; Table S13a)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the Data Availability Statement and the title block.*</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