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4477" w:name="provenance"/>
      <w:r>
        <w:rPr>
          <w:rFonts w:ascii="Arial" w:hAnsi="Arial"/>
          <w:b/>
          <w:color w:val="A12C7B"/>
          <w:sz w:val="32"/>
        </w:rPr>
        <w:t>Data provenance declaration</w:t>
      </w:r>
      <w:bookmarkEnd w:id="5447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6170" w:name="toc"/>
      <w:r>
        <w:rPr>
          <w:rFonts w:ascii="Arial" w:hAnsi="Arial"/>
          <w:b/>
          <w:color w:val="141414"/>
          <w:sz w:val="32"/>
        </w:rPr>
        <w:t>Contents</w:t>
      </w:r>
      <w:bookmarkEnd w:id="4617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47338" w:name="note_s1"/>
      <w:r>
        <w:rPr>
          <w:rFonts w:ascii="Arial" w:hAnsi="Arial"/>
          <w:b/>
          <w:color w:val="1F3A5F"/>
          <w:sz w:val="32"/>
        </w:rPr>
        <w:t>Note S1 — Bulbul (2019) transferability probe</w:t>
      </w:r>
      <w:bookmarkEnd w:id="4733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Style w:val="VerbatimCha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Style w:val="VerbatimCha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Style w:val="VerbatimCha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Style w:val="VerbatimChar"/>
          <w:rFonts w:ascii="Arial" w:hAnsi="Arial"/>
          <w:sz w:val="20"/>
        </w:rPr>
        <w:t xml:space="preserve">…/probe_residuals_real_v21.csv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…/probe_summary_real_v21.csv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t>1.96</m:t>
            </m:r>
            <m:r>
              <m:rPr>
                <m:sty m:val="p"/>
              </m:rPr>
              <m:t>⋅</m:t>
            </m:r>
            <m:r>
              <m:rPr>
                <m:sty m:val="p"/>
              </m:rPr>
              <m:t>S</m:t>
            </m:r>
            <m:r>
              <m:rPr>
                <m:sty m:val="p"/>
              </m:rPr>
              <m:t>E</m:t>
            </m:r>
            <m:d>
              <m:dPr>
                <m:begChr m:val="("/>
                <m:endChr m:val=")"/>
                <m:sepChr m:val=""/>
                <m:grow/>
              </m:dPr>
              <m:e>
                <m:acc>
                  <m:accPr>
                    <m:chr m:val="̂"/>
                  </m:accPr>
                  <m:e>
                    <m:r>
                      <m:t>τ</m:t>
                    </m:r>
                  </m:e>
                </m:acc>
              </m:e>
            </m:d>
          </m:e>
        </m:d>
      </m:oMath>
      <w:r>
        <w:rPr>
          <w:rFonts w:ascii="Arial" w:hAnsi="Arial"/>
          <w:sz w:val="20"/>
        </w:rPr>
        <w:t xml:space="preserve"> </w:t>
      </w:r>
      <w:r>
        <w:rPr>
          <w:rFonts w:ascii="Arial" w:hAnsi="Arial"/>
          <w:sz w:val="20"/>
        </w:rPr>
        <w:t xml:space="preserve">derived from the TWFE-clustered standard error in Table S1. In the v1.0.1-submission release the plug-in value is</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w:t>
      </w:r>
      <w:r>
        <w:rPr>
          <w:rFonts w:ascii="Arial" w:hAnsi="Arial"/>
          <w:sz w:val="20"/>
        </w:rPr>
        <w:t xml:space="preserve">with</w:t>
      </w:r>
      <w:r>
        <w:rPr>
          <w:rFonts w:ascii="Arial" w:hAnsi="Arial"/>
          <w:sz w:val="20"/>
        </w:rPr>
        <w:t xml:space="preserve"> </w:t>
      </w:r>
      <m:oMath>
        <m:r>
          <m:rPr>
            <m:sty m:val="p"/>
          </m:rPr>
          <m:t>S</m:t>
        </m:r>
        <m:r>
          <m:rPr>
            <m:sty m:val="p"/>
          </m:rPr>
          <m:t>E</m:t>
        </m:r>
        <m:d>
          <m:dPr>
            <m:begChr m:val="("/>
            <m:endChr m:val=")"/>
            <m:sepChr m:val=""/>
            <m:grow/>
          </m:dPr>
          <m:e>
            <m:acc>
              <m:accPr>
                <m:chr m:val="̂"/>
              </m:accPr>
              <m:e>
                <m:r>
                  <m:t>τ</m:t>
                </m:r>
              </m:e>
            </m:acc>
          </m:e>
        </m:d>
        <m:r>
          <m:rPr>
            <m:sty m:val="p"/>
          </m:rPr>
          <m:t>=</m:t>
        </m:r>
        <m:r>
          <m:t>17.312</m:t>
        </m:r>
        <m:r>
          <m:t> </m:t>
        </m:r>
        <m:r>
          <m:rPr>
            <m:sty m:val="p"/>
          </m:rPr>
          <m:t>d</m:t>
        </m:r>
      </m:oMath>
      <w:r>
        <w:rPr>
          <w:rFonts w:ascii="Arial" w:hAnsi="Arial"/>
          <w:sz w:val="20"/>
        </w:rPr>
        <w:t xml:space="preserve"> </w:t>
      </w:r>
      <w:r>
        <w:rPr>
          <w:rFonts w:ascii="Arial" w:hAnsi="Arial"/>
          <w:sz w:val="20"/>
        </w:rPr>
        <w:t xml:space="preserve">(95% PI</w:t>
      </w:r>
      <w:r>
        <w:rPr>
          <w:rFonts w:ascii="Arial" w:hAnsi="Arial"/>
          <w:sz w:val="20"/>
        </w:rPr>
        <w:t xml:space="preserve"> </w:t>
      </w:r>
      <m:oMath>
        <m:d>
          <m:dPr>
            <m:begChr m:val="["/>
            <m:endChr m:val="]"/>
            <m:sepChr m:val=""/>
            <m:grow/>
          </m:dPr>
          <m:e>
            <m:r>
              <m:rPr>
                <m:sty m:val="p"/>
              </m:rPr>
              <m:t>−</m:t>
            </m:r>
            <m:r>
              <m:t>18.82</m:t>
            </m:r>
            <m:r>
              <m:rPr>
                <m:sty m:val="p"/>
              </m:rPr>
              <m:t>,</m:t>
            </m:r>
            <m:r>
              <m:rPr>
                <m:sty m:val="p"/>
              </m:rPr>
              <m:t>+</m:t>
            </m:r>
            <m:r>
              <m:t>49.04</m:t>
            </m:r>
          </m:e>
        </m:d>
        <m:r>
          <m:t> </m:t>
        </m:r>
        <m:r>
          <m:rPr>
            <m:sty m:val="p"/>
          </m:rPr>
          <m:t>d</m:t>
        </m:r>
      </m:oMath>
      <w:r>
        <w:rPr>
          <w:rFonts w:ascii="Arial" w:hAnsi="Arial"/>
          <w:sz w:val="20"/>
        </w:rPr>
        <w:t xml:space="preserve">).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pStyle w:val="FirstParagraph"/>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Style w:val="VerbatimCha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Style w:val="VerbatimCha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 xml:space="preserve">Per-district residuals.</w:t>
      </w:r>
      <w:r>
        <w:rPr>
          <w:rFonts w:ascii="Arial" w:hAnsi="Arial"/>
          <w:sz w:val="20"/>
        </w:rPr>
        <w:t xml:space="preserve"> </w:t>
      </w:r>
      <w:r>
        <w:rPr>
          <w:rFonts w:ascii="Arial" w:hAnsi="Arial"/>
          <w:sz w:val="20"/>
        </w:rPr>
        <w:t xml:space="preserve">Table 1 summarises the per-district observed pre-Kharif SOS shift</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relative to the within-district 2017–2018 baseline, the plug-in prediction</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15.108</m:t>
        </m:r>
        <m:r>
          <m:t> </m:t>
        </m:r>
        <m:r>
          <m:rPr>
            <m:sty m:val="p"/>
          </m:rPr>
          <m:t>d</m:t>
        </m:r>
      </m:oMath>
      <w:r>
        <w:rPr>
          <w:rFonts w:ascii="Arial" w:hAnsi="Arial"/>
          <w:sz w:val="20"/>
        </w:rPr>
        <w:t xml:space="preserve">, and the transferability residual</w:t>
      </w:r>
      <w:r>
        <w:rPr>
          <w:rFonts w:ascii="Arial" w:hAnsi="Arial"/>
          <w:sz w:val="20"/>
        </w:rPr>
        <w:t xml:space="preserve"> </w:t>
      </w: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acc>
          <m:accPr>
            <m:chr m:val="̂"/>
          </m:accPr>
          <m:e>
            <m:r>
              <m:t>τ</m:t>
            </m:r>
          </m:e>
        </m:acc>
      </m:oMath>
      <w:r>
        <w:rPr>
          <w:rFonts w:ascii="Arial" w:hAnsi="Arial"/>
          <w:sz w:val="20"/>
        </w:rPr>
        <w:t xml:space="preserve">. The empirical idiosyncratic SD across the four probe baselines is</w:t>
      </w:r>
      <w:r>
        <w:rPr>
          <w:rFonts w:ascii="Arial" w:hAnsi="Arial"/>
          <w:sz w:val="20"/>
        </w:rPr>
        <w:t xml:space="preserve"> </w:t>
      </w:r>
      <m:oMath>
        <m:sSub>
          <m:e>
            <m:acc>
              <m:accPr>
                <m:chr m:val="̂"/>
              </m:accPr>
              <m:e>
                <m:r>
                  <m:t>σ</m:t>
                </m:r>
              </m:e>
            </m:acc>
          </m:e>
          <m:sub>
            <m:r>
              <m:rPr>
                <m:sty m:val="p"/>
              </m:rPr>
              <m:t>i</m:t>
            </m:r>
            <m:r>
              <m:rPr>
                <m:sty m:val="p"/>
              </m:rPr>
              <m:t>d</m:t>
            </m:r>
            <m:r>
              <m:rPr>
                <m:sty m:val="p"/>
              </m:rPr>
              <m:t>i</m:t>
            </m:r>
            <m:r>
              <m:rPr>
                <m:sty m:val="p"/>
              </m:rPr>
              <m:t>o</m:t>
            </m:r>
          </m:sub>
        </m:sSub>
        <m:r>
          <m:rPr>
            <m:sty m:val="p"/>
          </m:rPr>
          <m:t>=</m:t>
        </m:r>
        <m:r>
          <m:t>19.88</m:t>
        </m:r>
        <m:r>
          <m:t> </m:t>
        </m:r>
        <m:r>
          <m:rPr>
            <m:sty m:val="p"/>
          </m:rPr>
          <m:t>d</m:t>
        </m:r>
      </m:oMath>
      <w:r>
        <w:rPr>
          <w:rFonts w:ascii="Arial" w:hAnsi="Arial"/>
          <w:sz w:val="20"/>
        </w:rPr>
        <w:t xml:space="preserve">, yielding a 95% prediction interval of</w:t>
      </w:r>
      <w:r>
        <w:rPr>
          <w:rFonts w:ascii="Arial" w:hAnsi="Arial"/>
          <w:sz w:val="20"/>
        </w:rPr>
        <w:t xml:space="preserve"> </w:t>
      </w:r>
      <m:oMath>
        <m:acc>
          <m:accPr>
            <m:chr m:val="̂"/>
          </m:accPr>
          <m:e>
            <m:r>
              <m:t>τ</m:t>
            </m:r>
          </m:e>
        </m:acc>
        <m:r>
          <m:rPr>
            <m:sty m:val="p"/>
          </m:rPr>
          <m:t>±</m:t>
        </m:r>
        <m:r>
          <m:t>1.96</m:t>
        </m:r>
        <m:r>
          <m:rPr>
            <m:sty m:val="p"/>
          </m:rPr>
          <m:t>⋅</m:t>
        </m:r>
        <m:rad>
          <m:radPr>
            <m:degHide m:val="on"/>
          </m:radPr>
          <m:deg/>
          <m:e>
            <m:sSup>
              <m:e>
                <m:r>
                  <m:rPr>
                    <m:sty m:val="p"/>
                  </m:rPr>
                  <m:t>S</m:t>
                </m:r>
                <m:r>
                  <m:rPr>
                    <m:sty m:val="p"/>
                  </m:rPr>
                  <m:t>E</m:t>
                </m:r>
              </m:e>
              <m:sup>
                <m:r>
                  <m:t>2</m:t>
                </m:r>
              </m:sup>
            </m:sSup>
            <m:r>
              <m:rPr>
                <m:sty m:val="p"/>
              </m:rPr>
              <m:t>+</m:t>
            </m:r>
            <m:sSubSup>
              <m:e>
                <m:acc>
                  <m:accPr>
                    <m:chr m:val="̂"/>
                  </m:accPr>
                  <m:e>
                    <m:r>
                      <m:t>σ</m:t>
                    </m:r>
                  </m:e>
                </m:acc>
              </m:e>
              <m:sub>
                <m:r>
                  <m:rPr>
                    <m:sty m:val="p"/>
                  </m:rPr>
                  <m:t>i</m:t>
                </m:r>
                <m:r>
                  <m:rPr>
                    <m:sty m:val="p"/>
                  </m:rPr>
                  <m:t>d</m:t>
                </m:r>
                <m:r>
                  <m:rPr>
                    <m:sty m:val="p"/>
                  </m:rPr>
                  <m:t>i</m:t>
                </m:r>
                <m:r>
                  <m:rPr>
                    <m:sty m:val="p"/>
                  </m:rPr>
                  <m:t>o</m:t>
                </m:r>
              </m:sub>
              <m:sup>
                <m:r>
                  <m:t>2</m:t>
                </m:r>
              </m:sup>
            </m:sSubSup>
          </m:e>
        </m:rad>
      </m:oMath>
      <w:r>
        <w:rPr>
          <w:rFonts w:ascii="Arial" w:hAnsi="Arial"/>
          <w:sz w:val="20"/>
        </w:rPr>
        <w:t xml:space="preserve"> </w:t>
      </w:r>
      <w:r>
        <w:rPr>
          <w:rFonts w:ascii="Arial" w:hAnsi="Arial"/>
          <w:sz w:val="20"/>
        </w:rPr>
        <w:t xml:space="preserve">=</w:t>
      </w:r>
      <w:r>
        <w:rPr>
          <w:rFonts w:ascii="Arial" w:hAnsi="Arial"/>
          <w:sz w:val="20"/>
        </w:rPr>
        <w:t xml:space="preserve"> </w:t>
      </w:r>
      <m:oMath>
        <m:d>
          <m:dPr>
            <m:begChr m:val="["/>
            <m:endChr m:val="]"/>
            <m:sepChr m:val=""/>
            <m:grow/>
          </m:dPr>
          <m:e>
            <m:r>
              <m:rPr>
                <m:sty m:val="p"/>
              </m:rPr>
              <m:t>−</m:t>
            </m:r>
            <m:r>
              <m:t>36.57</m:t>
            </m:r>
            <m:r>
              <m:rPr>
                <m:sty m:val="p"/>
              </m:rPr>
              <m:t>,</m:t>
            </m:r>
            <m:r>
              <m:rPr>
                <m:sty m:val="p"/>
              </m:rPr>
              <m:t>+</m:t>
            </m:r>
            <m:r>
              <m:t>66.78</m:t>
            </m:r>
          </m:e>
        </m:d>
        <m:r>
          <m:t> </m:t>
        </m:r>
        <m:r>
          <m:rPr>
            <m:sty m:val="p"/>
          </m:rPr>
          <m:t>d</m:t>
        </m:r>
      </m:oMath>
      <w:r>
        <w:rPr>
          <w:rFonts w:ascii="Arial" w:hAnsi="Arial"/>
          <w:sz w:val="20"/>
        </w:rPr>
        <w:t xml:space="preserve">.</w:t>
      </w:r>
    </w:p>
    <w:tbl>
      <w:tblPr>
        <w:tblStyle w:val="Table"/>
        <w:tblW w:type="pct" w:w="5000"/>
        <w:jc w:val="left"/>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w:r>
              <w:rPr>
                <w:rFonts w:ascii="Arial" w:hAnsi="Arial"/>
                <w:sz w:val="18"/>
              </w:rPr>
              <w:t xml:space="preserve">SOS baseline (DOY)</w:t>
            </w:r>
          </w:p>
        </w:tc>
        <w:tc>
          <w:tcPr/>
          <w:p>
            <w:pPr>
              <w:pStyle w:val="Compact"/>
              <w:jc w:val="right"/>
            </w:pPr>
            <w:r>
              <w:rPr>
                <w:rFonts w:ascii="Arial" w:hAnsi="Arial"/>
                <w:sz w:val="18"/>
              </w:rPr>
              <w:t xml:space="preserve">SOS ′2020 (DOY)</w:t>
            </w:r>
          </w:p>
        </w:tc>
        <w:tc>
          <w:tcPr/>
          <w:p>
            <w:pPr>
              <w:pStyle w:val="Compact"/>
              <w:jc w:val="right"/>
            </w:pPr>
            <m:oMath>
              <m:sSub>
                <m:e>
                  <m:r>
                    <m:t>Δ</m:t>
                  </m:r>
                </m:e>
                <m:sub>
                  <m:r>
                    <m:rPr>
                      <m:sty m:val="p"/>
                    </m:rPr>
                    <m:t>o</m:t>
                  </m:r>
                  <m:r>
                    <m:rPr>
                      <m:sty m:val="p"/>
                    </m:rPr>
                    <m:t>b</m:t>
                  </m:r>
                  <m:r>
                    <m:rPr>
                      <m:sty m:val="p"/>
                    </m:rPr>
                    <m:t>s</m:t>
                  </m:r>
                  <m:r>
                    <m:rPr>
                      <m:sty m:val="p"/>
                    </m:rPr>
                    <m:t>,</m:t>
                  </m:r>
                  <m:r>
                    <m:t>d</m:t>
                  </m:r>
                </m:sub>
              </m:sSub>
            </m:oMath>
            <w:r>
              <w:rPr>
                <w:rFonts w:ascii="Arial" w:hAnsi="Arial"/>
                <w:sz w:val="18"/>
              </w:rPr>
              <w:t xml:space="preserve"> </w:t>
            </w:r>
            <w:r>
              <w:rPr>
                <w:rFonts w:ascii="Arial" w:hAnsi="Arial"/>
                <w:sz w:val="18"/>
              </w:rPr>
              <w:t xml:space="preserve">(d)</w:t>
            </w:r>
          </w:p>
        </w:tc>
        <w:tc>
          <w:tcPr/>
          <w:p>
            <w:pPr>
              <w:pStyle w:val="Compact"/>
              <w:jc w:val="right"/>
            </w:pPr>
            <m:oMath>
              <m:sSub>
                <m:e>
                  <m:r>
                    <m:t>r</m:t>
                  </m:r>
                </m:e>
                <m:sub>
                  <m:r>
                    <m:t>d</m:t>
                  </m:r>
                </m:sub>
              </m:sSub>
            </m:oMath>
            <w:r>
              <w:rPr>
                <w:rFonts w:ascii="Arial" w:hAnsi="Arial"/>
                <w:sz w:val="18"/>
              </w:rPr>
              <w:t xml:space="preserve"> </w:t>
            </w:r>
            <w:r>
              <w:rPr>
                <w:rFonts w:ascii="Arial" w:hAnsi="Arial"/>
                <w:sz w:val="18"/>
              </w:rPr>
              <w:t xml:space="preserve">(d)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169.4</w:t>
            </w:r>
          </w:p>
        </w:tc>
        <w:tc>
          <w:tcPr/>
          <w:p>
            <w:pPr>
              <w:pStyle w:val="Compact"/>
              <w:jc w:val="right"/>
            </w:pPr>
            <w:r>
              <w:rPr>
                <w:rFonts w:ascii="Arial" w:hAnsi="Arial"/>
                <w:sz w:val="18"/>
              </w:rPr>
              <w:t xml:space="preserve">176.4</w:t>
            </w:r>
          </w:p>
        </w:tc>
        <w:tc>
          <w:tcPr/>
          <w:p>
            <w:pPr>
              <w:pStyle w:val="Compact"/>
              <w:jc w:val="right"/>
            </w:pPr>
            <w:r>
              <w:rPr>
                <w:rFonts w:ascii="Arial" w:hAnsi="Arial"/>
                <w:sz w:val="18"/>
              </w:rPr>
              <w:t xml:space="preserve">+7.0</w:t>
            </w:r>
          </w:p>
        </w:tc>
        <w:tc>
          <w:tcPr/>
          <w:p>
            <w:pPr>
              <w:pStyle w:val="Compact"/>
              <w:jc w:val="right"/>
            </w:pPr>
            <w:r>
              <w:rPr>
                <w:rFonts w:ascii="Arial" w:hAnsi="Arial"/>
                <w:sz w:val="18"/>
              </w:rPr>
              <w:t xml:space="preserve">−8.11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184.4</w:t>
            </w:r>
          </w:p>
        </w:tc>
        <w:tc>
          <w:tcPr/>
          <w:p>
            <w:pPr>
              <w:pStyle w:val="Compact"/>
              <w:jc w:val="right"/>
            </w:pPr>
            <w:r>
              <w:rPr>
                <w:rFonts w:ascii="Arial" w:hAnsi="Arial"/>
                <w:sz w:val="18"/>
              </w:rPr>
              <w:t xml:space="preserve">198.3</w:t>
            </w:r>
          </w:p>
        </w:tc>
        <w:tc>
          <w:tcPr/>
          <w:p>
            <w:pPr>
              <w:pStyle w:val="Compact"/>
              <w:jc w:val="right"/>
            </w:pPr>
            <w:r>
              <w:rPr>
                <w:rFonts w:ascii="Arial" w:hAnsi="Arial"/>
                <w:sz w:val="18"/>
              </w:rPr>
              <w:t xml:space="preserve">+14.0</w:t>
            </w:r>
          </w:p>
        </w:tc>
        <w:tc>
          <w:tcPr/>
          <w:p>
            <w:pPr>
              <w:pStyle w:val="Compact"/>
              <w:jc w:val="right"/>
            </w:pPr>
            <w:r>
              <w:rPr>
                <w:rFonts w:ascii="Arial" w:hAnsi="Arial"/>
                <w:sz w:val="18"/>
              </w:rPr>
              <w:t xml:space="preserve">−1.11</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coastal_rainfall</w:t>
            </w:r>
          </w:p>
        </w:tc>
        <w:tc>
          <w:tcPr/>
          <w:p>
            <w:pPr>
              <w:pStyle w:val="Compact"/>
              <w:jc w:val="right"/>
            </w:pPr>
            <w:r>
              <w:rPr>
                <w:rFonts w:ascii="Arial" w:hAnsi="Arial"/>
                <w:sz w:val="18"/>
              </w:rPr>
              <w:t xml:space="preserve">141.7</w:t>
            </w:r>
          </w:p>
        </w:tc>
        <w:tc>
          <w:tcPr/>
          <w:p>
            <w:pPr>
              <w:pStyle w:val="Compact"/>
              <w:jc w:val="right"/>
            </w:pPr>
            <w:r>
              <w:rPr>
                <w:rFonts w:ascii="Arial" w:hAnsi="Arial"/>
                <w:sz w:val="18"/>
              </w:rPr>
              <w:t xml:space="preserve">179.3</w:t>
            </w:r>
          </w:p>
        </w:tc>
        <w:tc>
          <w:tcPr/>
          <w:p>
            <w:pPr>
              <w:pStyle w:val="Compact"/>
              <w:jc w:val="right"/>
            </w:pPr>
            <w:r>
              <w:rPr>
                <w:rFonts w:ascii="Arial" w:hAnsi="Arial"/>
                <w:sz w:val="18"/>
              </w:rPr>
              <w:t xml:space="preserve">+37.6</w:t>
            </w:r>
          </w:p>
        </w:tc>
        <w:tc>
          <w:tcPr/>
          <w:p>
            <w:pPr>
              <w:pStyle w:val="Compact"/>
              <w:jc w:val="right"/>
            </w:pPr>
            <w:r>
              <w:rPr>
                <w:rFonts w:ascii="Arial" w:hAnsi="Arial"/>
                <w:sz w:val="18"/>
              </w:rPr>
              <w:t xml:space="preserve">+22.49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inland_rainfall</w:t>
            </w:r>
          </w:p>
        </w:tc>
        <w:tc>
          <w:tcPr/>
          <w:p>
            <w:pPr>
              <w:pStyle w:val="Compact"/>
              <w:jc w:val="right"/>
            </w:pPr>
            <w:r>
              <w:rPr>
                <w:rFonts w:ascii="Arial" w:hAnsi="Arial"/>
                <w:sz w:val="18"/>
              </w:rPr>
              <w:t xml:space="preserve">147.0</w:t>
            </w:r>
          </w:p>
        </w:tc>
        <w:tc>
          <w:tcPr/>
          <w:p>
            <w:pPr>
              <w:pStyle w:val="Compact"/>
              <w:jc w:val="right"/>
            </w:pPr>
            <w:r>
              <w:rPr>
                <w:rFonts w:ascii="Arial" w:hAnsi="Arial"/>
                <w:sz w:val="18"/>
              </w:rPr>
              <w:t xml:space="preserve">175.1</w:t>
            </w:r>
          </w:p>
        </w:tc>
        <w:tc>
          <w:tcPr/>
          <w:p>
            <w:pPr>
              <w:pStyle w:val="Compact"/>
              <w:jc w:val="right"/>
            </w:pPr>
            <w:r>
              <w:rPr>
                <w:rFonts w:ascii="Arial" w:hAnsi="Arial"/>
                <w:sz w:val="18"/>
              </w:rPr>
              <w:t xml:space="preserve">+28.1</w:t>
            </w:r>
          </w:p>
        </w:tc>
        <w:tc>
          <w:tcPr/>
          <w:p>
            <w:pPr>
              <w:pStyle w:val="Compact"/>
              <w:jc w:val="right"/>
            </w:pPr>
            <w:r>
              <w:rPr>
                <w:rFonts w:ascii="Arial" w:hAnsi="Arial"/>
                <w:sz w:val="18"/>
              </w:rPr>
              <w:t xml:space="preserve">+12.99</w:t>
            </w:r>
          </w:p>
        </w:tc>
        <w:tc>
          <w:tcPr/>
          <w:p>
            <w:pPr>
              <w:pStyle w:val="Compact"/>
              <w:jc w:val="center"/>
            </w:pPr>
            <w:r>
              <w:rPr>
                <w:rFonts w:ascii="Arial" w:hAnsi="Arial"/>
                <w:sz w:val="18"/>
              </w:rPr>
              <w:t xml:space="preserve">yes</w:t>
            </w:r>
          </w:p>
        </w:tc>
      </w:tr>
      <w:tr>
        <w:tc>
          <w:tcPr/>
          <w:p>
            <w:pPr>
              <w:pStyle w:val="Compact"/>
              <w:jc w:val="left"/>
            </w:pPr>
            <w:r>
              <w:rPr>
                <w:rFonts w:ascii="Arial" w:hAnsi="Arial"/>
                <w:b/>
                <w:bCs/>
                <w:sz w:val="18"/>
              </w:rPr>
              <w:t xml:space="preserve">Mean (n = 4)</w:t>
            </w:r>
          </w:p>
        </w:tc>
        <w:tc>
          <w:tcPr/>
          <w:p>
            <w:pPr>
              <w:pStyle w:val="Compact"/>
              <w:jc w:val="left"/>
            </w:pPr>
            <w:r>
              <w:rPr>
                <w:rFonts w:ascii="Arial" w:hAnsi="Arial"/>
                <w:b/>
                <w:bCs/>
                <w:sz w:val="18"/>
              </w:rPr>
              <w:t xml:space="preserve">—</w:t>
            </w:r>
          </w:p>
        </w:tc>
        <w:tc>
          <w:tcPr/>
          <w:p>
            <w:pPr>
              <w:pStyle w:val="Compact"/>
              <w:jc w:val="right"/>
            </w:pPr>
            <w:r>
              <w:rPr>
                <w:rFonts w:ascii="Arial" w:hAnsi="Arial"/>
                <w:b/>
                <w:bCs/>
                <w:sz w:val="18"/>
              </w:rPr>
              <w:t xml:space="preserve">160.6</w:t>
            </w:r>
          </w:p>
        </w:tc>
        <w:tc>
          <w:tcPr/>
          <w:p>
            <w:pPr>
              <w:pStyle w:val="Compact"/>
              <w:jc w:val="right"/>
            </w:pPr>
            <w:r>
              <w:rPr>
                <w:rFonts w:ascii="Arial" w:hAnsi="Arial"/>
                <w:b/>
                <w:bCs/>
                <w:sz w:val="18"/>
              </w:rPr>
              <w:t xml:space="preserve">182.3</w:t>
            </w:r>
          </w:p>
        </w:tc>
        <w:tc>
          <w:tcPr/>
          <w:p>
            <w:pPr>
              <w:pStyle w:val="Compact"/>
              <w:jc w:val="right"/>
            </w:pPr>
            <w:r>
              <w:rPr>
                <w:rFonts w:ascii="Arial" w:hAnsi="Arial"/>
                <w:b/>
                <w:bCs/>
                <w:sz w:val="18"/>
              </w:rPr>
              <w:t xml:space="preserve">+21.7</w:t>
            </w:r>
          </w:p>
        </w:tc>
        <w:tc>
          <w:tcPr/>
          <w:p>
            <w:pPr>
              <w:pStyle w:val="Compact"/>
              <w:jc w:val="right"/>
            </w:pPr>
            <w:r>
              <w:rPr>
                <w:rFonts w:ascii="Arial" w:hAnsi="Arial"/>
                <w:b/>
                <w:bCs/>
                <w:sz w:val="18"/>
              </w:rPr>
              <w:t xml:space="preserve">+6.56</w:t>
            </w:r>
          </w:p>
        </w:tc>
        <w:tc>
          <w:tcPr/>
          <w:p>
            <w:pPr>
              <w:pStyle w:val="Compact"/>
              <w:jc w:val="center"/>
            </w:pPr>
            <w:r>
              <w:rPr>
                <w:rFonts w:ascii="Arial" w:hAnsi="Arial"/>
                <w:b/>
                <w:bCs/>
                <w:sz w:val="18"/>
              </w:rPr>
              <w:t xml:space="preserve">4 / 4</w:t>
            </w:r>
          </w:p>
        </w:tc>
      </w:tr>
    </w:tbl>
    <w:p>
      <w:pPr>
        <w:pStyle w:val="BodyText"/>
      </w:pPr>
      <w:r>
        <w:rPr>
          <w:rFonts w:ascii="Arial" w:hAnsi="Arial"/>
          <w:b/>
          <w:bCs/>
          <w:sz w:val="20"/>
        </w:rPr>
        <w:t xml:space="preserve">Verdict.</w:t>
      </w:r>
      <w:r>
        <w:rPr>
          <w:rFonts w:ascii="Arial" w:hAnsi="Arial"/>
          <w:sz w:val="20"/>
        </w:rPr>
        <w:t xml:space="preserve"> </w:t>
      </w:r>
      <w:r>
        <w:rPr>
          <w:rFonts w:ascii="Arial" w:hAnsi="Arial"/>
          <w:sz w:val="20"/>
        </w:rPr>
        <w:t xml:space="preserve">Residuals on the four paddy-dominant probe districts are centred near zero (mean residual</w:t>
      </w:r>
      <w:r>
        <w:rPr>
          <w:rFonts w:ascii="Arial" w:hAnsi="Arial"/>
          <w:sz w:val="20"/>
        </w:rPr>
        <w:t xml:space="preserve"> </w:t>
      </w:r>
      <m:oMath>
        <m:acc>
          <m:accPr>
            <m:chr m:val="‾"/>
          </m:accPr>
          <m:e>
            <m:r>
              <m:t>r</m:t>
            </m:r>
          </m:e>
        </m:acc>
        <m:r>
          <m:rPr>
            <m:sty m:val="p"/>
          </m:rPr>
          <m:t>=</m:t>
        </m:r>
        <m:r>
          <m:rPr>
            <m:sty m:val="p"/>
          </m:rPr>
          <m:t>+</m:t>
        </m:r>
        <m:r>
          <m:t>6.56</m:t>
        </m:r>
        <m:r>
          <m:t> </m:t>
        </m:r>
        <m:r>
          <m:rPr>
            <m:sty m:val="p"/>
          </m:rPr>
          <m:t>d</m:t>
        </m:r>
      </m:oMath>
      <w:r>
        <w:rPr>
          <w:rFonts w:ascii="Arial" w:hAnsi="Arial"/>
          <w:sz w:val="20"/>
        </w:rPr>
        <w:t xml:space="preserve">, range</w:t>
      </w:r>
      <w:r>
        <w:rPr>
          <w:rFonts w:ascii="Arial" w:hAnsi="Arial"/>
          <w:sz w:val="20"/>
        </w:rPr>
        <w:t xml:space="preserve"> </w:t>
      </w:r>
      <m:oMath>
        <m:d>
          <m:dPr>
            <m:begChr m:val="["/>
            <m:endChr m:val="]"/>
            <m:sepChr m:val=""/>
            <m:grow/>
          </m:dPr>
          <m:e>
            <m:r>
              <m:rPr>
                <m:sty m:val="p"/>
              </m:rPr>
              <m:t>−</m:t>
            </m:r>
            <m:r>
              <m:t>8.11</m:t>
            </m:r>
            <m:r>
              <m:rPr>
                <m:sty m:val="p"/>
              </m:rPr>
              <m:t>,</m:t>
            </m:r>
            <m:r>
              <m:rPr>
                <m:sty m:val="p"/>
              </m:rPr>
              <m:t>+</m:t>
            </m:r>
            <m:r>
              <m:t>22.49</m:t>
            </m:r>
          </m:e>
        </m:d>
        <m:r>
          <m:t> </m:t>
        </m:r>
        <m:r>
          <m:rPr>
            <m:sty m:val="p"/>
          </m:rPr>
          <m:t>d</m:t>
        </m:r>
      </m:oMath>
      <w:r>
        <w:rPr>
          <w:rFonts w:ascii="Arial" w:hAnsi="Arial"/>
          <w:sz w:val="20"/>
        </w:rPr>
        <w:t xml:space="preserve">) and</w:t>
      </w:r>
      <w:r>
        <w:rPr>
          <w:rFonts w:ascii="Arial" w:hAnsi="Arial"/>
          <w:sz w:val="20"/>
        </w:rPr>
        <w:t xml:space="preserve"> </w:t>
      </w:r>
      <w:r>
        <w:rPr>
          <w:rFonts w:ascii="Arial" w:hAnsi="Arial"/>
          <w:b/>
          <w:bCs/>
          <w:sz w:val="20"/>
        </w:rPr>
        <w:t xml:space="preserve">4 / 4</w:t>
      </w:r>
      <w:r>
        <w:rPr>
          <w:rFonts w:ascii="Arial" w:hAnsi="Arial"/>
          <w:sz w:val="20"/>
        </w:rPr>
        <w:t xml:space="preserve"> </w:t>
      </w:r>
      <w:r>
        <w:rPr>
          <w:rFonts w:ascii="Arial" w:hAnsi="Arial"/>
          <w:sz w:val="20"/>
        </w:rPr>
        <w:t xml:space="preserve">observed shifts lie inside the 95% prediction interval. The pre-registered pass criterion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is satisfied in the proportional form (</w:t>
      </w:r>
      <m:oMath>
        <m:r>
          <m:t>4</m:t>
        </m:r>
        <m:r>
          <m:rPr>
            <m:sty m:val="p"/>
          </m:rPr>
          <m:t>/</m:t>
        </m:r>
        <m:r>
          <m:t>4</m:t>
        </m:r>
        <m:r>
          <m:rPr>
            <m:sty m:val="p"/>
          </m:rPr>
          <m:t>=</m:t>
        </m:r>
        <m:r>
          <m:t>100</m:t>
        </m:r>
        <m:r>
          <m:rPr>
            <m:sty m:val="p"/>
          </m:rPr>
          <m:t>%</m:t>
        </m:r>
      </m:oMath>
      <w:r>
        <w:rPr>
          <w:rFonts w:ascii="Arial" w:hAnsi="Arial"/>
          <w:sz w:val="20"/>
        </w:rPr>
        <w:t xml:space="preserve">). The probe therefore registers as a</w:t>
      </w:r>
      <w:r>
        <w:rPr>
          <w:rFonts w:ascii="Arial" w:hAnsi="Arial"/>
          <w:sz w:val="20"/>
        </w:rPr>
        <w:t xml:space="preserve"> </w:t>
      </w:r>
      <w:r>
        <w:rPr>
          <w:rFonts w:ascii="Arial" w:hAnsi="Arial"/>
          <w:b/>
          <w:bCs/>
          <w:sz w:val="20"/>
        </w:rPr>
        <w:t xml:space="preserve">PASS</w:t>
      </w:r>
      <w:r>
        <w:rPr>
          <w:rFonts w:ascii="Arial" w:hAnsi="Arial"/>
          <w:sz w:val="20"/>
        </w:rPr>
        <w:t xml:space="preserve">: the v2.1 corrected coefficient generalises out-of-sample to post-monsoon freshwater-rainfall Bulbul-cohort districts in a manner consistent with the headline coefficient.</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Compact"/>
        <w:numPr>
          <w:ilvl w:val="0"/>
          <w:numId w:val="1003"/>
        </w:numPr>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Compact"/>
        <w:numPr>
          <w:ilvl w:val="0"/>
          <w:numId w:val="1003"/>
        </w:numPr>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Compact"/>
        <w:numPr>
          <w:ilvl w:val="0"/>
          <w:numId w:val="1003"/>
        </w:numPr>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pStyle w:val="FirstParagraph"/>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Five caveats accompany this transferability probe, four declared at pre-registration and one identified during the v1.0.1-submission analysis (limitation 4):</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w:t>
      </w:r>
      <m:oMath>
        <m:r>
          <m:rPr>
            <m:sty m:val="p"/>
          </m:rPr>
          <m:t>+</m:t>
        </m:r>
        <m:r>
          <m:t>6.56</m:t>
        </m:r>
        <m:r>
          <m:t> </m:t>
        </m:r>
        <m:r>
          <m:rPr>
            <m:sty m:val="p"/>
          </m:rPr>
          <m:t>d</m:t>
        </m:r>
      </m:oMath>
      <w:r>
        <w:rPr>
          <w:rFonts w:ascii="Arial" w:hAnsi="Arial"/>
          <w:sz w:val="20"/>
        </w:rPr>
        <w:t xml:space="preserve">)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Compact"/>
        <w:numPr>
          <w:ilvl w:val="0"/>
          <w:numId w:val="1004"/>
        </w:numPr>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Style w:val="VerbatimCha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Compact"/>
        <w:numPr>
          <w:ilvl w:val="0"/>
          <w:numId w:val="1004"/>
        </w:numPr>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(mean residual</w:t>
      </w:r>
      <w:r>
        <w:rPr>
          <w:rFonts w:ascii="Arial" w:hAnsi="Arial"/>
          <w:sz w:val="20"/>
        </w:rPr>
        <w:t xml:space="preserve"> </w:t>
      </w:r>
      <m:oMath>
        <m:r>
          <m:rPr>
            <m:sty m:val="p"/>
          </m:rPr>
          <m:t>+</m:t>
        </m:r>
        <m:r>
          <m:t>6.56</m:t>
        </m:r>
        <m:r>
          <m:t> </m:t>
        </m:r>
        <m:r>
          <m:rPr>
            <m:sty m:val="p"/>
          </m:rPr>
          <m:t>d</m:t>
        </m:r>
      </m:oMath>
      <w:r>
        <w:rPr>
          <w:rFonts w:ascii="Arial" w:hAnsi="Arial"/>
          <w:sz w:val="20"/>
        </w:rPr>
        <w:t xml:space="preserve">, 4/4 paddy-dominant probe districts inside the 95% PI) matches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65301" w:name="note_s2"/>
      <w:r>
        <w:rPr>
          <w:rFonts w:ascii="Arial" w:hAnsi="Arial"/>
          <w:b/>
          <w:color w:val="1F3A5F"/>
          <w:sz w:val="32"/>
        </w:rPr>
        <w:t>Note S2 — Pre-Kharif Bay-of-Bengal cyclone climatology</w:t>
      </w:r>
      <w:bookmarkEnd w:id="653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Style w:val="VerbatimCha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Style w:val="VerbatimCha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49677" w:name="note_s3"/>
      <w:r>
        <w:rPr>
          <w:rFonts w:ascii="Arial" w:hAnsi="Arial"/>
          <w:b/>
          <w:color w:val="1F3A5F"/>
          <w:sz w:val="32"/>
        </w:rPr>
        <w:t>Note S3 — Sentinel-1 dual-polarisation backscatter signatures</w:t>
      </w:r>
      <w:bookmarkEnd w:id="49677"/>
    </w:p>
    <w:bookmarkStart w:id="29" w:name="Xce1958d78618fb7c3de38bca5f65ef8f24e51a2"/>
    <w:p>
      <w:pPr>
        <w:pStyle w:val="Heading1"/>
      </w:pPr>
      <w:r>
        <w:rPr>
          <w:rFonts w:ascii="Arial" w:hAnsi="Arial"/>
        </w:rPr>
        <w:t xml:space="preserve">Supplementary Note S3 — Sentinel-1 dual-polarisation backscatter signatures</w:t>
      </w:r>
    </w:p>
    <w:p>
      <w:pPr>
        <w:pStyle w:val="FirstParagraph"/>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Style w:val="VerbatimCha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Style w:val="VerbatimCha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pStyle w:val="FirstParagraph"/>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Compact"/>
        <w:numPr>
          <w:ilvl w:val="0"/>
          <w:numId w:val="1001"/>
        </w:numPr>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Compact"/>
        <w:numPr>
          <w:ilvl w:val="0"/>
          <w:numId w:val="1001"/>
        </w:numPr>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Compact"/>
        <w:numPr>
          <w:ilvl w:val="0"/>
          <w:numId w:val="1001"/>
        </w:numPr>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pStyle w:val="FirstParagraph"/>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pStyle w:val="FirstParagraph"/>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Style w:val="VerbatimCha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Style w:val="VerbatimCha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Style w:val="VerbatimChar"/>
          <w:rFonts w:ascii="Arial" w:hAnsi="Arial"/>
          <w:sz w:val="20"/>
        </w:rPr>
        <w:t xml:space="preserve">dB = 10 · log10(linear)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Style w:val="VerbatimCha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DOY range</w:t>
            </w:r>
          </w:p>
        </w:tc>
        <w:tc>
          <w:tcPr/>
          <w:p>
            <w:pPr>
              <w:pStyle w:val="Compact"/>
              <w:jc w:val="left"/>
            </w:pPr>
            <w:r>
              <w:rPr>
                <w:rFonts w:ascii="Arial" w:hAnsi="Arial"/>
                <w:sz w:val="18"/>
              </w:rPr>
              <w:t xml:space="preserve">Calendar</w:t>
            </w:r>
          </w:p>
        </w:tc>
        <w:tc>
          <w:tcPr/>
          <w:p>
            <w:pPr>
              <w:pStyle w:val="Compact"/>
              <w:jc w:val="left"/>
            </w:pPr>
            <w:r>
              <w:rPr>
                <w:rFonts w:ascii="Arial" w:hAnsi="Arial"/>
                <w:sz w:val="18"/>
              </w:rPr>
              <w:t xml:space="preserve">n_dekads per district</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121–160</w:t>
            </w:r>
          </w:p>
        </w:tc>
        <w:tc>
          <w:tcPr/>
          <w:p>
            <w:pPr>
              <w:pStyle w:val="Compact"/>
              <w:jc w:val="left"/>
            </w:pPr>
            <w:r>
              <w:rPr>
                <w:rFonts w:ascii="Arial" w:hAnsi="Arial"/>
                <w:sz w:val="18"/>
              </w:rPr>
              <w:t xml:space="preserve">1 May – 9 Jun</w:t>
            </w:r>
          </w:p>
        </w:tc>
        <w:tc>
          <w:tcPr/>
          <w:p>
            <w:pPr>
              <w:pStyle w:val="Compact"/>
              <w:jc w:val="left"/>
            </w:pPr>
            <w:r>
              <w:rPr>
                <w:rFonts w:ascii="Arial" w:hAnsi="Arial"/>
                <w:sz w:val="18"/>
              </w:rPr>
              <w:t xml:space="preserve">1–4</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171–220</w:t>
            </w:r>
          </w:p>
        </w:tc>
        <w:tc>
          <w:tcPr/>
          <w:p>
            <w:pPr>
              <w:pStyle w:val="Compact"/>
              <w:jc w:val="left"/>
            </w:pPr>
            <w:r>
              <w:rPr>
                <w:rFonts w:ascii="Arial" w:hAnsi="Arial"/>
                <w:sz w:val="18"/>
              </w:rPr>
              <w:t xml:space="preserve">20 Jun – 8 Aug</w:t>
            </w:r>
          </w:p>
        </w:tc>
        <w:tc>
          <w:tcPr/>
          <w:p>
            <w:pPr>
              <w:pStyle w:val="Compact"/>
              <w:jc w:val="left"/>
            </w:pPr>
            <w:r>
              <w:rPr>
                <w:rFonts w:ascii="Arial" w:hAnsi="Arial"/>
                <w:sz w:val="18"/>
              </w:rPr>
              <w:t xml:space="preserve">4–5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230–270</w:t>
            </w:r>
          </w:p>
        </w:tc>
        <w:tc>
          <w:tcPr/>
          <w:p>
            <w:pPr>
              <w:pStyle w:val="Compact"/>
              <w:jc w:val="left"/>
            </w:pPr>
            <w:r>
              <w:rPr>
                <w:rFonts w:ascii="Arial" w:hAnsi="Arial"/>
                <w:sz w:val="18"/>
              </w:rPr>
              <w:t xml:space="preserve">18 Aug – 27 Sep</w:t>
            </w:r>
          </w:p>
        </w:tc>
        <w:tc>
          <w:tcPr/>
          <w:p>
            <w:pPr>
              <w:pStyle w:val="Compact"/>
              <w:jc w:val="left"/>
            </w:pPr>
            <w:r>
              <w:rPr>
                <w:rFonts w:ascii="Arial" w:hAnsi="Arial"/>
                <w:sz w:val="18"/>
              </w:rPr>
              <w:t xml:space="preserve">3–4</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305–325</w:t>
            </w:r>
          </w:p>
        </w:tc>
        <w:tc>
          <w:tcPr/>
          <w:p>
            <w:pPr>
              <w:pStyle w:val="Compact"/>
              <w:jc w:val="left"/>
            </w:pPr>
            <w:r>
              <w:rPr>
                <w:rFonts w:ascii="Arial" w:hAnsi="Arial"/>
                <w:sz w:val="18"/>
              </w:rPr>
              <w:t xml:space="preserve">1 Nov – 21 Nov (landfall 9 Nov)</w:t>
            </w:r>
          </w:p>
        </w:tc>
        <w:tc>
          <w:tcPr/>
          <w:p>
            <w:pPr>
              <w:pStyle w:val="Compac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pStyle w:val="FirstParagraph"/>
      </w:pPr>
      <w:r>
        <w:rPr>
          <w:rFonts w:ascii="Arial" w:hAnsi="Arial"/>
          <w:sz w:val="20"/>
        </w:rPr>
        <w:t xml:space="preserve">The four-district mean phase signatures are: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Mean VH (dB)</w:t>
            </w:r>
          </w:p>
        </w:tc>
        <w:tc>
          <w:tcPr/>
          <w:p>
            <w:pPr>
              <w:pStyle w:val="Compact"/>
              <w:jc w:val="left"/>
            </w:pPr>
            <w:r>
              <w:rPr>
                <w:rFonts w:ascii="Arial" w:hAnsi="Arial"/>
                <w:sz w:val="18"/>
              </w:rPr>
              <w:t xml:space="preserve">Mean VV (dB)</w:t>
            </w:r>
          </w:p>
        </w:tc>
        <w:tc>
          <w:tcPr/>
          <w:p>
            <w:pPr>
              <w:pStyle w:val="Compact"/>
              <w:jc w:val="left"/>
            </w:pPr>
            <w:r>
              <w:rPr>
                <w:rFonts w:ascii="Arial" w:hAnsi="Arial"/>
                <w:sz w:val="18"/>
              </w:rPr>
              <w:t xml:space="preserve">Mean CR</w:t>
            </w:r>
          </w:p>
        </w:tc>
      </w:tr>
      <w:tr>
        <w:tc>
          <w:tcPr/>
          <w:p>
            <w:pPr>
              <w:pStyle w:val="Compact"/>
              <w:jc w:val="left"/>
            </w:pPr>
            <w:r>
              <w:rPr>
                <w:rFonts w:ascii="Arial" w:hAnsi="Arial"/>
                <w:sz w:val="18"/>
              </w:rPr>
              <w:t xml:space="preserve">Pre-transplant baseline</w:t>
            </w:r>
          </w:p>
        </w:tc>
        <w:tc>
          <w:tcPr/>
          <w:p>
            <w:pPr>
              <w:pStyle w:val="Compact"/>
              <w:jc w:val="left"/>
            </w:pPr>
            <w:r>
              <w:rPr>
                <w:rFonts w:ascii="Arial" w:hAnsi="Arial"/>
                <w:sz w:val="18"/>
              </w:rPr>
              <w:t xml:space="preserve">−14.32</w:t>
            </w:r>
          </w:p>
        </w:tc>
        <w:tc>
          <w:tcPr/>
          <w:p>
            <w:pPr>
              <w:pStyle w:val="Compact"/>
              <w:jc w:val="left"/>
            </w:pPr>
            <w:r>
              <w:rPr>
                <w:rFonts w:ascii="Arial" w:hAnsi="Arial"/>
                <w:sz w:val="18"/>
              </w:rPr>
              <w:t xml:space="preserve">−7.96</w:t>
            </w:r>
          </w:p>
        </w:tc>
        <w:tc>
          <w:tcPr/>
          <w:p>
            <w:pPr>
              <w:pStyle w:val="Compact"/>
              <w:jc w:val="left"/>
            </w:pPr>
            <w:r>
              <w:rPr>
                <w:rFonts w:ascii="Arial" w:hAnsi="Arial"/>
                <w:sz w:val="18"/>
              </w:rPr>
              <w:t xml:space="preserve">0.239</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−13.80</w:t>
            </w:r>
          </w:p>
        </w:tc>
        <w:tc>
          <w:tcPr/>
          <w:p>
            <w:pPr>
              <w:pStyle w:val="Compact"/>
              <w:jc w:val="left"/>
            </w:pPr>
            <w:r>
              <w:rPr>
                <w:rFonts w:ascii="Arial" w:hAnsi="Arial"/>
                <w:sz w:val="18"/>
              </w:rPr>
              <w:t xml:space="preserve">−7.14</w:t>
            </w:r>
          </w:p>
        </w:tc>
        <w:tc>
          <w:tcPr/>
          <w:p>
            <w:pPr>
              <w:pStyle w:val="Compact"/>
              <w:jc w:val="left"/>
            </w:pPr>
            <w:r>
              <w:rPr>
                <w:rFonts w:ascii="Arial" w:hAnsi="Arial"/>
                <w:sz w:val="18"/>
              </w:rPr>
              <w:t xml:space="preserve">0.225</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−13.78</w:t>
            </w:r>
          </w:p>
        </w:tc>
        <w:tc>
          <w:tcPr/>
          <w:p>
            <w:pPr>
              <w:pStyle w:val="Compact"/>
              <w:jc w:val="left"/>
            </w:pPr>
            <w:r>
              <w:rPr>
                <w:rFonts w:ascii="Arial" w:hAnsi="Arial"/>
                <w:sz w:val="18"/>
              </w:rPr>
              <w:t xml:space="preserve">−6.82</w:t>
            </w:r>
          </w:p>
        </w:tc>
        <w:tc>
          <w:tcPr/>
          <w:p>
            <w:pPr>
              <w:pStyle w:val="Compact"/>
              <w:jc w:val="left"/>
            </w:pPr>
            <w:r>
              <w:rPr>
                <w:rFonts w:ascii="Arial" w:hAnsi="Arial"/>
                <w:sz w:val="18"/>
              </w:rPr>
              <w:t xml:space="preserve">0.212</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−13.49</w:t>
            </w:r>
          </w:p>
        </w:tc>
        <w:tc>
          <w:tcPr/>
          <w:p>
            <w:pPr>
              <w:pStyle w:val="Compact"/>
              <w:jc w:val="left"/>
            </w:pPr>
            <w:r>
              <w:rPr>
                <w:rFonts w:ascii="Arial" w:hAnsi="Arial"/>
                <w:sz w:val="18"/>
              </w:rPr>
              <w:t xml:space="preserve">−7.27</w:t>
            </w:r>
          </w:p>
        </w:tc>
        <w:tc>
          <w:tcPr/>
          <w:p>
            <w:pPr>
              <w:pStyle w:val="Compac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Phase</w:t>
            </w:r>
          </w:p>
        </w:tc>
        <w:tc>
          <w:tcPr/>
          <w:p>
            <w:pPr>
              <w:pStyle w:val="Compact"/>
              <w:jc w:val="left"/>
            </w:pPr>
            <w:r>
              <w:rPr>
                <w:rFonts w:ascii="Arial" w:hAnsi="Arial"/>
                <w:sz w:val="18"/>
              </w:rPr>
              <w:t xml:space="preserve">ΔVH (dB)</w:t>
            </w:r>
          </w:p>
        </w:tc>
        <w:tc>
          <w:tcPr/>
          <w:p>
            <w:pPr>
              <w:pStyle w:val="Compact"/>
              <w:jc w:val="left"/>
            </w:pPr>
            <w:r>
              <w:rPr>
                <w:rFonts w:ascii="Arial" w:hAnsi="Arial"/>
                <w:sz w:val="18"/>
              </w:rPr>
              <w:t xml:space="preserve">ΔVV (dB)</w:t>
            </w:r>
          </w:p>
        </w:tc>
        <w:tc>
          <w:tcPr/>
          <w:p>
            <w:pPr>
              <w:pStyle w:val="Compact"/>
              <w:jc w:val="left"/>
            </w:pPr>
            <w:r>
              <w:rPr>
                <w:rFonts w:ascii="Arial" w:hAnsi="Arial"/>
                <w:sz w:val="18"/>
              </w:rPr>
              <w:t xml:space="preserve">ΔCR</w:t>
            </w:r>
          </w:p>
        </w:tc>
      </w:tr>
      <w:tr>
        <w:tc>
          <w:tcPr/>
          <w:p>
            <w:pPr>
              <w:pStyle w:val="Compact"/>
              <w:jc w:val="left"/>
            </w:pPr>
            <w:r>
              <w:rPr>
                <w:rFonts w:ascii="Arial" w:hAnsi="Arial"/>
                <w:sz w:val="18"/>
              </w:rPr>
              <w:t xml:space="preserve">Agronomic transplanting</w:t>
            </w:r>
          </w:p>
        </w:tc>
        <w:tc>
          <w:tcPr/>
          <w:p>
            <w:pPr>
              <w:pStyle w:val="Compact"/>
              <w:jc w:val="left"/>
            </w:pPr>
            <w:r>
              <w:rPr>
                <w:rFonts w:ascii="Arial" w:hAnsi="Arial"/>
                <w:sz w:val="18"/>
              </w:rPr>
              <w:t xml:space="preserve">+0.52</w:t>
            </w:r>
          </w:p>
        </w:tc>
        <w:tc>
          <w:tcPr/>
          <w:p>
            <w:pPr>
              <w:pStyle w:val="Compact"/>
              <w:jc w:val="left"/>
            </w:pPr>
            <w:r>
              <w:rPr>
                <w:rFonts w:ascii="Arial" w:hAnsi="Arial"/>
                <w:sz w:val="18"/>
              </w:rPr>
              <w:t xml:space="preserve">+0.82</w:t>
            </w:r>
          </w:p>
        </w:tc>
        <w:tc>
          <w:tcPr/>
          <w:p>
            <w:pPr>
              <w:pStyle w:val="Compact"/>
              <w:jc w:val="left"/>
            </w:pPr>
            <w:r>
              <w:rPr>
                <w:rFonts w:ascii="Arial" w:hAnsi="Arial"/>
                <w:sz w:val="18"/>
              </w:rPr>
              <w:t xml:space="preserve">−0.014</w:t>
            </w:r>
          </w:p>
        </w:tc>
      </w:tr>
      <w:tr>
        <w:tc>
          <w:tcPr/>
          <w:p>
            <w:pPr>
              <w:pStyle w:val="Compact"/>
              <w:jc w:val="left"/>
            </w:pPr>
            <w:r>
              <w:rPr>
                <w:rFonts w:ascii="Arial" w:hAnsi="Arial"/>
                <w:sz w:val="18"/>
              </w:rPr>
              <w:t xml:space="preserve">Peak canopy</w:t>
            </w:r>
          </w:p>
        </w:tc>
        <w:tc>
          <w:tcPr/>
          <w:p>
            <w:pPr>
              <w:pStyle w:val="Compact"/>
              <w:jc w:val="left"/>
            </w:pPr>
            <w:r>
              <w:rPr>
                <w:rFonts w:ascii="Arial" w:hAnsi="Arial"/>
                <w:sz w:val="18"/>
              </w:rPr>
              <w:t xml:space="preserve">+0.54</w:t>
            </w:r>
          </w:p>
        </w:tc>
        <w:tc>
          <w:tcPr/>
          <w:p>
            <w:pPr>
              <w:pStyle w:val="Compact"/>
              <w:jc w:val="left"/>
            </w:pPr>
            <w:r>
              <w:rPr>
                <w:rFonts w:ascii="Arial" w:hAnsi="Arial"/>
                <w:sz w:val="18"/>
              </w:rPr>
              <w:t xml:space="preserve">+1.14</w:t>
            </w:r>
          </w:p>
        </w:tc>
        <w:tc>
          <w:tcPr/>
          <w:p>
            <w:pPr>
              <w:pStyle w:val="Compact"/>
              <w:jc w:val="left"/>
            </w:pPr>
            <w:r>
              <w:rPr>
                <w:rFonts w:ascii="Arial" w:hAnsi="Arial"/>
                <w:sz w:val="18"/>
              </w:rPr>
              <w:t xml:space="preserve">−0.027</w:t>
            </w:r>
          </w:p>
        </w:tc>
      </w:tr>
      <w:tr>
        <w:tc>
          <w:tcPr/>
          <w:p>
            <w:pPr>
              <w:pStyle w:val="Compact"/>
              <w:jc w:val="left"/>
            </w:pPr>
            <w:r>
              <w:rPr>
                <w:rFonts w:ascii="Arial" w:hAnsi="Arial"/>
                <w:sz w:val="18"/>
              </w:rPr>
              <w:t xml:space="preserve">Bulbul event window</w:t>
            </w:r>
          </w:p>
        </w:tc>
        <w:tc>
          <w:tcPr/>
          <w:p>
            <w:pPr>
              <w:pStyle w:val="Compact"/>
              <w:jc w:val="left"/>
            </w:pPr>
            <w:r>
              <w:rPr>
                <w:rFonts w:ascii="Arial" w:hAnsi="Arial"/>
                <w:sz w:val="18"/>
              </w:rPr>
              <w:t xml:space="preserve">+0.83</w:t>
            </w:r>
          </w:p>
        </w:tc>
        <w:tc>
          <w:tcPr/>
          <w:p>
            <w:pPr>
              <w:pStyle w:val="Compact"/>
              <w:jc w:val="left"/>
            </w:pPr>
            <w:r>
              <w:rPr>
                <w:rFonts w:ascii="Arial" w:hAnsi="Arial"/>
                <w:sz w:val="18"/>
              </w:rPr>
              <w:t xml:space="preserve">+0.69</w:t>
            </w:r>
          </w:p>
        </w:tc>
        <w:tc>
          <w:tcPr/>
          <w:p>
            <w:pPr>
              <w:pStyle w:val="Compac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pStyle w:val="FirstParagraph"/>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pStyle w:val="FirstParagraph"/>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Compact"/>
        <w:numPr>
          <w:ilvl w:val="0"/>
          <w:numId w:val="1002"/>
        </w:numPr>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Compact"/>
        <w:numPr>
          <w:ilvl w:val="0"/>
          <w:numId w:val="1002"/>
        </w:numPr>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Compact"/>
        <w:numPr>
          <w:ilvl w:val="0"/>
          <w:numId w:val="1002"/>
        </w:numPr>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Compact"/>
        <w:numPr>
          <w:ilvl w:val="0"/>
          <w:numId w:val="1002"/>
        </w:numPr>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pStyle w:val="FirstParagraph"/>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pStyle w:val="FirstParagraph"/>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pStyle w:val="SourceCode"/>
      </w:pPr>
      <w:r>
        <w:rPr>
          <w:rStyle w:val="VerbatimChar"/>
          <w:rFonts w:ascii="Arial" w:hAnsi="Arial"/>
          <w:sz w:val="20"/>
        </w:rPr>
        <w:t xml:space="preserve">pip install pystac-client planetary-computer odc-stac rioxarray rasterio</w:t>
      </w:r>
      <w:r>
        <w:rPr>
          <w:rFonts w:ascii="Arial" w:hAnsi="Arial"/>
          <w:sz w:val="20"/>
        </w:rPr>
        <w:br/>
      </w:r>
      <w:r>
        <w:rPr>
          <w:rStyle w:val="VerbatimChar"/>
          <w:rFonts w:ascii="Arial" w:hAnsi="Arial"/>
          <w:sz w:val="20"/>
        </w:rPr>
        <w:t xml:space="preserve">python analysis/18_real_s1_backscatter_signatures.py   # extracts 85 dekads</w:t>
      </w:r>
      <w:r>
        <w:rPr>
          <w:rFonts w:ascii="Arial" w:hAnsi="Arial"/>
          <w:sz w:val="20"/>
        </w:rPr>
        <w:br/>
      </w:r>
      <w:r>
        <w:rPr>
          <w:rStyle w:val="VerbatimChar"/>
          <w:rFonts w:ascii="Arial" w:hAnsi="Arial"/>
          <w:sz w:val="20"/>
        </w:rPr>
        <w:t xml:space="preserve">python analysis/20_build_table_s9_fig_s2_real.py        # builds DOCX + PDF</w:t>
      </w:r>
    </w:p>
    <w:p>
      <w:pPr>
        <w:pStyle w:val="FirstParagraph"/>
      </w:pPr>
      <w:r>
        <w:rPr>
          <w:rFonts w:ascii="Arial" w:hAnsi="Arial"/>
          <w:sz w:val="20"/>
        </w:rPr>
        <w:t xml:space="preserve">Intermediate artefacts (in</w:t>
      </w:r>
      <w:r>
        <w:rPr>
          <w:rFonts w:ascii="Arial" w:hAnsi="Arial"/>
          <w:sz w:val="20"/>
        </w:rPr>
        <w:t xml:space="preserve"> </w:t>
      </w:r>
      <w:r>
        <w:rPr>
          <w:rStyle w:val="VerbatimChar"/>
          <w:rFonts w:ascii="Arial" w:hAnsi="Arial"/>
          <w:sz w:val="20"/>
        </w:rPr>
        <w:t xml:space="preserve">analysis/results/real_v21/</w:t>
      </w:r>
      <w:r>
        <w:rPr>
          <w:rFonts w:ascii="Arial" w:hAnsi="Arial"/>
          <w:sz w:val="20"/>
        </w:rPr>
        <w:t xml:space="preserve">):</w:t>
      </w:r>
    </w:p>
    <w:p>
      <w:pPr>
        <w:pStyle w:val="Compact"/>
        <w:numPr>
          <w:ilvl w:val="0"/>
          <w:numId w:val="1003"/>
        </w:numPr>
      </w:pPr>
      <w:r>
        <w:rPr>
          <w:rStyle w:val="VerbatimCha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Compact"/>
        <w:numPr>
          <w:ilvl w:val="0"/>
          <w:numId w:val="1003"/>
        </w:numPr>
      </w:pPr>
      <w:r>
        <w:rPr>
          <w:rStyle w:val="VerbatimCha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Compact"/>
        <w:numPr>
          <w:ilvl w:val="0"/>
          <w:numId w:val="1003"/>
        </w:numPr>
      </w:pPr>
      <w:r>
        <w:rPr>
          <w:rStyle w:val="VerbatimCha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Compact"/>
        <w:numPr>
          <w:ilvl w:val="0"/>
          <w:numId w:val="1003"/>
        </w:numPr>
      </w:pPr>
      <w:r>
        <w:rPr>
          <w:rStyle w:val="VerbatimCha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Compact"/>
        <w:numPr>
          <w:ilvl w:val="0"/>
          <w:numId w:val="1004"/>
        </w:numPr>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Compact"/>
        <w:numPr>
          <w:ilvl w:val="0"/>
          <w:numId w:val="1004"/>
        </w:numPr>
      </w:pPr>
      <w:r>
        <w:rPr>
          <w:rFonts w:ascii="Arial" w:hAnsi="Arial"/>
          <w:sz w:val="20"/>
        </w:rPr>
        <w:t xml:space="preserve">Hoshikawa, K., Hayashi, M., Yamamoto, T., Watanabe, R. (2023). SAR</w:t>
      </w:r>
      <w:r>
        <w:rPr>
          <w:rFonts w:ascii="Arial" w:hAnsi="Arial"/>
          <w:sz w:val="20"/>
        </w:rPr>
        <w:t xml:space="preserve"> </w:t>
      </w:r>
      <w:r>
        <w:rPr>
          <w:rFonts w:ascii="Arial" w:hAnsi="Arial"/>
          <w:sz w:val="20"/>
        </w:rPr>
        <w:t xml:space="preserve">backscatter behaviour of partially inundated paddy rice:</w:t>
      </w:r>
      <w:r>
        <w:rPr>
          <w:rFonts w:ascii="Arial" w:hAnsi="Arial"/>
          <w:sz w:val="20"/>
        </w:rPr>
        <w:t xml:space="preserve"> </w:t>
      </w:r>
      <w:r>
        <w:rPr>
          <w:rFonts w:ascii="Arial" w:hAnsi="Arial"/>
          <w:sz w:val="20"/>
        </w:rPr>
        <w:t xml:space="preserve">implications for waterlogged rainfed rice monitoring.</w:t>
      </w:r>
      <w:r>
        <w:rPr>
          <w:rFonts w:ascii="Arial" w:hAnsi="Arial"/>
          <w:sz w:val="20"/>
        </w:rPr>
        <w:t xml:space="preserve"> </w:t>
      </w:r>
      <w:r>
        <w:rPr>
          <w:rFonts w:ascii="Arial" w:hAnsi="Arial"/>
          <w:i/>
          <w:iCs/>
          <w:sz w:val="20"/>
        </w:rPr>
        <w:t xml:space="preserve">European</w:t>
      </w:r>
      <w:r>
        <w:rPr>
          <w:rFonts w:ascii="Arial" w:hAnsi="Arial"/>
          <w:i/>
          <w:iCs/>
          <w:sz w:val="20"/>
        </w:rPr>
        <w:t xml:space="preserve"> </w:t>
      </w:r>
      <w:r>
        <w:rPr>
          <w:rFonts w:ascii="Arial" w:hAnsi="Arial"/>
          <w:i/>
          <w:iCs/>
          <w:sz w:val="20"/>
        </w:rPr>
        <w:t xml:space="preserve">Journal of Remote Sensing</w:t>
      </w:r>
      <w:r>
        <w:rPr>
          <w:rFonts w:ascii="Arial" w:hAnsi="Arial"/>
          <w:sz w:val="20"/>
        </w:rPr>
        <w:t xml:space="preserve"> </w:t>
      </w:r>
      <w:r>
        <w:rPr>
          <w:rFonts w:ascii="Arial" w:hAnsi="Arial"/>
          <w:sz w:val="20"/>
        </w:rPr>
        <w:t xml:space="preserve">56. https://doi.org/10.1080/22797254.2023.2269305</w:t>
      </w:r>
    </w:p>
    <w:p>
      <w:pPr>
        <w:pStyle w:val="Compact"/>
        <w:numPr>
          <w:ilvl w:val="0"/>
          <w:numId w:val="1004"/>
        </w:numPr>
      </w:pPr>
      <w:r>
        <w:rPr>
          <w:rFonts w:ascii="Arial" w:hAnsi="Arial"/>
          <w:sz w:val="20"/>
        </w:rPr>
        <w:t xml:space="preserve">Konkathi, P., Shetty, A., Rawal, S. (2024). Kharif rice mapping using</w:t>
      </w:r>
      <w:r>
        <w:rPr>
          <w:rFonts w:ascii="Arial" w:hAnsi="Arial"/>
          <w:sz w:val="20"/>
        </w:rPr>
        <w:t xml:space="preserve"> </w:t>
      </w:r>
      <w:r>
        <w:rPr>
          <w:rFonts w:ascii="Arial" w:hAnsi="Arial"/>
          <w:sz w:val="20"/>
        </w:rPr>
        <w:t xml:space="preserve">multi-polarisation Sentinel-1 SAR in coastal Andhra Pradesh.</w:t>
      </w:r>
      <w:r>
        <w:rPr>
          <w:rFonts w:ascii="Arial" w:hAnsi="Arial"/>
          <w:sz w:val="20"/>
        </w:rPr>
        <w:t xml:space="preserve"> </w:t>
      </w:r>
      <w:r>
        <w:rPr>
          <w:rFonts w:ascii="Arial" w:hAnsi="Arial"/>
          <w:i/>
          <w:iCs/>
          <w:sz w:val="20"/>
        </w:rPr>
        <w:t xml:space="preserve">Proceedings of the IGARSS 2024 IEEE International Geoscience and</w:t>
      </w:r>
      <w:r>
        <w:rPr>
          <w:rFonts w:ascii="Arial" w:hAnsi="Arial"/>
          <w:i/>
          <w:iCs/>
          <w:sz w:val="20"/>
        </w:rPr>
        <w:t xml:space="preserve"> </w:t>
      </w:r>
      <w:r>
        <w:rPr>
          <w:rFonts w:ascii="Arial" w:hAnsi="Arial"/>
          <w:i/>
          <w:iCs/>
          <w:sz w:val="20"/>
        </w:rPr>
        <w:t xml:space="preserve">Remote Sensing Symposium</w:t>
      </w:r>
      <w:r>
        <w:rPr>
          <w:rFonts w:ascii="Arial" w:hAnsi="Arial"/>
          <w:sz w:val="20"/>
        </w:rPr>
        <w:t xml:space="preserve">, 1014–1017.</w:t>
      </w:r>
      <w:r>
        <w:rPr>
          <w:rFonts w:ascii="Arial" w:hAnsi="Arial"/>
          <w:sz w:val="20"/>
        </w:rPr>
        <w:t xml:space="preserve"> </w:t>
      </w:r>
      <w:r>
        <w:rPr>
          <w:rFonts w:ascii="Arial" w:hAnsi="Arial"/>
          <w:sz w:val="20"/>
        </w:rPr>
        <w:t xml:space="preserve">https://doi.org/10.1109/InGARSS61818.2024.10984185</w:t>
      </w:r>
    </w:p>
    <w:p>
      <w:pPr>
        <w:pStyle w:val="Compact"/>
        <w:numPr>
          <w:ilvl w:val="0"/>
          <w:numId w:val="1004"/>
        </w:numPr>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Compact"/>
        <w:numPr>
          <w:ilvl w:val="0"/>
          <w:numId w:val="1004"/>
        </w:numPr>
      </w:pPr>
      <w:r>
        <w:rPr>
          <w:rFonts w:ascii="Arial" w:hAnsi="Arial"/>
          <w:sz w:val="20"/>
        </w:rPr>
        <w:t xml:space="preserve">Wali, E., Tasumi, M., Moriyama, M. (2020). Combination of linear</w:t>
      </w:r>
      <w:r>
        <w:rPr>
          <w:rFonts w:ascii="Arial" w:hAnsi="Arial"/>
          <w:sz w:val="20"/>
        </w:rPr>
        <w:t xml:space="preserve"> </w:t>
      </w:r>
      <w:r>
        <w:rPr>
          <w:rFonts w:ascii="Arial" w:hAnsi="Arial"/>
          <w:sz w:val="20"/>
        </w:rPr>
        <w:t xml:space="preserve">regression lines to understand the response of Sentinel-1 dual</w:t>
      </w:r>
      <w:r>
        <w:rPr>
          <w:rFonts w:ascii="Arial" w:hAnsi="Arial"/>
          <w:sz w:val="20"/>
        </w:rPr>
        <w:t xml:space="preserve"> </w:t>
      </w:r>
      <w:r>
        <w:rPr>
          <w:rFonts w:ascii="Arial" w:hAnsi="Arial"/>
          <w:sz w:val="20"/>
        </w:rPr>
        <w:t xml:space="preserve">polarisation SAR data with crop growth, soil moisture and irrigation</w:t>
      </w:r>
      <w:r>
        <w:rPr>
          <w:rFonts w:ascii="Arial" w:hAnsi="Arial"/>
          <w:sz w:val="20"/>
        </w:rPr>
        <w:t xml:space="preserve"> </w:t>
      </w:r>
      <w:r>
        <w:rPr>
          <w:rFonts w:ascii="Arial" w:hAnsi="Arial"/>
          <w:sz w:val="20"/>
        </w:rPr>
        <w:t xml:space="preserve">on paddy rice fields in a tropical region.</w:t>
      </w:r>
      <w:r>
        <w:rPr>
          <w:rFonts w:ascii="Arial" w:hAnsi="Arial"/>
          <w:sz w:val="20"/>
        </w:rPr>
        <w:t xml:space="preserve"> </w:t>
      </w:r>
      <w:r>
        <w:rPr>
          <w:rFonts w:ascii="Arial" w:hAnsi="Arial"/>
          <w:i/>
          <w:iCs/>
          <w:sz w:val="20"/>
        </w:rPr>
        <w:t xml:space="preserve">Remote Sensing</w:t>
      </w:r>
      <w:r>
        <w:rPr>
          <w:rFonts w:ascii="Arial" w:hAnsi="Arial"/>
          <w:sz w:val="20"/>
        </w:rPr>
        <w:t xml:space="preserve"> </w:t>
      </w:r>
      <w:r>
        <w:rPr>
          <w:rFonts w:ascii="Arial" w:hAnsi="Arial"/>
          <w:sz w:val="20"/>
        </w:rPr>
        <w:t xml:space="preserve">12, 189.</w:t>
      </w:r>
      <w:r>
        <w:rPr>
          <w:rFonts w:ascii="Arial" w:hAnsi="Arial"/>
          <w:sz w:val="20"/>
        </w:rPr>
        <w:t xml:space="preserve"> </w:t>
      </w:r>
      <w:r>
        <w:rPr>
          <w:rFonts w:ascii="Arial" w:hAnsi="Arial"/>
          <w:sz w:val="20"/>
        </w:rPr>
        <w:t xml:space="preserve">https://doi.org/10.3390/rs12010189</w:t>
      </w:r>
    </w:p>
    <w:bookmarkEnd w:id="28"/>
    <w:bookmarkEnd w:id="29"/>
    <w:p>
      <w:r>
        <w:rPr>
          <w:rFonts w:ascii="Arial" w:hAnsi="Arial"/>
          <w:sz w:val="20"/>
        </w:rPr>
        <w:br w:type="page"/>
      </w:r>
    </w:p>
    <w:p>
      <w:pPr>
        <w:keepNext/>
        <w:spacing w:before="240" w:after="120"/>
      </w:pPr>
      <w:bookmarkStart w:id="43848" w:name="note_s4"/>
      <w:r>
        <w:rPr>
          <w:rFonts w:ascii="Arial" w:hAnsi="Arial"/>
          <w:b/>
          <w:color w:val="1F3A5F"/>
          <w:sz w:val="32"/>
        </w:rPr>
        <w:t>Note S4 — Small-G power / minimum detectable effect simulator</w:t>
      </w:r>
      <w:bookmarkEnd w:id="43848"/>
    </w:p>
    <w:bookmarkStart w:id="23" w:name="Xa4e2dea2d376ab4d6475c8d9700aaff9982f219"/>
    <w:p>
      <w:pPr>
        <w:pStyle w:val="Heading1"/>
      </w:pPr>
      <w:r>
        <w:rPr>
          <w:rFonts w:ascii="Arial" w:hAnsi="Arial"/>
        </w:rPr>
        <w:t xml:space="preserve">Methods §3.Y.4 — Post-hoc power and minimum detectable effect</w:t>
      </w:r>
    </w:p>
    <w:p>
      <w:pPr>
        <w:pStyle w:val="FirstParagraph"/>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pStyle w:val="FirstParagraph"/>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pStyle w:val="FirstParagraph"/>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Style w:val="VerbatimCha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Style w:val="VerbatimCha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Style w:val="VerbatimCha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pStyle w:val="FirstParagraph"/>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Style w:val="FirstParagraph"/>
      </w:pPr>
      <w:r>
        <w:rPr>
          <w:rFonts w:ascii="Arial" w:hAnsi="Arial"/>
          <w:sz w:val="20"/>
        </w:rPr>
        <w:t xml:space="preserve">with district FE</w:t>
      </w:r>
      <w:r>
        <w:rPr>
          <w:rFonts w:ascii="Arial" w:hAnsi="Arial"/>
          <w:sz w:val="20"/>
        </w:rPr>
        <w:t xml:space="preserve"> </w:t>
      </w:r>
      <m:oMath>
        <m:sSub>
          <m:e>
            <m:r>
              <m:t>α</m:t>
            </m:r>
          </m:e>
          <m:sub>
            <m:r>
              <m:t>i</m:t>
            </m:r>
          </m:sub>
        </m:sSub>
        <m:r>
          <m:t>​</m:t>
        </m:r>
        <m:r>
          <m:rPr>
            <m:sty m:val="p"/>
          </m:rPr>
          <m:t>∼</m:t>
        </m:r>
        <m:r>
          <m:t>​</m:t>
        </m:r>
        <m:r>
          <m:t>N</m:t>
        </m:r>
        <m:d>
          <m:dPr>
            <m:begChr m:val="("/>
            <m:endChr m:val=")"/>
            <m:sepChr m:val=""/>
            <m:grow/>
          </m:dPr>
          <m:e>
            <m:r>
              <m:t>0</m:t>
            </m:r>
            <m:r>
              <m:rPr>
                <m:sty m:val="p"/>
              </m:rPr>
              <m:t>,</m:t>
            </m:r>
            <m:sSubSup>
              <m:e>
                <m:r>
                  <m:t>σ</m:t>
                </m:r>
              </m:e>
              <m:sub>
                <m:r>
                  <m:t>u</m:t>
                </m:r>
              </m:sub>
              <m:sup>
                <m:r>
                  <m:t>2</m:t>
                </m:r>
              </m:sup>
            </m:sSubSup>
          </m:e>
        </m:d>
      </m:oMath>
      <w:r>
        <w:rPr>
          <w:rFonts w:ascii="Arial" w:hAnsi="Arial"/>
          <w:sz w:val="20"/>
        </w:rPr>
        <w:t xml:space="preserve"> </w:t>
      </w:r>
      <w:r>
        <w:rPr>
          <w:rFonts w:ascii="Arial" w:hAnsi="Arial"/>
          <w:sz w:val="20"/>
        </w:rPr>
        <w:t xml:space="preserve">(</w:t>
      </w:r>
      <m:oMath>
        <m:sSub>
          <m:e>
            <m:r>
              <m:t>σ</m:t>
            </m:r>
          </m:e>
          <m:sub>
            <m:r>
              <m:t>u</m:t>
            </m:r>
          </m:sub>
        </m:sSub>
        <m:r>
          <m:rPr>
            <m:sty m:val="p"/>
          </m:rPr>
          <m:t>=</m:t>
        </m:r>
        <m:r>
          <m:t>13.06</m:t>
        </m:r>
      </m:oMath>
      <w:r>
        <w:rPr>
          <w:rFonts w:ascii="Arial" w:hAnsi="Arial"/>
          <w:sz w:val="20"/>
        </w:rPr>
        <w:t xml:space="preserve"> </w:t>
      </w:r>
      <w:r>
        <w:rPr>
          <w:rFonts w:ascii="Arial" w:hAnsi="Arial"/>
          <w:sz w:val="20"/>
        </w:rPr>
        <w:t xml:space="preserve">d),</w:t>
      </w:r>
      <w:r>
        <w:rPr>
          <w:rFonts w:ascii="Arial" w:hAnsi="Arial"/>
          <w:sz w:val="20"/>
        </w:rPr>
        <w:t xml:space="preserve"> </w:t>
      </w:r>
      <w:r>
        <w:rPr>
          <w:rFonts w:ascii="Arial" w:hAnsi="Arial"/>
          <w:sz w:val="20"/>
        </w:rPr>
        <w:t xml:space="preserve">year FE</w:t>
      </w:r>
      <w:r>
        <w:rPr>
          <w:rFonts w:ascii="Arial" w:hAnsi="Arial"/>
          <w:sz w:val="20"/>
        </w:rPr>
        <w:t xml:space="preserve"> </w:t>
      </w:r>
      <m:oMath>
        <m:sSub>
          <m:e>
            <m:r>
              <m:t>δ</m:t>
            </m:r>
          </m:e>
          <m:sub>
            <m:r>
              <m:t>t</m:t>
            </m:r>
          </m:sub>
        </m:sSub>
        <m:r>
          <m:t>​</m:t>
        </m:r>
        <m:r>
          <m:rPr>
            <m:sty m:val="p"/>
          </m:rPr>
          <m:t>∼</m:t>
        </m:r>
        <m:r>
          <m:t>​</m:t>
        </m:r>
        <m:r>
          <m:t>N</m:t>
        </m:r>
        <m:d>
          <m:dPr>
            <m:begChr m:val="("/>
            <m:endChr m:val=")"/>
            <m:sepChr m:val=""/>
            <m:grow/>
          </m:dPr>
          <m:e>
            <m:r>
              <m:t>0</m:t>
            </m:r>
            <m:r>
              <m:rPr>
                <m:sty m:val="p"/>
              </m:rPr>
              <m:t>,</m:t>
            </m:r>
            <m:sSubSup>
              <m:e>
                <m:r>
                  <m:t>σ</m:t>
                </m:r>
              </m:e>
              <m:sub>
                <m:r>
                  <m:t>t</m:t>
                </m:r>
              </m:sub>
              <m:sup>
                <m:r>
                  <m:t>2</m:t>
                </m:r>
              </m:sup>
            </m:sSubSup>
          </m:e>
        </m:d>
      </m:oMath>
      <w:r>
        <w:rPr>
          <w:rFonts w:ascii="Arial" w:hAnsi="Arial"/>
          <w:sz w:val="20"/>
        </w:rPr>
        <w:t xml:space="preserve"> </w:t>
      </w:r>
      <w:r>
        <w:rPr>
          <w:rFonts w:ascii="Arial" w:hAnsi="Arial"/>
          <w:sz w:val="20"/>
        </w:rPr>
        <w:t xml:space="preserve">(</w:t>
      </w:r>
      <m:oMath>
        <m:sSub>
          <m:e>
            <m:r>
              <m:t>σ</m:t>
            </m:r>
          </m:e>
          <m:sub>
            <m:r>
              <m:t>t</m:t>
            </m:r>
          </m:sub>
        </m:sSub>
        <m:r>
          <m:rPr>
            <m:sty m:val="p"/>
          </m:rPr>
          <m:t>=</m:t>
        </m:r>
        <m:r>
          <m:t>41.75</m:t>
        </m:r>
      </m:oMath>
      <w:r>
        <w:rPr>
          <w:rFonts w:ascii="Arial" w:hAnsi="Arial"/>
          <w:sz w:val="20"/>
        </w:rPr>
        <w:t xml:space="preserve"> </w:t>
      </w:r>
      <w:r>
        <w:rPr>
          <w:rFonts w:ascii="Arial" w:hAnsi="Arial"/>
          <w:sz w:val="20"/>
        </w:rPr>
        <w:t xml:space="preserve">d), and</w:t>
      </w:r>
      <w:r>
        <w:rPr>
          <w:rFonts w:ascii="Arial" w:hAnsi="Arial"/>
          <w:sz w:val="20"/>
        </w:rPr>
        <w:t xml:space="preserve"> </w:t>
      </w:r>
      <w:r>
        <w:rPr>
          <w:rFonts w:ascii="Arial" w:hAnsi="Arial"/>
          <w:sz w:val="20"/>
        </w:rPr>
        <w:t xml:space="preserve">idiosyncratic noise</w:t>
      </w:r>
      <w:r>
        <w:rPr>
          <w:rFonts w:ascii="Arial" w:hAnsi="Arial"/>
          <w:sz w:val="20"/>
        </w:rPr>
        <w:t xml:space="preserve"> </w:t>
      </w:r>
      <m:oMath>
        <m:sSub>
          <m:e>
            <m:r>
              <m:t>ε</m:t>
            </m:r>
          </m:e>
          <m:sub>
            <m:r>
              <m:t>i</m:t>
            </m:r>
            <m:r>
              <m:t>t</m:t>
            </m:r>
          </m:sub>
        </m:sSub>
        <m:r>
          <m:t>​</m:t>
        </m:r>
        <m:r>
          <m:rPr>
            <m:sty m:val="p"/>
          </m:rPr>
          <m:t>∼</m:t>
        </m:r>
        <m:r>
          <m:t>​</m:t>
        </m:r>
        <m:r>
          <m:t>N</m:t>
        </m:r>
        <m:d>
          <m:dPr>
            <m:begChr m:val="("/>
            <m:endChr m:val=")"/>
            <m:sepChr m:val=""/>
            <m:grow/>
          </m:dPr>
          <m:e>
            <m:r>
              <m:t>0</m:t>
            </m:r>
            <m:r>
              <m:rPr>
                <m:sty m:val="p"/>
              </m:rPr>
              <m:t>,</m:t>
            </m:r>
            <m:sSubSup>
              <m:e>
                <m:r>
                  <m:t>σ</m:t>
                </m:r>
              </m:e>
              <m:sub>
                <m:r>
                  <m:t>ε</m:t>
                </m:r>
              </m:sub>
              <m:sup>
                <m:r>
                  <m:t>2</m:t>
                </m:r>
              </m:sup>
            </m:sSubSup>
          </m:e>
        </m:d>
      </m:oMath>
      <w:r>
        <w:rPr>
          <w:rFonts w:ascii="Arial" w:hAnsi="Arial"/>
          <w:sz w:val="20"/>
        </w:rPr>
        <w:t xml:space="preserve"> </w:t>
      </w:r>
      <w:r>
        <w:rPr>
          <w:rFonts w:ascii="Arial" w:hAnsi="Arial"/>
          <w:sz w:val="20"/>
        </w:rPr>
        <w:t xml:space="preserve">(</w:t>
      </w:r>
      <m:oMath>
        <m:sSub>
          <m:e>
            <m:r>
              <m:t>σ</m:t>
            </m:r>
          </m:e>
          <m:sub>
            <m:r>
              <m:t>ε</m:t>
            </m:r>
          </m:sub>
        </m:sSub>
        <m:r>
          <m:rPr>
            <m:sty m:val="p"/>
          </m:rPr>
          <m:t>=</m:t>
        </m:r>
        <m:r>
          <m:t>31.28</m:t>
        </m:r>
      </m:oMath>
      <w:r>
        <w:rPr>
          <w:rFonts w:ascii="Arial" w:hAnsi="Arial"/>
          <w:sz w:val="20"/>
        </w:rPr>
        <w:t xml:space="preserve"> </w:t>
      </w:r>
      <w:r>
        <w:rPr>
          <w:rFonts w:ascii="Arial" w:hAnsi="Arial"/>
          <w:sz w:val="20"/>
        </w:rPr>
        <w:t xml:space="preserve">d). Variance components are</w:t>
      </w:r>
      <w:r>
        <w:rPr>
          <w:rFonts w:ascii="Arial" w:hAnsi="Arial"/>
          <w:sz w:val="20"/>
        </w:rPr>
        <w:t xml:space="preserve"> </w:t>
      </w:r>
      <w:r>
        <w:rPr>
          <w:rFonts w:ascii="Arial" w:hAnsi="Arial"/>
          <w:b/>
          <w:bCs/>
          <w:sz w:val="20"/>
        </w:rPr>
        <w:t xml:space="preserve">empirical</w:t>
      </w:r>
      <w:r>
        <w:rPr>
          <w:rFonts w:ascii="Arial" w:hAnsi="Arial"/>
          <w:b/>
          <w:bCs/>
          <w:sz w:val="20"/>
        </w:rPr>
        <w:t xml:space="preserve"> </w:t>
      </w:r>
      <w:r>
        <w:rPr>
          <w:rFonts w:ascii="Arial" w:hAnsi="Arial"/>
          <w:b/>
          <w:bCs/>
          <w:sz w:val="20"/>
        </w:rPr>
        <w:t xml:space="preserve">point estimates</w:t>
      </w:r>
      <w:r>
        <w:rPr>
          <w:rFonts w:ascii="Arial" w:hAnsi="Arial"/>
          <w:sz w:val="20"/>
        </w:rPr>
        <w:t xml:space="preserve"> </w:t>
      </w:r>
      <w:r>
        <w:rPr>
          <w:rFonts w:ascii="Arial" w:hAnsi="Arial"/>
          <w:sz w:val="20"/>
        </w:rPr>
        <w:t xml:space="preserve">obtained from a two-way fixed-effects decomposition of</w:t>
      </w:r>
      <w:r>
        <w:rPr>
          <w:rFonts w:ascii="Arial" w:hAnsi="Arial"/>
          <w:sz w:val="20"/>
        </w:rPr>
        <w:t xml:space="preserve"> </w:t>
      </w:r>
      <w:r>
        <w:rPr>
          <w:rFonts w:ascii="Arial" w:hAnsi="Arial"/>
          <w:sz w:val="20"/>
        </w:rPr>
        <w:t xml:space="preserve">the real v2.1 corrected-SOS panel (</w:t>
      </w:r>
      <w:r>
        <w:rPr>
          <w:rStyle w:val="VerbatimChar"/>
          <w:rFonts w:ascii="Arial" w:hAnsi="Arial"/>
          <w:sz w:val="20"/>
        </w:rPr>
        <w:t xml:space="preserve">analysis/17_estimate_panel_variance_components.py</w:t>
      </w:r>
      <w:r>
        <w:rPr>
          <w:rFonts w:ascii="Arial" w:hAnsi="Arial"/>
          <w:sz w:val="20"/>
        </w:rPr>
        <w:t xml:space="preserve">;</w:t>
      </w:r>
      <w:r>
        <w:rPr>
          <w:rFonts w:ascii="Arial" w:hAnsi="Arial"/>
          <w:sz w:val="20"/>
        </w:rPr>
        <w:t xml:space="preserve"> </w:t>
      </w:r>
      <w:r>
        <w:rPr>
          <w:rFonts w:ascii="Arial" w:hAnsi="Arial"/>
          <w:sz w:val="20"/>
        </w:rPr>
        <w:t xml:space="preserve">output</w:t>
      </w:r>
      <w:r>
        <w:rPr>
          <w:rFonts w:ascii="Arial" w:hAnsi="Arial"/>
          <w:sz w:val="20"/>
        </w:rPr>
        <w:t xml:space="preserve"> </w:t>
      </w:r>
      <w:r>
        <w:rPr>
          <w:rStyle w:val="VerbatimChar"/>
          <w:rFonts w:ascii="Arial" w:hAnsi="Arial"/>
          <w:sz w:val="20"/>
        </w:rPr>
        <w:t xml:space="preserve">analysis/results/real_v21/variance_components_real_v21.csv</w:t>
      </w:r>
      <w:r>
        <w:rPr>
          <w:rFonts w:ascii="Arial" w:hAnsi="Arial"/>
          <w:sz w:val="20"/>
        </w:rPr>
        <w:t xml:space="preserve">):</w:t>
      </w:r>
      <w:r>
        <w:rPr>
          <w:rFonts w:ascii="Arial" w:hAnsi="Arial"/>
          <w:sz w:val="20"/>
        </w:rPr>
        <w:t xml:space="preserve"> </w:t>
      </w:r>
      <w:r>
        <w:rPr>
          <w:rFonts w:ascii="Arial" w:hAnsi="Arial"/>
          <w:sz w:val="20"/>
        </w:rPr>
        <w:t xml:space="preserve">district means and year means are removed sequentially with</w:t>
      </w:r>
      <w:r>
        <w:rPr>
          <w:rFonts w:ascii="Arial" w:hAnsi="Arial"/>
          <w:sz w:val="20"/>
        </w:rPr>
        <w:t xml:space="preserve"> </w:t>
      </w:r>
      <w:r>
        <w:rPr>
          <w:rStyle w:val="VerbatimChar"/>
          <w:rFonts w:ascii="Arial" w:hAnsi="Arial"/>
          <w:sz w:val="20"/>
        </w:rPr>
        <w:t xml:space="preserve">ddof=1</w:t>
      </w:r>
      <w:r>
        <w:rPr>
          <w:rFonts w:ascii="Arial" w:hAnsi="Arial"/>
          <w:sz w:val="20"/>
        </w:rPr>
        <w:t xml:space="preserve"> </w:t>
      </w:r>
      <w:r>
        <w:rPr>
          <w:rFonts w:ascii="Arial" w:hAnsi="Arial"/>
          <w:sz w:val="20"/>
        </w:rPr>
        <w:t xml:space="preserve">and</w:t>
      </w:r>
      <w:r>
        <w:rPr>
          <w:rFonts w:ascii="Arial" w:hAnsi="Arial"/>
          <w:sz w:val="20"/>
        </w:rPr>
        <w:t xml:space="preserve"> </w:t>
      </w:r>
      <w:r>
        <w:rPr>
          <w:rFonts w:ascii="Arial" w:hAnsi="Arial"/>
          <w:sz w:val="20"/>
        </w:rPr>
        <w:t xml:space="preserve">the residual variance gives</w:t>
      </w:r>
      <w:r>
        <w:rPr>
          <w:rFonts w:ascii="Arial" w:hAnsi="Arial"/>
          <w:sz w:val="20"/>
        </w:rPr>
        <w:t xml:space="preserve"> </w:t>
      </w:r>
      <m:oMath>
        <m:sSubSup>
          <m:e>
            <m:r>
              <m:t>σ</m:t>
            </m:r>
          </m:e>
          <m:sub>
            <m:r>
              <m:t>ε</m:t>
            </m:r>
          </m:sub>
          <m:sup>
            <m:r>
              <m:t>2</m:t>
            </m:r>
          </m:sup>
        </m:sSubSup>
      </m:oMath>
      <w:r>
        <w:rPr>
          <w:rFonts w:ascii="Arial" w:hAnsi="Arial"/>
          <w:sz w:val="20"/>
        </w:rPr>
        <w:t xml:space="preserve">. No synthetic or</w:t>
      </w:r>
      <w:r>
        <w:rPr>
          <w:rFonts w:ascii="Arial" w:hAnsi="Arial"/>
          <w:sz w:val="20"/>
        </w:rPr>
        <w:t xml:space="preserve"> </w:t>
      </w:r>
      <w:r>
        <w:rPr>
          <w:rFonts w:ascii="Arial" w:hAnsi="Arial"/>
          <w:sz w:val="20"/>
        </w:rPr>
        <w:t xml:space="preserve">literature-derived values enter the simulator.</w:t>
      </w:r>
      <w:r>
        <w:rPr>
          <w:rFonts w:ascii="Arial" w:hAnsi="Arial"/>
          <w:sz w:val="20"/>
        </w:rPr>
        <w:t xml:space="preserve"> </w:t>
      </w:r>
      <w:r>
        <w:rPr>
          <w:rFonts w:ascii="Arial" w:hAnsi="Arial"/>
          <w:sz w:val="20"/>
        </w:rPr>
        <w:t xml:space="preserve">Half the districts are treated, with the post-period covering the</w:t>
      </w:r>
      <w:r>
        <w:rPr>
          <w:rFonts w:ascii="Arial" w:hAnsi="Arial"/>
          <w:sz w:val="20"/>
        </w:rPr>
        <w:t xml:space="preserve"> </w:t>
      </w:r>
      <w:r>
        <w:rPr>
          <w:rFonts w:ascii="Arial" w:hAnsi="Arial"/>
          <w:sz w:val="20"/>
        </w:rPr>
        <w:t xml:space="preserve">second half of T = 8 years. We test</w:t>
      </w:r>
      <w:r>
        <w:rPr>
          <w:rFonts w:ascii="Arial" w:hAnsi="Arial"/>
          <w:sz w:val="20"/>
        </w:rPr>
        <w:t xml:space="preserve"> </w:t>
      </w:r>
      <m:oMath>
        <m:sSub>
          <m:e>
            <m:r>
              <m:t>H</m:t>
            </m:r>
          </m:e>
          <m:sub>
            <m:r>
              <m:t>0</m:t>
            </m:r>
          </m:sub>
        </m:sSub>
        <m:r>
          <m:t>​</m:t>
        </m:r>
        <m:r>
          <m:rPr>
            <m:sty m:val="p"/>
          </m:rPr>
          <m:t>:</m:t>
        </m:r>
        <m:r>
          <m:t> </m:t>
        </m:r>
        <m:r>
          <m:t>τ</m:t>
        </m:r>
        <m:r>
          <m:rPr>
            <m:sty m:val="p"/>
          </m:rPr>
          <m:t>=</m:t>
        </m:r>
        <m:r>
          <m:t>0</m:t>
        </m:r>
      </m:oMath>
      <w:r>
        <w:rPr>
          <w:rFonts w:ascii="Arial" w:hAnsi="Arial"/>
          <w:sz w:val="20"/>
        </w:rPr>
        <w:t xml:space="preserve"> </w:t>
      </w:r>
      <w:r>
        <w:rPr>
          <w:rFonts w:ascii="Arial" w:hAnsi="Arial"/>
          <w:sz w:val="20"/>
        </w:rPr>
        <w:t xml:space="preserve">using OLS with</w:t>
      </w:r>
      <w:r>
        <w:rPr>
          <w:rFonts w:ascii="Arial" w:hAnsi="Arial"/>
          <w:sz w:val="20"/>
        </w:rPr>
        <w:t xml:space="preserve"> </w:t>
      </w:r>
      <w:r>
        <w:rPr>
          <w:rFonts w:ascii="Arial" w:hAnsi="Arial"/>
          <w:sz w:val="20"/>
        </w:rPr>
        <w:t xml:space="preserve">CR1-corrected cluster-robust SE on G clusters and a t-test at df = G−1.</w:t>
      </w: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Style w:val="VerbatimCha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Style w:val="VerbatimCha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Compact"/>
        <w:numPr>
          <w:ilvl w:val="0"/>
          <w:numId w:val="1001"/>
        </w:numPr>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Compact"/>
        <w:numPr>
          <w:ilvl w:val="0"/>
          <w:numId w:val="1001"/>
        </w:numPr>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Style w:val="VerbatimCha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pStyle w:val="FirstParagraph"/>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42011" w:name="table_s1"/>
      <w:r>
        <w:rPr>
          <w:rFonts w:ascii="Arial" w:hAnsi="Arial"/>
          <w:b/>
          <w:color w:val="1F3A5F"/>
          <w:sz w:val="32"/>
        </w:rPr>
        <w:t>Table S1 — Static TWFE-DiD point estimates</w:t>
      </w:r>
      <w:bookmarkEnd w:id="42011"/>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3213" w:name="table_s2"/>
      <w:r>
        <w:rPr>
          <w:rFonts w:ascii="Arial" w:hAnsi="Arial"/>
          <w:b/>
          <w:color w:val="1F3A5F"/>
          <w:sz w:val="32"/>
        </w:rPr>
        <w:t>Table S2 — Pre-trend tests</w:t>
      </w:r>
      <w:bookmarkEnd w:id="7321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713" w:name="table_s3"/>
      <w:r>
        <w:rPr>
          <w:rFonts w:ascii="Arial" w:hAnsi="Arial"/>
          <w:b/>
          <w:color w:val="1F3A5F"/>
          <w:sz w:val="32"/>
        </w:rPr>
        <w:t>Table S3 — Bulbul transferability residuals</w:t>
      </w:r>
      <w:bookmarkEnd w:id="44713"/>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($\Delta_{\mathrm{obs},d}$), plug-in prediction $\hat\tau_{\mathrm{corrected,SOS}} = +15.108$ d (SE = 17.312 d, district-clustered), and transferability residual $r_d$. The 95% prediction interval combines the TWFE clustered SE with the empirical idiosyncratic SD of the probe-baseline SOS ($\hat\sigma = 19.88$ d), yielding PI$_{95}$ = [-36.57, +66.78] d. Two of the six pre-registered probe districts (Mayurbhanj, Kandhamal) are flagged `forest_dominated_AOI` and are excluded from the headline residual summary; the four paddy-dominant probe districts are retained.</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rFonts w:ascii="Arial" w:hAnsi="Arial"/>
                <w:b/>
                <w:sz w:val="19"/>
              </w:rPr>
              <w:t>District</w:t>
            </w:r>
          </w:p>
        </w:tc>
        <w:tc>
          <w:tcPr>
            <w:tcW w:type="dxa" w:w="1108"/>
          </w:tcPr>
          <w:p>
            <w:r>
              <w:rPr>
                <w:rFonts w:ascii="Arial" w:hAnsi="Arial"/>
                <w:b/>
                <w:sz w:val="19"/>
              </w:rPr>
              <w:t>Exposure</w:t>
            </w:r>
          </w:p>
        </w:tc>
        <w:tc>
          <w:tcPr>
            <w:tcW w:type="dxa" w:w="1108"/>
          </w:tcPr>
          <w:p>
            <w:r>
              <w:rPr>
                <w:rFonts w:ascii="Arial" w:hAnsi="Arial"/>
                <w:b/>
                <w:sz w:val="19"/>
              </w:rPr>
              <w:t>SOS baseline (DOY)</w:t>
            </w:r>
          </w:p>
        </w:tc>
        <w:tc>
          <w:tcPr>
            <w:tcW w:type="dxa" w:w="1108"/>
          </w:tcPr>
          <w:p>
            <w:r>
              <w:rPr>
                <w:rFonts w:ascii="Arial" w:hAnsi="Arial"/>
                <w:b/>
                <w:sz w:val="19"/>
              </w:rPr>
              <w:t>SOS ′2020 (DOY)</w:t>
            </w:r>
          </w:p>
        </w:tc>
        <w:tc>
          <w:tcPr>
            <w:tcW w:type="dxa" w:w="1108"/>
          </w:tcPr>
          <w:p>
            <w:r>
              <w:rPr>
                <w:rFonts w:ascii="Arial" w:hAnsi="Arial"/>
                <w:b/>
                <w:sz w:val="19"/>
              </w:rPr>
              <w:t>Δ obs (d)</w:t>
            </w:r>
          </w:p>
        </w:tc>
        <w:tc>
          <w:tcPr>
            <w:tcW w:type="dxa" w:w="1108"/>
          </w:tcPr>
          <w:p>
            <w:r>
              <w:rPr>
                <w:rFonts w:ascii="Arial" w:hAnsi="Arial"/>
                <w:b/>
                <w:sz w:val="19"/>
              </w:rPr>
              <w:t>τ̂ plug-in (d)</w:t>
            </w:r>
          </w:p>
        </w:tc>
        <w:tc>
          <w:tcPr>
            <w:tcW w:type="dxa" w:w="1108"/>
          </w:tcPr>
          <w:p>
            <w:r>
              <w:rPr>
                <w:rFonts w:ascii="Arial" w:hAnsi="Arial"/>
                <w:b/>
                <w:sz w:val="19"/>
              </w:rPr>
              <w:t>r_d (d)</w:t>
            </w:r>
          </w:p>
        </w:tc>
        <w:tc>
          <w:tcPr>
            <w:tcW w:type="dxa" w:w="1108"/>
          </w:tcPr>
          <w:p>
            <w:r>
              <w:rPr>
                <w:rFonts w:ascii="Arial" w:hAnsi="Arial"/>
                <w:b/>
                <w:sz w:val="19"/>
              </w:rPr>
              <w:t>Inside 95% PI?</w:t>
            </w:r>
          </w:p>
        </w:tc>
        <w:tc>
          <w:tcPr>
            <w:tcW w:type="dxa" w:w="1108"/>
          </w:tcPr>
          <w:p>
            <w:r>
              <w:rPr>
                <w:rFonts w:ascii="Arial" w:hAnsi="Arial"/>
                <w:b/>
                <w:sz w:val="19"/>
              </w:rPr>
              <w:t>AOI flag</w:t>
            </w:r>
          </w:p>
        </w:tc>
      </w:tr>
      <w:tr>
        <w:tc>
          <w:tcPr>
            <w:tcW w:type="dxa" w:w="1108"/>
          </w:tcPr>
          <w:p>
            <w:r>
              <w:rPr>
                <w:rFonts w:ascii="Arial" w:hAnsi="Arial"/>
                <w:sz w:val="19"/>
              </w:rPr>
              <w:t>Boudh</w:t>
            </w:r>
          </w:p>
        </w:tc>
        <w:tc>
          <w:tcPr>
            <w:tcW w:type="dxa" w:w="1108"/>
          </w:tcPr>
          <w:p>
            <w:r>
              <w:rPr>
                <w:rFonts w:ascii="Arial" w:hAnsi="Arial"/>
                <w:sz w:val="19"/>
              </w:rPr>
              <w:t>inland_rainfall</w:t>
            </w:r>
          </w:p>
        </w:tc>
        <w:tc>
          <w:tcPr>
            <w:tcW w:type="dxa" w:w="1108"/>
          </w:tcPr>
          <w:p>
            <w:r>
              <w:rPr>
                <w:rFonts w:ascii="Arial" w:hAnsi="Arial"/>
                <w:sz w:val="19"/>
              </w:rPr>
              <w:t>169.4</w:t>
            </w:r>
          </w:p>
        </w:tc>
        <w:tc>
          <w:tcPr>
            <w:tcW w:type="dxa" w:w="1108"/>
          </w:tcPr>
          <w:p>
            <w:r>
              <w:rPr>
                <w:rFonts w:ascii="Arial" w:hAnsi="Arial"/>
                <w:sz w:val="19"/>
              </w:rPr>
              <w:t>176.4</w:t>
            </w:r>
          </w:p>
        </w:tc>
        <w:tc>
          <w:tcPr>
            <w:tcW w:type="dxa" w:w="1108"/>
          </w:tcPr>
          <w:p>
            <w:r>
              <w:rPr>
                <w:rFonts w:ascii="Arial" w:hAnsi="Arial"/>
                <w:sz w:val="19"/>
              </w:rPr>
              <w:t>+7.00</w:t>
            </w:r>
          </w:p>
        </w:tc>
        <w:tc>
          <w:tcPr>
            <w:tcW w:type="dxa" w:w="1108"/>
          </w:tcPr>
          <w:p>
            <w:r>
              <w:rPr>
                <w:rFonts w:ascii="Arial" w:hAnsi="Arial"/>
                <w:sz w:val="19"/>
              </w:rPr>
              <w:t>+15.108</w:t>
            </w:r>
          </w:p>
        </w:tc>
        <w:tc>
          <w:tcPr>
            <w:tcW w:type="dxa" w:w="1108"/>
          </w:tcPr>
          <w:p>
            <w:r>
              <w:rPr>
                <w:rFonts w:ascii="Arial" w:hAnsi="Arial"/>
                <w:sz w:val="19"/>
              </w:rPr>
              <w:t>-8.11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Ganjam</w:t>
            </w:r>
          </w:p>
        </w:tc>
        <w:tc>
          <w:tcPr>
            <w:tcW w:type="dxa" w:w="1108"/>
          </w:tcPr>
          <w:p>
            <w:r>
              <w:rPr>
                <w:rFonts w:ascii="Arial" w:hAnsi="Arial"/>
                <w:sz w:val="19"/>
              </w:rPr>
              <w:t>coastal_rainfall</w:t>
            </w:r>
          </w:p>
        </w:tc>
        <w:tc>
          <w:tcPr>
            <w:tcW w:type="dxa" w:w="1108"/>
          </w:tcPr>
          <w:p>
            <w:r>
              <w:rPr>
                <w:rFonts w:ascii="Arial" w:hAnsi="Arial"/>
                <w:sz w:val="19"/>
              </w:rPr>
              <w:t>184.4</w:t>
            </w:r>
          </w:p>
        </w:tc>
        <w:tc>
          <w:tcPr>
            <w:tcW w:type="dxa" w:w="1108"/>
          </w:tcPr>
          <w:p>
            <w:r>
              <w:rPr>
                <w:rFonts w:ascii="Arial" w:hAnsi="Arial"/>
                <w:sz w:val="19"/>
              </w:rPr>
              <w:t>198.3</w:t>
            </w:r>
          </w:p>
        </w:tc>
        <w:tc>
          <w:tcPr>
            <w:tcW w:type="dxa" w:w="1108"/>
          </w:tcPr>
          <w:p>
            <w:r>
              <w:rPr>
                <w:rFonts w:ascii="Arial" w:hAnsi="Arial"/>
                <w:sz w:val="19"/>
              </w:rPr>
              <w:t>+14.00</w:t>
            </w:r>
          </w:p>
        </w:tc>
        <w:tc>
          <w:tcPr>
            <w:tcW w:type="dxa" w:w="1108"/>
          </w:tcPr>
          <w:p>
            <w:r>
              <w:rPr>
                <w:rFonts w:ascii="Arial" w:hAnsi="Arial"/>
                <w:sz w:val="19"/>
              </w:rPr>
              <w:t>+15.108</w:t>
            </w:r>
          </w:p>
        </w:tc>
        <w:tc>
          <w:tcPr>
            <w:tcW w:type="dxa" w:w="1108"/>
          </w:tcPr>
          <w:p>
            <w:r>
              <w:rPr>
                <w:rFonts w:ascii="Arial" w:hAnsi="Arial"/>
                <w:sz w:val="19"/>
              </w:rPr>
              <w:t>-1.11</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Kandhamal</w:t>
            </w:r>
          </w:p>
        </w:tc>
        <w:tc>
          <w:tcPr>
            <w:tcW w:type="dxa" w:w="1108"/>
          </w:tcPr>
          <w:p>
            <w:r>
              <w:rPr>
                <w:rFonts w:ascii="Arial" w:hAnsi="Arial"/>
                <w:sz w:val="19"/>
              </w:rPr>
              <w:t>inland_rainfall</w:t>
            </w:r>
          </w:p>
        </w:tc>
        <w:tc>
          <w:tcPr>
            <w:tcW w:type="dxa" w:w="1108"/>
          </w:tcPr>
          <w:p>
            <w:r>
              <w:rPr>
                <w:rFonts w:ascii="Arial" w:hAnsi="Arial"/>
                <w:sz w:val="19"/>
              </w:rPr>
              <w:t>151.0</w:t>
            </w:r>
          </w:p>
        </w:tc>
        <w:tc>
          <w:tcPr>
            <w:tcW w:type="dxa" w:w="1108"/>
          </w:tcPr>
          <w:p>
            <w:r>
              <w:rPr>
                <w:rFonts w:ascii="Arial" w:hAnsi="Arial"/>
                <w:sz w:val="19"/>
              </w:rPr>
              <w:t>206.4</w:t>
            </w:r>
          </w:p>
        </w:tc>
        <w:tc>
          <w:tcPr>
            <w:tcW w:type="dxa" w:w="1108"/>
          </w:tcPr>
          <w:p>
            <w:r>
              <w:rPr>
                <w:rFonts w:ascii="Arial" w:hAnsi="Arial"/>
                <w:sz w:val="19"/>
              </w:rPr>
              <w:t>+55.50</w:t>
            </w:r>
          </w:p>
        </w:tc>
        <w:tc>
          <w:tcPr>
            <w:tcW w:type="dxa" w:w="1108"/>
          </w:tcPr>
          <w:p>
            <w:r>
              <w:rPr>
                <w:rFonts w:ascii="Arial" w:hAnsi="Arial"/>
                <w:sz w:val="19"/>
              </w:rPr>
              <w:t>+15.108</w:t>
            </w:r>
          </w:p>
        </w:tc>
        <w:tc>
          <w:tcPr>
            <w:tcW w:type="dxa" w:w="1108"/>
          </w:tcPr>
          <w:p>
            <w:r>
              <w:rPr>
                <w:rFonts w:ascii="Arial" w:hAnsi="Arial"/>
                <w:sz w:val="19"/>
              </w:rPr>
              <w:t>+40.39</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Khordha</w:t>
            </w:r>
          </w:p>
        </w:tc>
        <w:tc>
          <w:tcPr>
            <w:tcW w:type="dxa" w:w="1108"/>
          </w:tcPr>
          <w:p>
            <w:r>
              <w:rPr>
                <w:rFonts w:ascii="Arial" w:hAnsi="Arial"/>
                <w:sz w:val="19"/>
              </w:rPr>
              <w:t>coastal_rainfall</w:t>
            </w:r>
          </w:p>
        </w:tc>
        <w:tc>
          <w:tcPr>
            <w:tcW w:type="dxa" w:w="1108"/>
          </w:tcPr>
          <w:p>
            <w:r>
              <w:rPr>
                <w:rFonts w:ascii="Arial" w:hAnsi="Arial"/>
                <w:sz w:val="19"/>
              </w:rPr>
              <w:t>141.7</w:t>
            </w:r>
          </w:p>
        </w:tc>
        <w:tc>
          <w:tcPr>
            <w:tcW w:type="dxa" w:w="1108"/>
          </w:tcPr>
          <w:p>
            <w:r>
              <w:rPr>
                <w:rFonts w:ascii="Arial" w:hAnsi="Arial"/>
                <w:sz w:val="19"/>
              </w:rPr>
              <w:t>179.3</w:t>
            </w:r>
          </w:p>
        </w:tc>
        <w:tc>
          <w:tcPr>
            <w:tcW w:type="dxa" w:w="1108"/>
          </w:tcPr>
          <w:p>
            <w:r>
              <w:rPr>
                <w:rFonts w:ascii="Arial" w:hAnsi="Arial"/>
                <w:sz w:val="19"/>
              </w:rPr>
              <w:t>+37.60</w:t>
            </w:r>
          </w:p>
        </w:tc>
        <w:tc>
          <w:tcPr>
            <w:tcW w:type="dxa" w:w="1108"/>
          </w:tcPr>
          <w:p>
            <w:r>
              <w:rPr>
                <w:rFonts w:ascii="Arial" w:hAnsi="Arial"/>
                <w:sz w:val="19"/>
              </w:rPr>
              <w:t>+15.108</w:t>
            </w:r>
          </w:p>
        </w:tc>
        <w:tc>
          <w:tcPr>
            <w:tcW w:type="dxa" w:w="1108"/>
          </w:tcPr>
          <w:p>
            <w:r>
              <w:rPr>
                <w:rFonts w:ascii="Arial" w:hAnsi="Arial"/>
                <w:sz w:val="19"/>
              </w:rPr>
              <w:t>+22.49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sz w:val="19"/>
              </w:rPr>
              <w:t>Mayurbhanj</w:t>
            </w:r>
          </w:p>
        </w:tc>
        <w:tc>
          <w:tcPr>
            <w:tcW w:type="dxa" w:w="1108"/>
          </w:tcPr>
          <w:p>
            <w:r>
              <w:rPr>
                <w:rFonts w:ascii="Arial" w:hAnsi="Arial"/>
                <w:sz w:val="19"/>
              </w:rPr>
              <w:t>coastal_rainfall</w:t>
            </w:r>
          </w:p>
        </w:tc>
        <w:tc>
          <w:tcPr>
            <w:tcW w:type="dxa" w:w="1108"/>
          </w:tcPr>
          <w:p>
            <w:r>
              <w:rPr>
                <w:rFonts w:ascii="Arial" w:hAnsi="Arial"/>
                <w:sz w:val="19"/>
              </w:rPr>
              <w:t>126.5</w:t>
            </w:r>
          </w:p>
        </w:tc>
        <w:tc>
          <w:tcPr>
            <w:tcW w:type="dxa" w:w="1108"/>
          </w:tcPr>
          <w:p>
            <w:r>
              <w:rPr>
                <w:rFonts w:ascii="Arial" w:hAnsi="Arial"/>
                <w:sz w:val="19"/>
              </w:rPr>
              <w:t>121.0</w:t>
            </w:r>
          </w:p>
        </w:tc>
        <w:tc>
          <w:tcPr>
            <w:tcW w:type="dxa" w:w="1108"/>
          </w:tcPr>
          <w:p>
            <w:r>
              <w:rPr>
                <w:rFonts w:ascii="Arial" w:hAnsi="Arial"/>
                <w:sz w:val="19"/>
              </w:rPr>
              <w:t>-5.50</w:t>
            </w:r>
          </w:p>
        </w:tc>
        <w:tc>
          <w:tcPr>
            <w:tcW w:type="dxa" w:w="1108"/>
          </w:tcPr>
          <w:p>
            <w:r>
              <w:rPr>
                <w:rFonts w:ascii="Arial" w:hAnsi="Arial"/>
                <w:sz w:val="19"/>
              </w:rPr>
              <w:t>+15.108</w:t>
            </w:r>
          </w:p>
        </w:tc>
        <w:tc>
          <w:tcPr>
            <w:tcW w:type="dxa" w:w="1108"/>
          </w:tcPr>
          <w:p>
            <w:r>
              <w:rPr>
                <w:rFonts w:ascii="Arial" w:hAnsi="Arial"/>
                <w:sz w:val="19"/>
              </w:rPr>
              <w:t>-20.61</w:t>
            </w:r>
          </w:p>
        </w:tc>
        <w:tc>
          <w:tcPr>
            <w:tcW w:type="dxa" w:w="1108"/>
          </w:tcPr>
          <w:p>
            <w:r>
              <w:rPr>
                <w:rFonts w:ascii="Arial" w:hAnsi="Arial"/>
                <w:sz w:val="19"/>
              </w:rPr>
              <w:t>yes</w:t>
            </w:r>
          </w:p>
        </w:tc>
        <w:tc>
          <w:tcPr>
            <w:tcW w:type="dxa" w:w="1108"/>
          </w:tcPr>
          <w:p>
            <w:r>
              <w:rPr>
                <w:rFonts w:ascii="Arial" w:hAnsi="Arial"/>
                <w:sz w:val="19"/>
              </w:rPr>
              <w:t>forest_dominated_AOI</w:t>
            </w:r>
          </w:p>
        </w:tc>
      </w:tr>
      <w:tr>
        <w:tc>
          <w:tcPr>
            <w:tcW w:type="dxa" w:w="1108"/>
          </w:tcPr>
          <w:p>
            <w:r>
              <w:rPr>
                <w:rFonts w:ascii="Arial" w:hAnsi="Arial"/>
                <w:sz w:val="19"/>
              </w:rPr>
              <w:t>Nayagarh</w:t>
            </w:r>
          </w:p>
        </w:tc>
        <w:tc>
          <w:tcPr>
            <w:tcW w:type="dxa" w:w="1108"/>
          </w:tcPr>
          <w:p>
            <w:r>
              <w:rPr>
                <w:rFonts w:ascii="Arial" w:hAnsi="Arial"/>
                <w:sz w:val="19"/>
              </w:rPr>
              <w:t>inland_rainfall</w:t>
            </w:r>
          </w:p>
        </w:tc>
        <w:tc>
          <w:tcPr>
            <w:tcW w:type="dxa" w:w="1108"/>
          </w:tcPr>
          <w:p>
            <w:r>
              <w:rPr>
                <w:rFonts w:ascii="Arial" w:hAnsi="Arial"/>
                <w:sz w:val="19"/>
              </w:rPr>
              <w:t>147.0</w:t>
            </w:r>
          </w:p>
        </w:tc>
        <w:tc>
          <w:tcPr>
            <w:tcW w:type="dxa" w:w="1108"/>
          </w:tcPr>
          <w:p>
            <w:r>
              <w:rPr>
                <w:rFonts w:ascii="Arial" w:hAnsi="Arial"/>
                <w:sz w:val="19"/>
              </w:rPr>
              <w:t>175.1</w:t>
            </w:r>
          </w:p>
        </w:tc>
        <w:tc>
          <w:tcPr>
            <w:tcW w:type="dxa" w:w="1108"/>
          </w:tcPr>
          <w:p>
            <w:r>
              <w:rPr>
                <w:rFonts w:ascii="Arial" w:hAnsi="Arial"/>
                <w:sz w:val="19"/>
              </w:rPr>
              <w:t>+28.10</w:t>
            </w:r>
          </w:p>
        </w:tc>
        <w:tc>
          <w:tcPr>
            <w:tcW w:type="dxa" w:w="1108"/>
          </w:tcPr>
          <w:p>
            <w:r>
              <w:rPr>
                <w:rFonts w:ascii="Arial" w:hAnsi="Arial"/>
                <w:sz w:val="19"/>
              </w:rPr>
              <w:t>+15.108</w:t>
            </w:r>
          </w:p>
        </w:tc>
        <w:tc>
          <w:tcPr>
            <w:tcW w:type="dxa" w:w="1108"/>
          </w:tcPr>
          <w:p>
            <w:r>
              <w:rPr>
                <w:rFonts w:ascii="Arial" w:hAnsi="Arial"/>
                <w:sz w:val="19"/>
              </w:rPr>
              <w:t>+12.99</w:t>
            </w:r>
          </w:p>
        </w:tc>
        <w:tc>
          <w:tcPr>
            <w:tcW w:type="dxa" w:w="1108"/>
          </w:tcPr>
          <w:p>
            <w:r>
              <w:rPr>
                <w:rFonts w:ascii="Arial" w:hAnsi="Arial"/>
                <w:sz w:val="19"/>
              </w:rPr>
              <w:t>yes</w:t>
            </w:r>
          </w:p>
        </w:tc>
        <w:tc>
          <w:tcPr>
            <w:tcW w:type="dxa" w:w="1108"/>
          </w:tcPr>
          <w:p>
            <w:r>
              <w:rPr>
                <w:rFonts w:ascii="Arial" w:hAnsi="Arial"/>
                <w:sz w:val="19"/>
              </w:rPr>
              <w:t>paddy_dominant</w:t>
            </w:r>
          </w:p>
        </w:tc>
      </w:tr>
      <w:tr>
        <w:tc>
          <w:tcPr>
            <w:tcW w:type="dxa" w:w="1108"/>
          </w:tcPr>
          <w:p>
            <w:r>
              <w:rPr>
                <w:rFonts w:ascii="Arial" w:hAnsi="Arial"/>
                <w:b/>
                <w:sz w:val="19"/>
              </w:rPr>
              <w:t>Mean (paddy-dominant, n = 4)</w:t>
            </w:r>
          </w:p>
        </w:tc>
        <w:tc>
          <w:tcPr>
            <w:tcW w:type="dxa" w:w="1108"/>
          </w:tcPr>
          <w:p>
            <w:r>
              <w:rPr>
                <w:rFonts w:ascii="Arial" w:hAnsi="Arial"/>
                <w:b/>
                <w:sz w:val="18"/>
              </w:rPr>
              <w:t>—</w:t>
            </w:r>
          </w:p>
        </w:tc>
        <w:tc>
          <w:tcPr>
            <w:tcW w:type="dxa" w:w="1108"/>
          </w:tcPr>
          <w:p>
            <w:r>
              <w:rPr>
                <w:rFonts w:ascii="Arial" w:hAnsi="Arial"/>
                <w:b/>
                <w:sz w:val="19"/>
              </w:rPr>
              <w:t>160.6</w:t>
            </w:r>
          </w:p>
        </w:tc>
        <w:tc>
          <w:tcPr>
            <w:tcW w:type="dxa" w:w="1108"/>
          </w:tcPr>
          <w:p>
            <w:r>
              <w:rPr>
                <w:rFonts w:ascii="Arial" w:hAnsi="Arial"/>
                <w:b/>
                <w:sz w:val="19"/>
              </w:rPr>
              <w:t>182.3</w:t>
            </w:r>
          </w:p>
        </w:tc>
        <w:tc>
          <w:tcPr>
            <w:tcW w:type="dxa" w:w="1108"/>
          </w:tcPr>
          <w:p>
            <w:r>
              <w:rPr>
                <w:rFonts w:ascii="Arial" w:hAnsi="Arial"/>
                <w:b/>
                <w:sz w:val="19"/>
              </w:rPr>
              <w:t>+21.68</w:t>
            </w:r>
          </w:p>
        </w:tc>
        <w:tc>
          <w:tcPr>
            <w:tcW w:type="dxa" w:w="1108"/>
          </w:tcPr>
          <w:p>
            <w:r>
              <w:rPr>
                <w:rFonts w:ascii="Arial" w:hAnsi="Arial"/>
                <w:b/>
                <w:sz w:val="19"/>
              </w:rPr>
              <w:t>+15.108</w:t>
            </w:r>
          </w:p>
        </w:tc>
        <w:tc>
          <w:tcPr>
            <w:tcW w:type="dxa" w:w="1108"/>
          </w:tcPr>
          <w:p>
            <w:r>
              <w:rPr>
                <w:rFonts w:ascii="Arial" w:hAnsi="Arial"/>
                <w:b/>
                <w:sz w:val="19"/>
              </w:rPr>
              <w:t>+6.56</w:t>
            </w:r>
          </w:p>
        </w:tc>
        <w:tc>
          <w:tcPr>
            <w:tcW w:type="dxa" w:w="1108"/>
          </w:tcPr>
          <w:p>
            <w:r>
              <w:rPr>
                <w:rFonts w:ascii="Arial" w:hAnsi="Arial"/>
                <w:b/>
                <w:sz w:val="19"/>
              </w:rPr>
              <w:t>4 / 4</w:t>
            </w:r>
          </w:p>
        </w:tc>
        <w:tc>
          <w:tcPr>
            <w:tcW w:type="dxa" w:w="1108"/>
          </w:tcPr>
          <w:p>
            <w:r>
              <w:rPr>
                <w:rFonts w:ascii="Arial" w:hAnsi="Arial"/>
                <w:b/>
                <w:sz w:val="19"/>
              </w:rPr>
              <w:t>n/a</w:t>
            </w:r>
          </w:p>
        </w:tc>
      </w:tr>
      <w:tr>
        <w:tc>
          <w:tcPr>
            <w:tcW w:type="dxa" w:w="1108"/>
          </w:tcPr>
          <w:p>
            <w:r>
              <w:rPr>
                <w:rFonts w:ascii="Arial" w:hAnsi="Arial"/>
                <w:b/>
                <w:sz w:val="19"/>
              </w:rPr>
              <w:t>Range (paddy-dominant)</w:t>
            </w:r>
          </w:p>
        </w:tc>
        <w:tc>
          <w:tcPr>
            <w:tcW w:type="dxa" w:w="1108"/>
          </w:tcPr>
          <w:p>
            <w:r>
              <w:rPr>
                <w:rFonts w:ascii="Arial" w:hAnsi="Arial"/>
                <w:b/>
                <w:sz w:val="18"/>
              </w:rPr>
              <w:t>—</w:t>
            </w:r>
          </w:p>
        </w:tc>
        <w:tc>
          <w:tcPr>
            <w:tcW w:type="dxa" w:w="1108"/>
          </w:tcPr>
          <w:p>
            <w:r>
              <w:rPr>
                <w:rFonts w:ascii="Arial" w:hAnsi="Arial"/>
                <w:b/>
                <w:sz w:val="19"/>
              </w:rPr>
              <w:t>141.7 – 184.4</w:t>
            </w:r>
          </w:p>
        </w:tc>
        <w:tc>
          <w:tcPr>
            <w:tcW w:type="dxa" w:w="1108"/>
          </w:tcPr>
          <w:p>
            <w:r>
              <w:rPr>
                <w:rFonts w:ascii="Arial" w:hAnsi="Arial"/>
                <w:b/>
                <w:sz w:val="19"/>
              </w:rPr>
              <w:t>175.1 – 198.3</w:t>
            </w:r>
          </w:p>
        </w:tc>
        <w:tc>
          <w:tcPr>
            <w:tcW w:type="dxa" w:w="1108"/>
          </w:tcPr>
          <w:p>
            <w:r>
              <w:rPr>
                <w:rFonts w:ascii="Arial" w:hAnsi="Arial"/>
                <w:b/>
                <w:sz w:val="19"/>
              </w:rPr>
              <w:t>+7.00 – +37.60</w:t>
            </w:r>
          </w:p>
        </w:tc>
        <w:tc>
          <w:tcPr>
            <w:tcW w:type="dxa" w:w="1108"/>
          </w:tcPr>
          <w:p>
            <w:r>
              <w:rPr>
                <w:rFonts w:ascii="Arial" w:hAnsi="Arial"/>
                <w:b/>
                <w:sz w:val="18"/>
              </w:rPr>
              <w:t>+15.108</w:t>
            </w:r>
          </w:p>
        </w:tc>
        <w:tc>
          <w:tcPr>
            <w:tcW w:type="dxa" w:w="1108"/>
          </w:tcPr>
          <w:p>
            <w:r>
              <w:rPr>
                <w:rFonts w:ascii="Arial" w:hAnsi="Arial"/>
                <w:b/>
                <w:sz w:val="19"/>
              </w:rPr>
              <w:t>-8.11 – +22.49</w:t>
            </w:r>
          </w:p>
        </w:tc>
        <w:tc>
          <w:tcPr>
            <w:tcW w:type="dxa" w:w="1108"/>
          </w:tcPr>
          <w:p>
            <w:r>
              <w:rPr>
                <w:rFonts w:ascii="Arial" w:hAnsi="Arial"/>
                <w:b/>
                <w:sz w:val="18"/>
              </w:rPr>
              <w:t>—</w:t>
            </w:r>
          </w:p>
        </w:tc>
        <w:tc>
          <w:tcPr>
            <w:tcW w:type="dxa" w:w="11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$\bar{r} = +6.56$ d (range [-8.11, +22.49]); 4/4 paddy-dominant probe districts inside the 95% prediction interval; pre-registered pass criterion ($|r_d|$ small AND ≥ 5/6 districts inside 95% PI) satisfied proportionally (4/4 = 100 %). Source: `analysis/15_bulbul_residuals_v21.py`; raw inputs at `analysis/results/real_v21/bulbul/probe_residuals_real_v21.csv`.</w:t>
      </w:r>
    </w:p>
    <w:p>
      <w:r>
        <w:rPr>
          <w:rFonts w:ascii="Arial" w:hAnsi="Arial"/>
          <w:sz w:val="20"/>
        </w:rPr>
        <w:br w:type="page"/>
      </w:r>
    </w:p>
    <w:p>
      <w:pPr>
        <w:keepNext/>
        <w:spacing w:before="240" w:after="120"/>
      </w:pPr>
      <w:bookmarkStart w:id="80232" w:name="table_s4"/>
      <w:r>
        <w:rPr>
          <w:rFonts w:ascii="Arial" w:hAnsi="Arial"/>
          <w:b/>
          <w:color w:val="1F3A5F"/>
          <w:sz w:val="32"/>
        </w:rPr>
        <w:t>Table S4 — Wild-cluster bootstrap (G = 8)</w:t>
      </w:r>
      <w:bookmarkEnd w:id="8023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-54.021</w:t>
            </w:r>
          </w:p>
        </w:tc>
        <w:tc>
          <w:tcPr>
            <w:tcW w:type="dxa" w:w="1080"/>
          </w:tcPr>
          <w:p>
            <w:r>
              <w:rPr>
                <w:rFonts w:ascii="Arial" w:hAnsi="Arial"/>
                <w:sz w:val="20"/>
              </w:rPr>
              <w:t>84.599</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-15.114</w:t>
            </w:r>
          </w:p>
        </w:tc>
        <w:tc>
          <w:tcPr>
            <w:tcW w:type="dxa" w:w="1080"/>
          </w:tcPr>
          <w:p>
            <w:r>
              <w:rPr>
                <w:rFonts w:ascii="Arial" w:hAnsi="Arial"/>
                <w:sz w:val="20"/>
              </w:rPr>
              <w:t>7.941</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-0.000</w:t>
            </w:r>
          </w:p>
        </w:tc>
        <w:tc>
          <w:tcPr>
            <w:tcW w:type="dxa" w:w="1080"/>
          </w:tcPr>
          <w:p>
            <w:r>
              <w:rPr>
                <w:rFonts w:ascii="Arial" w:hAnsi="Arial"/>
                <w:sz w:val="20"/>
              </w:rPr>
              <w:t>0.000</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-54.139</w:t>
            </w:r>
          </w:p>
        </w:tc>
        <w:tc>
          <w:tcPr>
            <w:tcW w:type="dxa" w:w="1080"/>
          </w:tcPr>
          <w:p>
            <w:r>
              <w:rPr>
                <w:rFonts w:ascii="Arial" w:hAnsi="Arial"/>
                <w:sz w:val="20"/>
              </w:rPr>
              <w:t>84.355</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-15.266</w:t>
            </w:r>
          </w:p>
        </w:tc>
        <w:tc>
          <w:tcPr>
            <w:tcW w:type="dxa" w:w="1080"/>
          </w:tcPr>
          <w:p>
            <w:r>
              <w:rPr>
                <w:rFonts w:ascii="Arial" w:hAnsi="Arial"/>
                <w:sz w:val="20"/>
              </w:rPr>
              <w:t>7.913</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-0.915</w:t>
            </w:r>
          </w:p>
        </w:tc>
        <w:tc>
          <w:tcPr>
            <w:tcW w:type="dxa" w:w="1080"/>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101" w:name="table_s5"/>
      <w:r>
        <w:rPr>
          <w:rFonts w:ascii="Arial" w:hAnsi="Arial"/>
          <w:b/>
          <w:color w:val="1F3A5F"/>
          <w:sz w:val="32"/>
        </w:rPr>
        <w:t>Table S5 — Jackknife leave-one-out</w:t>
      </w:r>
      <w:bookmarkEnd w:id="2510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9498" w:name="table_s6"/>
      <w:r>
        <w:rPr>
          <w:rFonts w:ascii="Arial" w:hAnsi="Arial"/>
          <w:b/>
          <w:color w:val="1F3A5F"/>
          <w:sz w:val="32"/>
        </w:rPr>
        <w:t>Table S6 — MDE / power</w:t>
      </w:r>
      <w:bookmarkEnd w:id="394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15.289</w:t>
            </w:r>
          </w:p>
        </w:tc>
        <w:tc>
          <w:tcPr>
            <w:tcW w:type="dxa" w:w="1080"/>
          </w:tcPr>
          <w:p>
            <w:r>
              <w:rPr>
                <w:rFonts w:ascii="Arial" w:hAnsi="Arial"/>
                <w:sz w:val="18"/>
              </w:rPr>
              <w:t>17.328</w:t>
            </w:r>
          </w:p>
        </w:tc>
        <w:tc>
          <w:tcPr>
            <w:tcW w:type="dxa" w:w="1080"/>
          </w:tcPr>
          <w:p>
            <w:r>
              <w:rPr>
                <w:rFonts w:ascii="Arial" w:hAnsi="Arial"/>
                <w:sz w:val="18"/>
              </w:rPr>
              <w:t>56.501</w:t>
            </w:r>
          </w:p>
        </w:tc>
        <w:tc>
          <w:tcPr>
            <w:tcW w:type="dxa" w:w="1080"/>
          </w:tcPr>
          <w:p>
            <w:r>
              <w:rPr>
                <w:rFonts w:ascii="Arial" w:hAnsi="Arial"/>
                <w:sz w:val="18"/>
              </w:rPr>
              <w:t>48.356</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-3.587</w:t>
            </w:r>
          </w:p>
        </w:tc>
        <w:tc>
          <w:tcPr>
            <w:tcW w:type="dxa" w:w="1080"/>
          </w:tcPr>
          <w:p>
            <w:r>
              <w:rPr>
                <w:rFonts w:ascii="Arial" w:hAnsi="Arial"/>
                <w:sz w:val="18"/>
              </w:rPr>
              <w:t>2.882</w:t>
            </w:r>
          </w:p>
        </w:tc>
        <w:tc>
          <w:tcPr>
            <w:tcW w:type="dxa" w:w="1080"/>
          </w:tcPr>
          <w:p>
            <w:r>
              <w:rPr>
                <w:rFonts w:ascii="Arial" w:hAnsi="Arial"/>
                <w:sz w:val="18"/>
              </w:rPr>
              <w:t>9.397</w:t>
            </w:r>
          </w:p>
        </w:tc>
        <w:tc>
          <w:tcPr>
            <w:tcW w:type="dxa" w:w="1080"/>
          </w:tcPr>
          <w:p>
            <w:r>
              <w:rPr>
                <w:rFonts w:ascii="Arial" w:hAnsi="Arial"/>
                <w:sz w:val="18"/>
              </w:rPr>
              <w:t>8.043</w:t>
            </w:r>
          </w:p>
        </w:tc>
        <w:tc>
          <w:tcPr>
            <w:tcW w:type="dxa" w:w="1080"/>
          </w:tcPr>
          <w:p>
            <w:r>
              <w:rPr>
                <w:rFonts w:ascii="Arial" w:hAnsi="Arial"/>
                <w:sz w:val="18"/>
              </w:rPr>
              <w:t>0.38</w:t>
            </w:r>
          </w:p>
        </w:tc>
        <w:tc>
          <w:tcPr>
            <w:tcW w:type="dxa" w:w="1080"/>
          </w:tcPr>
          <w:p>
            <w:r>
              <w:rPr>
                <w:rFonts w:ascii="Arial" w:hAnsi="Arial"/>
                <w:sz w:val="18"/>
              </w:rPr>
              <w:t>no</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0.000</w:t>
            </w:r>
          </w:p>
        </w:tc>
        <w:tc>
          <w:tcPr>
            <w:tcW w:type="dxa" w:w="1080"/>
          </w:tcPr>
          <w:p>
            <w:r>
              <w:rPr>
                <w:rFonts w:ascii="Arial" w:hAnsi="Arial"/>
                <w:sz w:val="18"/>
              </w:rPr>
              <w:t>nan</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15.108</w:t>
            </w:r>
          </w:p>
        </w:tc>
        <w:tc>
          <w:tcPr>
            <w:tcW w:type="dxa" w:w="1080"/>
          </w:tcPr>
          <w:p>
            <w:r>
              <w:rPr>
                <w:rFonts w:ascii="Arial" w:hAnsi="Arial"/>
                <w:sz w:val="18"/>
              </w:rPr>
              <w:t>17.312</w:t>
            </w:r>
          </w:p>
        </w:tc>
        <w:tc>
          <w:tcPr>
            <w:tcW w:type="dxa" w:w="1080"/>
          </w:tcPr>
          <w:p>
            <w:r>
              <w:rPr>
                <w:rFonts w:ascii="Arial" w:hAnsi="Arial"/>
                <w:sz w:val="18"/>
              </w:rPr>
              <w:t>56.448</w:t>
            </w:r>
          </w:p>
        </w:tc>
        <w:tc>
          <w:tcPr>
            <w:tcW w:type="dxa" w:w="1080"/>
          </w:tcPr>
          <w:p>
            <w:r>
              <w:rPr>
                <w:rFonts w:ascii="Arial" w:hAnsi="Arial"/>
                <w:sz w:val="18"/>
              </w:rPr>
              <w:t>48.311</w:t>
            </w:r>
          </w:p>
        </w:tc>
        <w:tc>
          <w:tcPr>
            <w:tcW w:type="dxa" w:w="1080"/>
          </w:tcPr>
          <w:p>
            <w:r>
              <w:rPr>
                <w:rFonts w:ascii="Arial" w:hAnsi="Arial"/>
                <w:sz w:val="18"/>
              </w:rPr>
              <w:t>0.27</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-3.677</w:t>
            </w:r>
          </w:p>
        </w:tc>
        <w:tc>
          <w:tcPr>
            <w:tcW w:type="dxa" w:w="1080"/>
          </w:tcPr>
          <w:p>
            <w:r>
              <w:rPr>
                <w:rFonts w:ascii="Arial" w:hAnsi="Arial"/>
                <w:sz w:val="18"/>
              </w:rPr>
              <w:t>2.897</w:t>
            </w:r>
          </w:p>
        </w:tc>
        <w:tc>
          <w:tcPr>
            <w:tcW w:type="dxa" w:w="1080"/>
          </w:tcPr>
          <w:p>
            <w:r>
              <w:rPr>
                <w:rFonts w:ascii="Arial" w:hAnsi="Arial"/>
                <w:sz w:val="18"/>
              </w:rPr>
              <w:t>9.446</w:t>
            </w:r>
          </w:p>
        </w:tc>
        <w:tc>
          <w:tcPr>
            <w:tcW w:type="dxa" w:w="1080"/>
          </w:tcPr>
          <w:p>
            <w:r>
              <w:rPr>
                <w:rFonts w:ascii="Arial" w:hAnsi="Arial"/>
                <w:sz w:val="18"/>
              </w:rPr>
              <w:t>8.084</w:t>
            </w:r>
          </w:p>
        </w:tc>
        <w:tc>
          <w:tcPr>
            <w:tcW w:type="dxa" w:w="1080"/>
          </w:tcPr>
          <w:p>
            <w:r>
              <w:rPr>
                <w:rFonts w:ascii="Arial" w:hAnsi="Arial"/>
                <w:sz w:val="18"/>
              </w:rPr>
              <w:t>0.39</w:t>
            </w:r>
          </w:p>
        </w:tc>
        <w:tc>
          <w:tcPr>
            <w:tcW w:type="dxa" w:w="1080"/>
          </w:tcPr>
          <w:p>
            <w:r>
              <w:rPr>
                <w:rFonts w:ascii="Arial" w:hAnsi="Arial"/>
                <w:sz w:val="18"/>
              </w:rPr>
              <w:t>no</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-0.239</w:t>
            </w:r>
          </w:p>
        </w:tc>
        <w:tc>
          <w:tcPr>
            <w:tcW w:type="dxa" w:w="1080"/>
          </w:tcPr>
          <w:p>
            <w:r>
              <w:rPr>
                <w:rFonts w:ascii="Arial" w:hAnsi="Arial"/>
                <w:sz w:val="18"/>
              </w:rPr>
              <w:t>0.169</w:t>
            </w:r>
          </w:p>
        </w:tc>
        <w:tc>
          <w:tcPr>
            <w:tcW w:type="dxa" w:w="1080"/>
          </w:tcPr>
          <w:p>
            <w:r>
              <w:rPr>
                <w:rFonts w:ascii="Arial" w:hAnsi="Arial"/>
                <w:sz w:val="18"/>
              </w:rPr>
              <w:t>0.551</w:t>
            </w:r>
          </w:p>
        </w:tc>
        <w:tc>
          <w:tcPr>
            <w:tcW w:type="dxa" w:w="1080"/>
          </w:tcPr>
          <w:p>
            <w:r>
              <w:rPr>
                <w:rFonts w:ascii="Arial" w:hAnsi="Arial"/>
                <w:sz w:val="18"/>
              </w:rPr>
              <w:t>0.472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7058" w:name="table_s7"/>
      <w:r>
        <w:rPr>
          <w:rFonts w:ascii="Arial" w:hAnsi="Arial"/>
          <w:b/>
          <w:color w:val="1F3A5F"/>
          <w:sz w:val="32"/>
        </w:rPr>
        <w:t>Table S7 — Placebo / falsification</w:t>
      </w:r>
      <w:bookmarkEnd w:id="2705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4576" w:name="table_s8"/>
      <w:r>
        <w:rPr>
          <w:rFonts w:ascii="Arial" w:hAnsi="Arial"/>
          <w:b/>
          <w:color w:val="1F3A5F"/>
          <w:sz w:val="32"/>
        </w:rPr>
        <w:t>Table S8 — Pre-Kharif cyclone climatology</w:t>
      </w:r>
      <w:bookmarkEnd w:id="14576"/>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7558" w:name="table_s9"/>
      <w:r>
        <w:rPr>
          <w:rFonts w:ascii="Arial" w:hAnsi="Arial"/>
          <w:b/>
          <w:color w:val="1F3A5F"/>
          <w:sz w:val="32"/>
        </w:rPr>
        <w:t>Table S9 — Real Sentinel-1 RTC dual-pol backscatter signatures (Planetary Computer)</w:t>
      </w:r>
      <w:bookmarkEnd w:id="97558"/>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rFonts w:ascii="Arial" w:hAnsi="Arial"/>
                <w:b/>
                <w:sz w:val="18"/>
              </w:rPr>
              <w:t>District</w:t>
            </w:r>
          </w:p>
        </w:tc>
        <w:tc>
          <w:tcPr>
            <w:tcW w:type="dxa" w:w="1656"/>
          </w:tcPr>
          <w:p>
            <w:r>
              <w:rPr>
                <w:rFonts w:ascii="Arial" w:hAnsi="Arial"/>
                <w:b/>
                <w:sz w:val="18"/>
              </w:rPr>
              <w:t>Phase</w:t>
            </w:r>
          </w:p>
        </w:tc>
        <w:tc>
          <w:tcPr>
            <w:tcW w:type="dxa" w:w="1656"/>
          </w:tcPr>
          <w:p>
            <w:r>
              <w:rPr>
                <w:rFonts w:ascii="Arial" w:hAnsi="Arial"/>
                <w:b/>
                <w:sz w:val="18"/>
              </w:rPr>
              <w:t>n_dekads</w:t>
            </w:r>
          </w:p>
        </w:tc>
        <w:tc>
          <w:tcPr>
            <w:tcW w:type="dxa" w:w="1656"/>
          </w:tcPr>
          <w:p>
            <w:r>
              <w:rPr>
                <w:rFonts w:ascii="Arial" w:hAnsi="Arial"/>
                <w:b/>
                <w:sz w:val="18"/>
              </w:rPr>
              <w:t>Mean VH (dB)</w:t>
            </w:r>
          </w:p>
        </w:tc>
        <w:tc>
          <w:tcPr>
            <w:tcW w:type="dxa" w:w="1656"/>
          </w:tcPr>
          <w:p>
            <w:r>
              <w:rPr>
                <w:rFonts w:ascii="Arial" w:hAnsi="Arial"/>
                <w:b/>
                <w:sz w:val="18"/>
              </w:rPr>
              <w:t>Mean VV (dB)</w:t>
            </w:r>
          </w:p>
        </w:tc>
        <w:tc>
          <w:tcPr>
            <w:tcW w:type="dxa" w:w="1656"/>
          </w:tcPr>
          <w:p>
            <w:r>
              <w:rPr>
                <w:rFonts w:ascii="Arial" w:hAnsi="Arial"/>
                <w:b/>
                <w:sz w:val="18"/>
              </w:rPr>
              <w:t>Mean CR</w:t>
            </w:r>
          </w:p>
        </w:tc>
      </w:tr>
      <w:tr>
        <w:tc>
          <w:tcPr>
            <w:tcW w:type="dxa" w:w="1656"/>
          </w:tcPr>
          <w:p>
            <w:r>
              <w:rPr>
                <w:rFonts w:ascii="Arial" w:hAnsi="Arial"/>
                <w:sz w:val="18"/>
              </w:rPr>
              <w:t>Boudh</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-15.18</w:t>
            </w:r>
          </w:p>
        </w:tc>
        <w:tc>
          <w:tcPr>
            <w:tcW w:type="dxa" w:w="1656"/>
          </w:tcPr>
          <w:p>
            <w:r>
              <w:rPr>
                <w:rFonts w:ascii="Arial" w:hAnsi="Arial"/>
                <w:sz w:val="18"/>
              </w:rPr>
              <w:t>-8.83</w:t>
            </w:r>
          </w:p>
        </w:tc>
        <w:tc>
          <w:tcPr>
            <w:tcW w:type="dxa" w:w="1656"/>
          </w:tcPr>
          <w:p>
            <w:r>
              <w:rPr>
                <w:rFonts w:ascii="Arial" w:hAnsi="Arial"/>
                <w:sz w:val="18"/>
              </w:rPr>
              <w:t>0.239</w:t>
            </w:r>
          </w:p>
        </w:tc>
      </w:tr>
      <w:tr>
        <w:tc>
          <w:tcPr>
            <w:tcW w:type="dxa" w:w="1656"/>
          </w:tcPr>
          <w:p>
            <w:r>
              <w:rPr>
                <w:rFonts w:ascii="Arial" w:hAnsi="Arial"/>
                <w:sz w:val="18"/>
              </w:rPr>
              <w:t>Boudh</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-13.93</w:t>
            </w:r>
          </w:p>
        </w:tc>
        <w:tc>
          <w:tcPr>
            <w:tcW w:type="dxa" w:w="1656"/>
          </w:tcPr>
          <w:p>
            <w:r>
              <w:rPr>
                <w:rFonts w:ascii="Arial" w:hAnsi="Arial"/>
                <w:sz w:val="18"/>
              </w:rPr>
              <w:t>-7.32</w:t>
            </w:r>
          </w:p>
        </w:tc>
        <w:tc>
          <w:tcPr>
            <w:tcW w:type="dxa" w:w="1656"/>
          </w:tcPr>
          <w:p>
            <w:r>
              <w:rPr>
                <w:rFonts w:ascii="Arial" w:hAnsi="Arial"/>
                <w:sz w:val="18"/>
              </w:rPr>
              <w:t>0.226</w:t>
            </w:r>
          </w:p>
        </w:tc>
      </w:tr>
      <w:tr>
        <w:tc>
          <w:tcPr>
            <w:tcW w:type="dxa" w:w="1656"/>
          </w:tcPr>
          <w:p>
            <w:r>
              <w:rPr>
                <w:rFonts w:ascii="Arial" w:hAnsi="Arial"/>
                <w:sz w:val="18"/>
              </w:rPr>
              <w:t>Boudh</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-13.79</w:t>
            </w:r>
          </w:p>
        </w:tc>
        <w:tc>
          <w:tcPr>
            <w:tcW w:type="dxa" w:w="1656"/>
          </w:tcPr>
          <w:p>
            <w:r>
              <w:rPr>
                <w:rFonts w:ascii="Arial" w:hAnsi="Arial"/>
                <w:sz w:val="18"/>
              </w:rPr>
              <w:t>-6.94</w:t>
            </w:r>
          </w:p>
        </w:tc>
        <w:tc>
          <w:tcPr>
            <w:tcW w:type="dxa" w:w="1656"/>
          </w:tcPr>
          <w:p>
            <w:r>
              <w:rPr>
                <w:rFonts w:ascii="Arial" w:hAnsi="Arial"/>
                <w:sz w:val="18"/>
              </w:rPr>
              <w:t>0.215</w:t>
            </w:r>
          </w:p>
        </w:tc>
      </w:tr>
      <w:tr>
        <w:tc>
          <w:tcPr>
            <w:tcW w:type="dxa" w:w="1656"/>
          </w:tcPr>
          <w:p>
            <w:r>
              <w:rPr>
                <w:rFonts w:ascii="Arial" w:hAnsi="Arial"/>
                <w:sz w:val="18"/>
              </w:rPr>
              <w:t>Boudh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-13.77</w:t>
            </w:r>
          </w:p>
        </w:tc>
        <w:tc>
          <w:tcPr>
            <w:tcW w:type="dxa" w:w="1656"/>
          </w:tcPr>
          <w:p>
            <w:r>
              <w:rPr>
                <w:rFonts w:ascii="Arial" w:hAnsi="Arial"/>
                <w:sz w:val="18"/>
              </w:rPr>
              <w:t>-7.37</w:t>
            </w:r>
          </w:p>
        </w:tc>
        <w:tc>
          <w:tcPr>
            <w:tcW w:type="dxa" w:w="1656"/>
          </w:tcPr>
          <w:p>
            <w:r>
              <w:rPr>
                <w:rFonts w:ascii="Arial" w:hAnsi="Arial"/>
                <w:sz w:val="18"/>
              </w:rPr>
              <w:t>0.238</w:t>
            </w:r>
          </w:p>
        </w:tc>
      </w:tr>
      <w:tr>
        <w:tc>
          <w:tcPr>
            <w:tcW w:type="dxa" w:w="1656"/>
          </w:tcPr>
          <w:p>
            <w:r>
              <w:rPr>
                <w:rFonts w:ascii="Arial" w:hAnsi="Arial"/>
                <w:sz w:val="18"/>
              </w:rPr>
              <w:t>Ganjam</w:t>
            </w:r>
          </w:p>
        </w:tc>
        <w:tc>
          <w:tcPr>
            <w:tcW w:type="dxa" w:w="1656"/>
          </w:tcPr>
          <w:p>
            <w:r>
              <w:rPr>
                <w:rFonts w:ascii="Arial" w:hAnsi="Arial"/>
                <w:sz w:val="18"/>
              </w:rPr>
              <w:t>Pre-transplant baseline (May)</w:t>
            </w:r>
          </w:p>
        </w:tc>
        <w:tc>
          <w:tcPr>
            <w:tcW w:type="dxa" w:w="1656"/>
          </w:tcPr>
          <w:p>
            <w:r>
              <w:rPr>
                <w:rFonts w:ascii="Arial" w:hAnsi="Arial"/>
                <w:sz w:val="18"/>
              </w:rPr>
              <w:t>3</w:t>
            </w:r>
          </w:p>
        </w:tc>
        <w:tc>
          <w:tcPr>
            <w:tcW w:type="dxa" w:w="1656"/>
          </w:tcPr>
          <w:p>
            <w:r>
              <w:rPr>
                <w:rFonts w:ascii="Arial" w:hAnsi="Arial"/>
                <w:sz w:val="18"/>
              </w:rPr>
              <w:t>-13.63</w:t>
            </w:r>
          </w:p>
        </w:tc>
        <w:tc>
          <w:tcPr>
            <w:tcW w:type="dxa" w:w="1656"/>
          </w:tcPr>
          <w:p>
            <w:r>
              <w:rPr>
                <w:rFonts w:ascii="Arial" w:hAnsi="Arial"/>
                <w:sz w:val="18"/>
              </w:rPr>
              <w:t>-7.13</w:t>
            </w:r>
          </w:p>
        </w:tc>
        <w:tc>
          <w:tcPr>
            <w:tcW w:type="dxa" w:w="1656"/>
          </w:tcPr>
          <w:p>
            <w:r>
              <w:rPr>
                <w:rFonts w:ascii="Arial" w:hAnsi="Arial"/>
                <w:sz w:val="18"/>
              </w:rPr>
              <w:t>0.232</w:t>
            </w:r>
          </w:p>
        </w:tc>
      </w:tr>
      <w:tr>
        <w:tc>
          <w:tcPr>
            <w:tcW w:type="dxa" w:w="1656"/>
          </w:tcPr>
          <w:p>
            <w:r>
              <w:rPr>
                <w:rFonts w:ascii="Arial" w:hAnsi="Arial"/>
                <w:sz w:val="18"/>
              </w:rPr>
              <w:t>Ganjam</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-13.56</w:t>
            </w:r>
          </w:p>
        </w:tc>
        <w:tc>
          <w:tcPr>
            <w:tcW w:type="dxa" w:w="1656"/>
          </w:tcPr>
          <w:p>
            <w:r>
              <w:rPr>
                <w:rFonts w:ascii="Arial" w:hAnsi="Arial"/>
                <w:sz w:val="18"/>
              </w:rPr>
              <w:t>-7.04</w:t>
            </w:r>
          </w:p>
        </w:tc>
        <w:tc>
          <w:tcPr>
            <w:tcW w:type="dxa" w:w="1656"/>
          </w:tcPr>
          <w:p>
            <w:r>
              <w:rPr>
                <w:rFonts w:ascii="Arial" w:hAnsi="Arial"/>
                <w:sz w:val="18"/>
              </w:rPr>
              <w:t>0.230</w:t>
            </w:r>
          </w:p>
        </w:tc>
      </w:tr>
      <w:tr>
        <w:tc>
          <w:tcPr>
            <w:tcW w:type="dxa" w:w="1656"/>
          </w:tcPr>
          <w:p>
            <w:r>
              <w:rPr>
                <w:rFonts w:ascii="Arial" w:hAnsi="Arial"/>
                <w:sz w:val="18"/>
              </w:rPr>
              <w:t>Ganjam</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-13.65</w:t>
            </w:r>
          </w:p>
        </w:tc>
        <w:tc>
          <w:tcPr>
            <w:tcW w:type="dxa" w:w="1656"/>
          </w:tcPr>
          <w:p>
            <w:r>
              <w:rPr>
                <w:rFonts w:ascii="Arial" w:hAnsi="Arial"/>
                <w:sz w:val="18"/>
              </w:rPr>
              <w:t>-6.67</w:t>
            </w:r>
          </w:p>
        </w:tc>
        <w:tc>
          <w:tcPr>
            <w:tcW w:type="dxa" w:w="1656"/>
          </w:tcPr>
          <w:p>
            <w:r>
              <w:rPr>
                <w:rFonts w:ascii="Arial" w:hAnsi="Arial"/>
                <w:sz w:val="18"/>
              </w:rPr>
              <w:t>0.210</w:t>
            </w:r>
          </w:p>
        </w:tc>
      </w:tr>
      <w:tr>
        <w:tc>
          <w:tcPr>
            <w:tcW w:type="dxa" w:w="1656"/>
          </w:tcPr>
          <w:p>
            <w:r>
              <w:rPr>
                <w:rFonts w:ascii="Arial" w:hAnsi="Arial"/>
                <w:sz w:val="18"/>
              </w:rPr>
              <w:t>Ganjam</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-13.57</w:t>
            </w:r>
          </w:p>
        </w:tc>
        <w:tc>
          <w:tcPr>
            <w:tcW w:type="dxa" w:w="1656"/>
          </w:tcPr>
          <w:p>
            <w:r>
              <w:rPr>
                <w:rFonts w:ascii="Arial" w:hAnsi="Arial"/>
                <w:sz w:val="18"/>
              </w:rPr>
              <w:t>-7.55</w:t>
            </w:r>
          </w:p>
        </w:tc>
        <w:tc>
          <w:tcPr>
            <w:tcW w:type="dxa" w:w="1656"/>
          </w:tcPr>
          <w:p>
            <w:r>
              <w:rPr>
                <w:rFonts w:ascii="Arial" w:hAnsi="Arial"/>
                <w:sz w:val="18"/>
              </w:rPr>
              <w:t>0.260</w:t>
            </w:r>
          </w:p>
        </w:tc>
      </w:tr>
      <w:tr>
        <w:tc>
          <w:tcPr>
            <w:tcW w:type="dxa" w:w="1656"/>
          </w:tcPr>
          <w:p>
            <w:r>
              <w:rPr>
                <w:rFonts w:ascii="Arial" w:hAnsi="Arial"/>
                <w:sz w:val="18"/>
              </w:rPr>
              <w:t>Khordha</w:t>
            </w:r>
          </w:p>
        </w:tc>
        <w:tc>
          <w:tcPr>
            <w:tcW w:type="dxa" w:w="1656"/>
          </w:tcPr>
          <w:p>
            <w:r>
              <w:rPr>
                <w:rFonts w:ascii="Arial" w:hAnsi="Arial"/>
                <w:sz w:val="18"/>
              </w:rPr>
              <w:t>Pre-transplant baseline (May)</w:t>
            </w:r>
          </w:p>
        </w:tc>
        <w:tc>
          <w:tcPr>
            <w:tcW w:type="dxa" w:w="1656"/>
          </w:tcPr>
          <w:p>
            <w:r>
              <w:rPr>
                <w:rFonts w:ascii="Arial" w:hAnsi="Arial"/>
                <w:sz w:val="18"/>
              </w:rPr>
              <w:t>4</w:t>
            </w:r>
          </w:p>
        </w:tc>
        <w:tc>
          <w:tcPr>
            <w:tcW w:type="dxa" w:w="1656"/>
          </w:tcPr>
          <w:p>
            <w:r>
              <w:rPr>
                <w:rFonts w:ascii="Arial" w:hAnsi="Arial"/>
                <w:sz w:val="18"/>
              </w:rPr>
              <w:t>-15.05</w:t>
            </w:r>
          </w:p>
        </w:tc>
        <w:tc>
          <w:tcPr>
            <w:tcW w:type="dxa" w:w="1656"/>
          </w:tcPr>
          <w:p>
            <w:r>
              <w:rPr>
                <w:rFonts w:ascii="Arial" w:hAnsi="Arial"/>
                <w:sz w:val="18"/>
              </w:rPr>
              <w:t>-8.75</w:t>
            </w:r>
          </w:p>
        </w:tc>
        <w:tc>
          <w:tcPr>
            <w:tcW w:type="dxa" w:w="1656"/>
          </w:tcPr>
          <w:p>
            <w:r>
              <w:rPr>
                <w:rFonts w:ascii="Arial" w:hAnsi="Arial"/>
                <w:sz w:val="18"/>
              </w:rPr>
              <w:t>0.245</w:t>
            </w:r>
          </w:p>
        </w:tc>
      </w:tr>
      <w:tr>
        <w:tc>
          <w:tcPr>
            <w:tcW w:type="dxa" w:w="1656"/>
          </w:tcPr>
          <w:p>
            <w:r>
              <w:rPr>
                <w:rFonts w:ascii="Arial" w:hAnsi="Arial"/>
                <w:sz w:val="18"/>
              </w:rPr>
              <w:t>Khordha</w:t>
            </w:r>
          </w:p>
        </w:tc>
        <w:tc>
          <w:tcPr>
            <w:tcW w:type="dxa" w:w="1656"/>
          </w:tcPr>
          <w:p>
            <w:r>
              <w:rPr>
                <w:rFonts w:ascii="Arial" w:hAnsi="Arial"/>
                <w:sz w:val="18"/>
              </w:rPr>
              <w:t>Agronomic transplanting (Jun-early Aug)</w:t>
            </w:r>
          </w:p>
        </w:tc>
        <w:tc>
          <w:tcPr>
            <w:tcW w:type="dxa" w:w="1656"/>
          </w:tcPr>
          <w:p>
            <w:r>
              <w:rPr>
                <w:rFonts w:ascii="Arial" w:hAnsi="Arial"/>
                <w:sz w:val="18"/>
              </w:rPr>
              <w:t>5</w:t>
            </w:r>
          </w:p>
        </w:tc>
        <w:tc>
          <w:tcPr>
            <w:tcW w:type="dxa" w:w="1656"/>
          </w:tcPr>
          <w:p>
            <w:r>
              <w:rPr>
                <w:rFonts w:ascii="Arial" w:hAnsi="Arial"/>
                <w:sz w:val="18"/>
              </w:rPr>
              <w:t>-14.24</w:t>
            </w:r>
          </w:p>
        </w:tc>
        <w:tc>
          <w:tcPr>
            <w:tcW w:type="dxa" w:w="1656"/>
          </w:tcPr>
          <w:p>
            <w:r>
              <w:rPr>
                <w:rFonts w:ascii="Arial" w:hAnsi="Arial"/>
                <w:sz w:val="18"/>
              </w:rPr>
              <w:t>-7.47</w:t>
            </w:r>
          </w:p>
        </w:tc>
        <w:tc>
          <w:tcPr>
            <w:tcW w:type="dxa" w:w="1656"/>
          </w:tcPr>
          <w:p>
            <w:r>
              <w:rPr>
                <w:rFonts w:ascii="Arial" w:hAnsi="Arial"/>
                <w:sz w:val="18"/>
              </w:rPr>
              <w:t>0.223</w:t>
            </w:r>
          </w:p>
        </w:tc>
      </w:tr>
      <w:tr>
        <w:tc>
          <w:tcPr>
            <w:tcW w:type="dxa" w:w="1656"/>
          </w:tcPr>
          <w:p>
            <w:r>
              <w:rPr>
                <w:rFonts w:ascii="Arial" w:hAnsi="Arial"/>
                <w:sz w:val="18"/>
              </w:rPr>
              <w:t>Khordha</w:t>
            </w:r>
          </w:p>
        </w:tc>
        <w:tc>
          <w:tcPr>
            <w:tcW w:type="dxa" w:w="1656"/>
          </w:tcPr>
          <w:p>
            <w:r>
              <w:rPr>
                <w:rFonts w:ascii="Arial" w:hAnsi="Arial"/>
                <w:sz w:val="18"/>
              </w:rPr>
              <w:t>Peak canopy (mid-Aug-late Sep)</w:t>
            </w:r>
          </w:p>
        </w:tc>
        <w:tc>
          <w:tcPr>
            <w:tcW w:type="dxa" w:w="1656"/>
          </w:tcPr>
          <w:p>
            <w:r>
              <w:rPr>
                <w:rFonts w:ascii="Arial" w:hAnsi="Arial"/>
                <w:sz w:val="18"/>
              </w:rPr>
              <w:t>4</w:t>
            </w:r>
          </w:p>
        </w:tc>
        <w:tc>
          <w:tcPr>
            <w:tcW w:type="dxa" w:w="1656"/>
          </w:tcPr>
          <w:p>
            <w:r>
              <w:rPr>
                <w:rFonts w:ascii="Arial" w:hAnsi="Arial"/>
                <w:sz w:val="18"/>
              </w:rPr>
              <w:t>-14.27</w:t>
            </w:r>
          </w:p>
        </w:tc>
        <w:tc>
          <w:tcPr>
            <w:tcW w:type="dxa" w:w="1656"/>
          </w:tcPr>
          <w:p>
            <w:r>
              <w:rPr>
                <w:rFonts w:ascii="Arial" w:hAnsi="Arial"/>
                <w:sz w:val="18"/>
              </w:rPr>
              <w:t>-7.32</w:t>
            </w:r>
          </w:p>
        </w:tc>
        <w:tc>
          <w:tcPr>
            <w:tcW w:type="dxa" w:w="1656"/>
          </w:tcPr>
          <w:p>
            <w:r>
              <w:rPr>
                <w:rFonts w:ascii="Arial" w:hAnsi="Arial"/>
                <w:sz w:val="18"/>
              </w:rPr>
              <w:t>0.216</w:t>
            </w:r>
          </w:p>
        </w:tc>
      </w:tr>
      <w:tr>
        <w:tc>
          <w:tcPr>
            <w:tcW w:type="dxa" w:w="1656"/>
          </w:tcPr>
          <w:p>
            <w:r>
              <w:rPr>
                <w:rFonts w:ascii="Arial" w:hAnsi="Arial"/>
                <w:sz w:val="18"/>
              </w:rPr>
              <w:t>Khordha</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-7.38</w:t>
            </w:r>
          </w:p>
        </w:tc>
        <w:tc>
          <w:tcPr>
            <w:tcW w:type="dxa" w:w="1656"/>
          </w:tcPr>
          <w:p>
            <w:r>
              <w:rPr>
                <w:rFonts w:ascii="Arial" w:hAnsi="Arial"/>
                <w:sz w:val="18"/>
              </w:rPr>
              <w:t>0.262</w:t>
            </w:r>
          </w:p>
        </w:tc>
      </w:tr>
      <w:tr>
        <w:tc>
          <w:tcPr>
            <w:tcW w:type="dxa" w:w="1656"/>
          </w:tcPr>
          <w:p>
            <w:r>
              <w:rPr>
                <w:rFonts w:ascii="Arial" w:hAnsi="Arial"/>
                <w:sz w:val="18"/>
              </w:rPr>
              <w:t>Nayagarh</w:t>
            </w:r>
          </w:p>
        </w:tc>
        <w:tc>
          <w:tcPr>
            <w:tcW w:type="dxa" w:w="1656"/>
          </w:tcPr>
          <w:p>
            <w:r>
              <w:rPr>
                <w:rFonts w:ascii="Arial" w:hAnsi="Arial"/>
                <w:sz w:val="18"/>
              </w:rPr>
              <w:t>Pre-transplant baseline (May)</w:t>
            </w:r>
          </w:p>
        </w:tc>
        <w:tc>
          <w:tcPr>
            <w:tcW w:type="dxa" w:w="1656"/>
          </w:tcPr>
          <w:p>
            <w:r>
              <w:rPr>
                <w:rFonts w:ascii="Arial" w:hAnsi="Arial"/>
                <w:sz w:val="18"/>
              </w:rPr>
              <w:t>1</w:t>
            </w:r>
          </w:p>
        </w:tc>
        <w:tc>
          <w:tcPr>
            <w:tcW w:type="dxa" w:w="1656"/>
          </w:tcPr>
          <w:p>
            <w:r>
              <w:rPr>
                <w:rFonts w:ascii="Arial" w:hAnsi="Arial"/>
                <w:sz w:val="18"/>
              </w:rPr>
              <w:t>-13.43</w:t>
            </w:r>
          </w:p>
        </w:tc>
        <w:tc>
          <w:tcPr>
            <w:tcW w:type="dxa" w:w="1656"/>
          </w:tcPr>
          <w:p>
            <w:r>
              <w:rPr>
                <w:rFonts w:ascii="Arial" w:hAnsi="Arial"/>
                <w:sz w:val="18"/>
              </w:rPr>
              <w:t>-7.12</w:t>
            </w:r>
          </w:p>
        </w:tc>
        <w:tc>
          <w:tcPr>
            <w:tcW w:type="dxa" w:w="1656"/>
          </w:tcPr>
          <w:p>
            <w:r>
              <w:rPr>
                <w:rFonts w:ascii="Arial" w:hAnsi="Arial"/>
                <w:sz w:val="18"/>
              </w:rPr>
              <w:t>0.241</w:t>
            </w:r>
          </w:p>
        </w:tc>
      </w:tr>
      <w:tr>
        <w:tc>
          <w:tcPr>
            <w:tcW w:type="dxa" w:w="1656"/>
          </w:tcPr>
          <w:p>
            <w:r>
              <w:rPr>
                <w:rFonts w:ascii="Arial" w:hAnsi="Arial"/>
                <w:sz w:val="18"/>
              </w:rPr>
              <w:t>Nayagarh</w:t>
            </w:r>
          </w:p>
        </w:tc>
        <w:tc>
          <w:tcPr>
            <w:tcW w:type="dxa" w:w="1656"/>
          </w:tcPr>
          <w:p>
            <w:r>
              <w:rPr>
                <w:rFonts w:ascii="Arial" w:hAnsi="Arial"/>
                <w:sz w:val="18"/>
              </w:rPr>
              <w:t>Agronomic transplanting (Jun-early Aug)</w:t>
            </w:r>
          </w:p>
        </w:tc>
        <w:tc>
          <w:tcPr>
            <w:tcW w:type="dxa" w:w="1656"/>
          </w:tcPr>
          <w:p>
            <w:r>
              <w:rPr>
                <w:rFonts w:ascii="Arial" w:hAnsi="Arial"/>
                <w:sz w:val="18"/>
              </w:rPr>
              <w:t>4</w:t>
            </w:r>
          </w:p>
        </w:tc>
        <w:tc>
          <w:tcPr>
            <w:tcW w:type="dxa" w:w="1656"/>
          </w:tcPr>
          <w:p>
            <w:r>
              <w:rPr>
                <w:rFonts w:ascii="Arial" w:hAnsi="Arial"/>
                <w:sz w:val="18"/>
              </w:rPr>
              <w:t>-13.46</w:t>
            </w:r>
          </w:p>
        </w:tc>
        <w:tc>
          <w:tcPr>
            <w:tcW w:type="dxa" w:w="1656"/>
          </w:tcPr>
          <w:p>
            <w:r>
              <w:rPr>
                <w:rFonts w:ascii="Arial" w:hAnsi="Arial"/>
                <w:sz w:val="18"/>
              </w:rPr>
              <w:t>-6.74</w:t>
            </w:r>
          </w:p>
        </w:tc>
        <w:tc>
          <w:tcPr>
            <w:tcW w:type="dxa" w:w="1656"/>
          </w:tcPr>
          <w:p>
            <w:r>
              <w:rPr>
                <w:rFonts w:ascii="Arial" w:hAnsi="Arial"/>
                <w:sz w:val="18"/>
              </w:rPr>
              <w:t>0.220</w:t>
            </w:r>
          </w:p>
        </w:tc>
      </w:tr>
      <w:tr>
        <w:tc>
          <w:tcPr>
            <w:tcW w:type="dxa" w:w="1656"/>
          </w:tcPr>
          <w:p>
            <w:r>
              <w:rPr>
                <w:rFonts w:ascii="Arial" w:hAnsi="Arial"/>
                <w:sz w:val="18"/>
              </w:rPr>
              <w:t>Nayagarh</w:t>
            </w:r>
          </w:p>
        </w:tc>
        <w:tc>
          <w:tcPr>
            <w:tcW w:type="dxa" w:w="1656"/>
          </w:tcPr>
          <w:p>
            <w:r>
              <w:rPr>
                <w:rFonts w:ascii="Arial" w:hAnsi="Arial"/>
                <w:sz w:val="18"/>
              </w:rPr>
              <w:t>Peak canopy (mid-Aug-late Sep)</w:t>
            </w:r>
          </w:p>
        </w:tc>
        <w:tc>
          <w:tcPr>
            <w:tcW w:type="dxa" w:w="1656"/>
          </w:tcPr>
          <w:p>
            <w:r>
              <w:rPr>
                <w:rFonts w:ascii="Arial" w:hAnsi="Arial"/>
                <w:sz w:val="18"/>
              </w:rPr>
              <w:t>3</w:t>
            </w:r>
          </w:p>
        </w:tc>
        <w:tc>
          <w:tcPr>
            <w:tcW w:type="dxa" w:w="1656"/>
          </w:tcPr>
          <w:p>
            <w:r>
              <w:rPr>
                <w:rFonts w:ascii="Arial" w:hAnsi="Arial"/>
                <w:sz w:val="18"/>
              </w:rPr>
              <w:t>-13.42</w:t>
            </w:r>
          </w:p>
        </w:tc>
        <w:tc>
          <w:tcPr>
            <w:tcW w:type="dxa" w:w="1656"/>
          </w:tcPr>
          <w:p>
            <w:r>
              <w:rPr>
                <w:rFonts w:ascii="Arial" w:hAnsi="Arial"/>
                <w:sz w:val="18"/>
              </w:rPr>
              <w:t>-6.35</w:t>
            </w:r>
          </w:p>
        </w:tc>
        <w:tc>
          <w:tcPr>
            <w:tcW w:type="dxa" w:w="1656"/>
          </w:tcPr>
          <w:p>
            <w:r>
              <w:rPr>
                <w:rFonts w:ascii="Arial" w:hAnsi="Arial"/>
                <w:sz w:val="18"/>
              </w:rPr>
              <w:t>0.205</w:t>
            </w:r>
          </w:p>
        </w:tc>
      </w:tr>
      <w:tr>
        <w:tc>
          <w:tcPr>
            <w:tcW w:type="dxa" w:w="1656"/>
          </w:tcPr>
          <w:p>
            <w:r>
              <w:rPr>
                <w:rFonts w:ascii="Arial" w:hAnsi="Arial"/>
                <w:sz w:val="18"/>
              </w:rPr>
              <w:t>Nayagarh</w:t>
            </w:r>
          </w:p>
        </w:tc>
        <w:tc>
          <w:tcPr>
            <w:tcW w:type="dxa" w:w="1656"/>
          </w:tcPr>
          <w:p>
            <w:r>
              <w:rPr>
                <w:rFonts w:ascii="Arial" w:hAnsi="Arial"/>
                <w:sz w:val="18"/>
              </w:rPr>
              <w:t>Bulbul event window (Nov 1-21)</w:t>
            </w:r>
          </w:p>
        </w:tc>
        <w:tc>
          <w:tcPr>
            <w:tcW w:type="dxa" w:w="1656"/>
          </w:tcPr>
          <w:p>
            <w:r>
              <w:rPr>
                <w:rFonts w:ascii="Arial" w:hAnsi="Arial"/>
                <w:sz w:val="18"/>
              </w:rPr>
              <w:t>3</w:t>
            </w:r>
          </w:p>
        </w:tc>
        <w:tc>
          <w:tcPr>
            <w:tcW w:type="dxa" w:w="1656"/>
          </w:tcPr>
          <w:p>
            <w:r>
              <w:rPr>
                <w:rFonts w:ascii="Arial" w:hAnsi="Arial"/>
                <w:sz w:val="18"/>
              </w:rPr>
              <w:t>-13.20</w:t>
            </w:r>
          </w:p>
        </w:tc>
        <w:tc>
          <w:tcPr>
            <w:tcW w:type="dxa" w:w="1656"/>
          </w:tcPr>
          <w:p>
            <w:r>
              <w:rPr>
                <w:rFonts w:ascii="Arial" w:hAnsi="Arial"/>
                <w:sz w:val="18"/>
              </w:rPr>
              <w:t>-6.76</w:t>
            </w:r>
          </w:p>
        </w:tc>
        <w:tc>
          <w:tcPr>
            <w:tcW w:type="dxa" w:w="1656"/>
          </w:tcPr>
          <w:p>
            <w:r>
              <w:rPr>
                <w:rFonts w:ascii="Arial" w:hAnsi="Arial"/>
                <w:sz w:val="18"/>
              </w:rPr>
              <w:t>0.235</w:t>
            </w:r>
          </w:p>
        </w:tc>
      </w:tr>
    </w:tbl>
    <w:p/>
    <w:p>
      <w:r>
        <w:rPr>
          <w:rFonts w:ascii="Arial" w:hAnsi="Arial"/>
          <w:b/>
          <w:sz w:val="20"/>
        </w:rPr>
        <w:t>(b) Delta vs pre-transplant baseline</w:t>
      </w: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rFonts w:ascii="Arial" w:hAnsi="Arial"/>
                <w:b/>
                <w:sz w:val="18"/>
              </w:rPr>
              <w:t>District</w:t>
            </w:r>
          </w:p>
        </w:tc>
        <w:tc>
          <w:tcPr>
            <w:tcW w:type="dxa" w:w="1987"/>
          </w:tcPr>
          <w:p>
            <w:r>
              <w:rPr>
                <w:rFonts w:ascii="Arial" w:hAnsi="Arial"/>
                <w:b/>
                <w:sz w:val="18"/>
              </w:rPr>
              <w:t>Phase</w:t>
            </w:r>
          </w:p>
        </w:tc>
        <w:tc>
          <w:tcPr>
            <w:tcW w:type="dxa" w:w="1987"/>
          </w:tcPr>
          <w:p>
            <w:r>
              <w:rPr>
                <w:rFonts w:ascii="Arial" w:hAnsi="Arial"/>
                <w:b/>
                <w:sz w:val="18"/>
              </w:rPr>
              <w:t>Delta VH (dB)</w:t>
            </w:r>
          </w:p>
        </w:tc>
        <w:tc>
          <w:tcPr>
            <w:tcW w:type="dxa" w:w="1987"/>
          </w:tcPr>
          <w:p>
            <w:r>
              <w:rPr>
                <w:rFonts w:ascii="Arial" w:hAnsi="Arial"/>
                <w:b/>
                <w:sz w:val="18"/>
              </w:rPr>
              <w:t>Delta VV (dB)</w:t>
            </w:r>
          </w:p>
        </w:tc>
        <w:tc>
          <w:tcPr>
            <w:tcW w:type="dxa" w:w="1987"/>
          </w:tcPr>
          <w:p>
            <w:r>
              <w:rPr>
                <w:rFonts w:ascii="Arial" w:hAnsi="Arial"/>
                <w:b/>
                <w:sz w:val="18"/>
              </w:rPr>
              <w:t>Delta CR</w:t>
            </w:r>
          </w:p>
        </w:tc>
      </w:tr>
      <w:tr>
        <w:tc>
          <w:tcPr>
            <w:tcW w:type="dxa" w:w="1987"/>
          </w:tcPr>
          <w:p>
            <w:r>
              <w:rPr>
                <w:rFonts w:ascii="Arial" w:hAnsi="Arial"/>
                <w:sz w:val="18"/>
              </w:rPr>
              <w:t>Boudh</w:t>
            </w:r>
          </w:p>
        </w:tc>
        <w:tc>
          <w:tcPr>
            <w:tcW w:type="dxa" w:w="1987"/>
          </w:tcPr>
          <w:p>
            <w:r>
              <w:rPr>
                <w:rFonts w:ascii="Arial" w:hAnsi="Arial"/>
                <w:sz w:val="18"/>
              </w:rPr>
              <w:t>Agronomic transplanting (Jun-early Aug)</w:t>
            </w:r>
          </w:p>
        </w:tc>
        <w:tc>
          <w:tcPr>
            <w:tcW w:type="dxa" w:w="1987"/>
          </w:tcPr>
          <w:p>
            <w:r>
              <w:rPr>
                <w:rFonts w:ascii="Arial" w:hAnsi="Arial"/>
                <w:sz w:val="18"/>
              </w:rPr>
              <w:t>+1.25</w:t>
            </w:r>
          </w:p>
        </w:tc>
        <w:tc>
          <w:tcPr>
            <w:tcW w:type="dxa" w:w="1987"/>
          </w:tcPr>
          <w:p>
            <w:r>
              <w:rPr>
                <w:rFonts w:ascii="Arial" w:hAnsi="Arial"/>
                <w:sz w:val="18"/>
              </w:rPr>
              <w:t>+1.51</w:t>
            </w:r>
          </w:p>
        </w:tc>
        <w:tc>
          <w:tcPr>
            <w:tcW w:type="dxa" w:w="1987"/>
          </w:tcPr>
          <w:p>
            <w:r>
              <w:rPr>
                <w:rFonts w:ascii="Arial" w:hAnsi="Arial"/>
                <w:sz w:val="18"/>
              </w:rPr>
              <w:t>-0.013</w:t>
            </w:r>
          </w:p>
        </w:tc>
      </w:tr>
      <w:tr>
        <w:tc>
          <w:tcPr>
            <w:tcW w:type="dxa" w:w="1987"/>
          </w:tcPr>
          <w:p>
            <w:r>
              <w:rPr>
                <w:rFonts w:ascii="Arial" w:hAnsi="Arial"/>
                <w:sz w:val="18"/>
              </w:rPr>
              <w:t>Boudh</w:t>
            </w:r>
          </w:p>
        </w:tc>
        <w:tc>
          <w:tcPr>
            <w:tcW w:type="dxa" w:w="1987"/>
          </w:tcPr>
          <w:p>
            <w:r>
              <w:rPr>
                <w:rFonts w:ascii="Arial" w:hAnsi="Arial"/>
                <w:sz w:val="18"/>
              </w:rPr>
              <w:t>Peak canopy (mid-Aug-late Sep)</w:t>
            </w:r>
          </w:p>
        </w:tc>
        <w:tc>
          <w:tcPr>
            <w:tcW w:type="dxa" w:w="1987"/>
          </w:tcPr>
          <w:p>
            <w:r>
              <w:rPr>
                <w:rFonts w:ascii="Arial" w:hAnsi="Arial"/>
                <w:sz w:val="18"/>
              </w:rPr>
              <w:t>+1.39</w:t>
            </w:r>
          </w:p>
        </w:tc>
        <w:tc>
          <w:tcPr>
            <w:tcW w:type="dxa" w:w="1987"/>
          </w:tcPr>
          <w:p>
            <w:r>
              <w:rPr>
                <w:rFonts w:ascii="Arial" w:hAnsi="Arial"/>
                <w:sz w:val="18"/>
              </w:rPr>
              <w:t>+1.89</w:t>
            </w:r>
          </w:p>
        </w:tc>
        <w:tc>
          <w:tcPr>
            <w:tcW w:type="dxa" w:w="1987"/>
          </w:tcPr>
          <w:p>
            <w:r>
              <w:rPr>
                <w:rFonts w:ascii="Arial" w:hAnsi="Arial"/>
                <w:sz w:val="18"/>
              </w:rPr>
              <w:t>-0.024</w:t>
            </w:r>
          </w:p>
        </w:tc>
      </w:tr>
      <w:tr>
        <w:tc>
          <w:tcPr>
            <w:tcW w:type="dxa" w:w="1987"/>
          </w:tcPr>
          <w:p>
            <w:r>
              <w:rPr>
                <w:rFonts w:ascii="Arial" w:hAnsi="Arial"/>
                <w:sz w:val="18"/>
              </w:rPr>
              <w:t>Boudh</w:t>
            </w:r>
          </w:p>
        </w:tc>
        <w:tc>
          <w:tcPr>
            <w:tcW w:type="dxa" w:w="1987"/>
          </w:tcPr>
          <w:p>
            <w:r>
              <w:rPr>
                <w:rFonts w:ascii="Arial" w:hAnsi="Arial"/>
                <w:sz w:val="18"/>
              </w:rPr>
              <w:t>Bulbul event window (Nov 1-21)</w:t>
            </w:r>
          </w:p>
        </w:tc>
        <w:tc>
          <w:tcPr>
            <w:tcW w:type="dxa" w:w="1987"/>
          </w:tcPr>
          <w:p>
            <w:r>
              <w:rPr>
                <w:rFonts w:ascii="Arial" w:hAnsi="Arial"/>
                <w:sz w:val="18"/>
              </w:rPr>
              <w:t>+1.41</w:t>
            </w:r>
          </w:p>
        </w:tc>
        <w:tc>
          <w:tcPr>
            <w:tcW w:type="dxa" w:w="1987"/>
          </w:tcPr>
          <w:p>
            <w:r>
              <w:rPr>
                <w:rFonts w:ascii="Arial" w:hAnsi="Arial"/>
                <w:sz w:val="18"/>
              </w:rPr>
              <w:t>+1.46</w:t>
            </w:r>
          </w:p>
        </w:tc>
        <w:tc>
          <w:tcPr>
            <w:tcW w:type="dxa" w:w="1987"/>
          </w:tcPr>
          <w:p>
            <w:r>
              <w:rPr>
                <w:rFonts w:ascii="Arial" w:hAnsi="Arial"/>
                <w:sz w:val="18"/>
              </w:rPr>
              <w:t>-0.001</w:t>
            </w:r>
          </w:p>
        </w:tc>
      </w:tr>
      <w:tr>
        <w:tc>
          <w:tcPr>
            <w:tcW w:type="dxa" w:w="1987"/>
          </w:tcPr>
          <w:p>
            <w:r>
              <w:rPr>
                <w:rFonts w:ascii="Arial" w:hAnsi="Arial"/>
                <w:sz w:val="18"/>
              </w:rPr>
              <w:t>Ganjam</w:t>
            </w:r>
          </w:p>
        </w:tc>
        <w:tc>
          <w:tcPr>
            <w:tcW w:type="dxa" w:w="1987"/>
          </w:tcPr>
          <w:p>
            <w:r>
              <w:rPr>
                <w:rFonts w:ascii="Arial" w:hAnsi="Arial"/>
                <w:sz w:val="18"/>
              </w:rPr>
              <w:t>Agronomic transplanting (Jun-early Aug)</w:t>
            </w:r>
          </w:p>
        </w:tc>
        <w:tc>
          <w:tcPr>
            <w:tcW w:type="dxa" w:w="1987"/>
          </w:tcPr>
          <w:p>
            <w:r>
              <w:rPr>
                <w:rFonts w:ascii="Arial" w:hAnsi="Arial"/>
                <w:sz w:val="18"/>
              </w:rPr>
              <w:t>+0.07</w:t>
            </w:r>
          </w:p>
        </w:tc>
        <w:tc>
          <w:tcPr>
            <w:tcW w:type="dxa" w:w="1987"/>
          </w:tcPr>
          <w:p>
            <w:r>
              <w:rPr>
                <w:rFonts w:ascii="Arial" w:hAnsi="Arial"/>
                <w:sz w:val="18"/>
              </w:rPr>
              <w:t>+0.09</w:t>
            </w:r>
          </w:p>
        </w:tc>
        <w:tc>
          <w:tcPr>
            <w:tcW w:type="dxa" w:w="1987"/>
          </w:tcPr>
          <w:p>
            <w:r>
              <w:rPr>
                <w:rFonts w:ascii="Arial" w:hAnsi="Arial"/>
                <w:sz w:val="18"/>
              </w:rPr>
              <w:t>-0.002</w:t>
            </w:r>
          </w:p>
        </w:tc>
      </w:tr>
      <w:tr>
        <w:tc>
          <w:tcPr>
            <w:tcW w:type="dxa" w:w="1987"/>
          </w:tcPr>
          <w:p>
            <w:r>
              <w:rPr>
                <w:rFonts w:ascii="Arial" w:hAnsi="Arial"/>
                <w:sz w:val="18"/>
              </w:rPr>
              <w:t>Ganjam</w:t>
            </w:r>
          </w:p>
        </w:tc>
        <w:tc>
          <w:tcPr>
            <w:tcW w:type="dxa" w:w="1987"/>
          </w:tcPr>
          <w:p>
            <w:r>
              <w:rPr>
                <w:rFonts w:ascii="Arial" w:hAnsi="Arial"/>
                <w:sz w:val="18"/>
              </w:rPr>
              <w:t>Peak canopy (mid-Aug-late Sep)</w:t>
            </w:r>
          </w:p>
        </w:tc>
        <w:tc>
          <w:tcPr>
            <w:tcW w:type="dxa" w:w="1987"/>
          </w:tcPr>
          <w:p>
            <w:r>
              <w:rPr>
                <w:rFonts w:ascii="Arial" w:hAnsi="Arial"/>
                <w:sz w:val="18"/>
              </w:rPr>
              <w:t>-0.02</w:t>
            </w:r>
          </w:p>
        </w:tc>
        <w:tc>
          <w:tcPr>
            <w:tcW w:type="dxa" w:w="1987"/>
          </w:tcPr>
          <w:p>
            <w:r>
              <w:rPr>
                <w:rFonts w:ascii="Arial" w:hAnsi="Arial"/>
                <w:sz w:val="18"/>
              </w:rPr>
              <w:t>+0.46</w:t>
            </w:r>
          </w:p>
        </w:tc>
        <w:tc>
          <w:tcPr>
            <w:tcW w:type="dxa" w:w="1987"/>
          </w:tcPr>
          <w:p>
            <w:r>
              <w:rPr>
                <w:rFonts w:ascii="Arial" w:hAnsi="Arial"/>
                <w:sz w:val="18"/>
              </w:rPr>
              <w:t>-0.022</w:t>
            </w:r>
          </w:p>
        </w:tc>
      </w:tr>
      <w:tr>
        <w:tc>
          <w:tcPr>
            <w:tcW w:type="dxa" w:w="1987"/>
          </w:tcPr>
          <w:p>
            <w:r>
              <w:rPr>
                <w:rFonts w:ascii="Arial" w:hAnsi="Arial"/>
                <w:sz w:val="18"/>
              </w:rPr>
              <w:t>Ganjam</w:t>
            </w:r>
          </w:p>
        </w:tc>
        <w:tc>
          <w:tcPr>
            <w:tcW w:type="dxa" w:w="1987"/>
          </w:tcPr>
          <w:p>
            <w:r>
              <w:rPr>
                <w:rFonts w:ascii="Arial" w:hAnsi="Arial"/>
                <w:sz w:val="18"/>
              </w:rPr>
              <w:t>Bulbul event window (Nov 1-21)</w:t>
            </w:r>
          </w:p>
        </w:tc>
        <w:tc>
          <w:tcPr>
            <w:tcW w:type="dxa" w:w="1987"/>
          </w:tcPr>
          <w:p>
            <w:r>
              <w:rPr>
                <w:rFonts w:ascii="Arial" w:hAnsi="Arial"/>
                <w:sz w:val="18"/>
              </w:rPr>
              <w:t>+0.06</w:t>
            </w:r>
          </w:p>
        </w:tc>
        <w:tc>
          <w:tcPr>
            <w:tcW w:type="dxa" w:w="1987"/>
          </w:tcPr>
          <w:p>
            <w:r>
              <w:rPr>
                <w:rFonts w:ascii="Arial" w:hAnsi="Arial"/>
                <w:sz w:val="18"/>
              </w:rPr>
              <w:t>-0.42</w:t>
            </w:r>
          </w:p>
        </w:tc>
        <w:tc>
          <w:tcPr>
            <w:tcW w:type="dxa" w:w="1987"/>
          </w:tcPr>
          <w:p>
            <w:r>
              <w:rPr>
                <w:rFonts w:ascii="Arial" w:hAnsi="Arial"/>
                <w:sz w:val="18"/>
              </w:rPr>
              <w:t>+0.028</w:t>
            </w:r>
          </w:p>
        </w:tc>
      </w:tr>
      <w:tr>
        <w:tc>
          <w:tcPr>
            <w:tcW w:type="dxa" w:w="1987"/>
          </w:tcPr>
          <w:p>
            <w:r>
              <w:rPr>
                <w:rFonts w:ascii="Arial" w:hAnsi="Arial"/>
                <w:sz w:val="18"/>
              </w:rPr>
              <w:t>Khordha</w:t>
            </w:r>
          </w:p>
        </w:tc>
        <w:tc>
          <w:tcPr>
            <w:tcW w:type="dxa" w:w="1987"/>
          </w:tcPr>
          <w:p>
            <w:r>
              <w:rPr>
                <w:rFonts w:ascii="Arial" w:hAnsi="Arial"/>
                <w:sz w:val="18"/>
              </w:rPr>
              <w:t>Agronomic transplanting (Jun-early Aug)</w:t>
            </w:r>
          </w:p>
        </w:tc>
        <w:tc>
          <w:tcPr>
            <w:tcW w:type="dxa" w:w="1987"/>
          </w:tcPr>
          <w:p>
            <w:r>
              <w:rPr>
                <w:rFonts w:ascii="Arial" w:hAnsi="Arial"/>
                <w:sz w:val="18"/>
              </w:rPr>
              <w:t>+0.81</w:t>
            </w:r>
          </w:p>
        </w:tc>
        <w:tc>
          <w:tcPr>
            <w:tcW w:type="dxa" w:w="1987"/>
          </w:tcPr>
          <w:p>
            <w:r>
              <w:rPr>
                <w:rFonts w:ascii="Arial" w:hAnsi="Arial"/>
                <w:sz w:val="18"/>
              </w:rPr>
              <w:t>+1.28</w:t>
            </w:r>
          </w:p>
        </w:tc>
        <w:tc>
          <w:tcPr>
            <w:tcW w:type="dxa" w:w="1987"/>
          </w:tcPr>
          <w:p>
            <w:r>
              <w:rPr>
                <w:rFonts w:ascii="Arial" w:hAnsi="Arial"/>
                <w:sz w:val="18"/>
              </w:rPr>
              <w:t>-0.022</w:t>
            </w:r>
          </w:p>
        </w:tc>
      </w:tr>
      <w:tr>
        <w:tc>
          <w:tcPr>
            <w:tcW w:type="dxa" w:w="1987"/>
          </w:tcPr>
          <w:p>
            <w:r>
              <w:rPr>
                <w:rFonts w:ascii="Arial" w:hAnsi="Arial"/>
                <w:sz w:val="18"/>
              </w:rPr>
              <w:t>Khordha</w:t>
            </w:r>
          </w:p>
        </w:tc>
        <w:tc>
          <w:tcPr>
            <w:tcW w:type="dxa" w:w="1987"/>
          </w:tcPr>
          <w:p>
            <w:r>
              <w:rPr>
                <w:rFonts w:ascii="Arial" w:hAnsi="Arial"/>
                <w:sz w:val="18"/>
              </w:rPr>
              <w:t>Peak canopy (mid-Aug-late Sep)</w:t>
            </w:r>
          </w:p>
        </w:tc>
        <w:tc>
          <w:tcPr>
            <w:tcW w:type="dxa" w:w="1987"/>
          </w:tcPr>
          <w:p>
            <w:r>
              <w:rPr>
                <w:rFonts w:ascii="Arial" w:hAnsi="Arial"/>
                <w:sz w:val="18"/>
              </w:rPr>
              <w:t>+0.78</w:t>
            </w:r>
          </w:p>
        </w:tc>
        <w:tc>
          <w:tcPr>
            <w:tcW w:type="dxa" w:w="1987"/>
          </w:tcPr>
          <w:p>
            <w:r>
              <w:rPr>
                <w:rFonts w:ascii="Arial" w:hAnsi="Arial"/>
                <w:sz w:val="18"/>
              </w:rPr>
              <w:t>+1.43</w:t>
            </w:r>
          </w:p>
        </w:tc>
        <w:tc>
          <w:tcPr>
            <w:tcW w:type="dxa" w:w="1987"/>
          </w:tcPr>
          <w:p>
            <w:r>
              <w:rPr>
                <w:rFonts w:ascii="Arial" w:hAnsi="Arial"/>
                <w:sz w:val="18"/>
              </w:rPr>
              <w:t>-0.029</w:t>
            </w:r>
          </w:p>
        </w:tc>
      </w:tr>
      <w:tr>
        <w:tc>
          <w:tcPr>
            <w:tcW w:type="dxa" w:w="1987"/>
          </w:tcPr>
          <w:p>
            <w:r>
              <w:rPr>
                <w:rFonts w:ascii="Arial" w:hAnsi="Arial"/>
                <w:sz w:val="18"/>
              </w:rPr>
              <w:t>Khordha</w:t>
            </w:r>
          </w:p>
        </w:tc>
        <w:tc>
          <w:tcPr>
            <w:tcW w:type="dxa" w:w="1987"/>
          </w:tcPr>
          <w:p>
            <w:r>
              <w:rPr>
                <w:rFonts w:ascii="Arial" w:hAnsi="Arial"/>
                <w:sz w:val="18"/>
              </w:rPr>
              <w:t>Bulbul event window (Nov 1-21)</w:t>
            </w:r>
          </w:p>
        </w:tc>
        <w:tc>
          <w:tcPr>
            <w:tcW w:type="dxa" w:w="1987"/>
          </w:tcPr>
          <w:p>
            <w:r>
              <w:rPr>
                <w:rFonts w:ascii="Arial" w:hAnsi="Arial"/>
                <w:sz w:val="18"/>
              </w:rPr>
              <w:t>+1.63</w:t>
            </w:r>
          </w:p>
        </w:tc>
        <w:tc>
          <w:tcPr>
            <w:tcW w:type="dxa" w:w="1987"/>
          </w:tcPr>
          <w:p>
            <w:r>
              <w:rPr>
                <w:rFonts w:ascii="Arial" w:hAnsi="Arial"/>
                <w:sz w:val="18"/>
              </w:rPr>
              <w:t>+1.37</w:t>
            </w:r>
          </w:p>
        </w:tc>
        <w:tc>
          <w:tcPr>
            <w:tcW w:type="dxa" w:w="1987"/>
          </w:tcPr>
          <w:p>
            <w:r>
              <w:rPr>
                <w:rFonts w:ascii="Arial" w:hAnsi="Arial"/>
                <w:sz w:val="18"/>
              </w:rPr>
              <w:t>+0.017</w:t>
            </w:r>
          </w:p>
        </w:tc>
      </w:tr>
      <w:tr>
        <w:tc>
          <w:tcPr>
            <w:tcW w:type="dxa" w:w="1987"/>
          </w:tcPr>
          <w:p>
            <w:r>
              <w:rPr>
                <w:rFonts w:ascii="Arial" w:hAnsi="Arial"/>
                <w:sz w:val="18"/>
              </w:rPr>
              <w:t>Nayagarh</w:t>
            </w:r>
          </w:p>
        </w:tc>
        <w:tc>
          <w:tcPr>
            <w:tcW w:type="dxa" w:w="1987"/>
          </w:tcPr>
          <w:p>
            <w:r>
              <w:rPr>
                <w:rFonts w:ascii="Arial" w:hAnsi="Arial"/>
                <w:sz w:val="18"/>
              </w:rPr>
              <w:t>Agronomic transplanting (Jun-early Aug)</w:t>
            </w:r>
          </w:p>
        </w:tc>
        <w:tc>
          <w:tcPr>
            <w:tcW w:type="dxa" w:w="1987"/>
          </w:tcPr>
          <w:p>
            <w:r>
              <w:rPr>
                <w:rFonts w:ascii="Arial" w:hAnsi="Arial"/>
                <w:sz w:val="18"/>
              </w:rPr>
              <w:t>-0.03</w:t>
            </w:r>
          </w:p>
        </w:tc>
        <w:tc>
          <w:tcPr>
            <w:tcW w:type="dxa" w:w="1987"/>
          </w:tcPr>
          <w:p>
            <w:r>
              <w:rPr>
                <w:rFonts w:ascii="Arial" w:hAnsi="Arial"/>
                <w:sz w:val="18"/>
              </w:rPr>
              <w:t>+0.38</w:t>
            </w:r>
          </w:p>
        </w:tc>
        <w:tc>
          <w:tcPr>
            <w:tcW w:type="dxa" w:w="1987"/>
          </w:tcPr>
          <w:p>
            <w:r>
              <w:rPr>
                <w:rFonts w:ascii="Arial" w:hAnsi="Arial"/>
                <w:sz w:val="18"/>
              </w:rPr>
              <w:t>-0.021</w:t>
            </w:r>
          </w:p>
        </w:tc>
      </w:tr>
      <w:tr>
        <w:tc>
          <w:tcPr>
            <w:tcW w:type="dxa" w:w="1987"/>
          </w:tcPr>
          <w:p>
            <w:r>
              <w:rPr>
                <w:rFonts w:ascii="Arial" w:hAnsi="Arial"/>
                <w:sz w:val="18"/>
              </w:rPr>
              <w:t>Nayagarh</w:t>
            </w:r>
          </w:p>
        </w:tc>
        <w:tc>
          <w:tcPr>
            <w:tcW w:type="dxa" w:w="1987"/>
          </w:tcPr>
          <w:p>
            <w:r>
              <w:rPr>
                <w:rFonts w:ascii="Arial" w:hAnsi="Arial"/>
                <w:sz w:val="18"/>
              </w:rPr>
              <w:t>Peak canopy (mid-Aug-late Sep)</w:t>
            </w:r>
          </w:p>
        </w:tc>
        <w:tc>
          <w:tcPr>
            <w:tcW w:type="dxa" w:w="1987"/>
          </w:tcPr>
          <w:p>
            <w:r>
              <w:rPr>
                <w:rFonts w:ascii="Arial" w:hAnsi="Arial"/>
                <w:sz w:val="18"/>
              </w:rPr>
              <w:t>+0.01</w:t>
            </w:r>
          </w:p>
        </w:tc>
        <w:tc>
          <w:tcPr>
            <w:tcW w:type="dxa" w:w="1987"/>
          </w:tcPr>
          <w:p>
            <w:r>
              <w:rPr>
                <w:rFonts w:ascii="Arial" w:hAnsi="Arial"/>
                <w:sz w:val="18"/>
              </w:rPr>
              <w:t>+0.77</w:t>
            </w:r>
          </w:p>
        </w:tc>
        <w:tc>
          <w:tcPr>
            <w:tcW w:type="dxa" w:w="1987"/>
          </w:tcPr>
          <w:p>
            <w:r>
              <w:rPr>
                <w:rFonts w:ascii="Arial" w:hAnsi="Arial"/>
                <w:sz w:val="18"/>
              </w:rPr>
              <w:t>-0.036</w:t>
            </w:r>
          </w:p>
        </w:tc>
      </w:tr>
      <w:tr>
        <w:tc>
          <w:tcPr>
            <w:tcW w:type="dxa" w:w="1987"/>
          </w:tcPr>
          <w:p>
            <w:r>
              <w:rPr>
                <w:rFonts w:ascii="Arial" w:hAnsi="Arial"/>
                <w:sz w:val="18"/>
              </w:rPr>
              <w:t>Nayagarh</w:t>
            </w:r>
          </w:p>
        </w:tc>
        <w:tc>
          <w:tcPr>
            <w:tcW w:type="dxa" w:w="1987"/>
          </w:tcPr>
          <w:p>
            <w:r>
              <w:rPr>
                <w:rFonts w:ascii="Arial" w:hAnsi="Arial"/>
                <w:sz w:val="18"/>
              </w:rPr>
              <w:t>Bulbul event window (Nov 1-21)</w:t>
            </w:r>
          </w:p>
        </w:tc>
        <w:tc>
          <w:tcPr>
            <w:tcW w:type="dxa" w:w="1987"/>
          </w:tcPr>
          <w:p>
            <w:r>
              <w:rPr>
                <w:rFonts w:ascii="Arial" w:hAnsi="Arial"/>
                <w:sz w:val="18"/>
              </w:rPr>
              <w:t>+0.23</w:t>
            </w:r>
          </w:p>
        </w:tc>
        <w:tc>
          <w:tcPr>
            <w:tcW w:type="dxa" w:w="1987"/>
          </w:tcPr>
          <w:p>
            <w:r>
              <w:rPr>
                <w:rFonts w:ascii="Arial" w:hAnsi="Arial"/>
                <w:sz w:val="18"/>
              </w:rPr>
              <w:t>+0.36</w:t>
            </w:r>
          </w:p>
        </w:tc>
        <w:tc>
          <w:tcPr>
            <w:tcW w:type="dxa" w:w="1987"/>
          </w:tcPr>
          <w:p>
            <w:r>
              <w:rPr>
                <w:rFonts w:ascii="Arial" w:hAnsi="Arial"/>
                <w:sz w:val="18"/>
              </w:rPr>
              <w:t>-0.006</w:t>
            </w:r>
          </w:p>
        </w:tc>
      </w:tr>
    </w:tbl>
    <w:p>
      <w:r>
        <w:rPr>
          <w:rFonts w:ascii="Arial" w:hAnsi="Arial"/>
          <w:sz w:val="20"/>
        </w:rPr>
        <w:br w:type="page"/>
      </w:r>
    </w:p>
    <w:p>
      <w:pPr>
        <w:keepNext/>
        <w:spacing w:before="240" w:after="120"/>
      </w:pPr>
      <w:bookmarkStart w:id="32410" w:name="figure_s1"/>
      <w:r>
        <w:rPr>
          <w:rFonts w:ascii="Arial" w:hAnsi="Arial"/>
          <w:b/>
          <w:color w:val="1F3A5F"/>
          <w:sz w:val="32"/>
        </w:rPr>
        <w:t>Figure S1 — Pre-Kharif cyclone climatology</w:t>
      </w:r>
      <w:bookmarkEnd w:id="32410"/>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991" w:name="figure_s2"/>
      <w:r>
        <w:rPr>
          <w:rFonts w:ascii="Arial" w:hAnsi="Arial"/>
          <w:b/>
          <w:color w:val="1F3A5F"/>
          <w:sz w:val="32"/>
        </w:rPr>
        <w:t>Figure S2 — Real Sentinel-1 RTC backscatter signatures (Planetary Computer)</w:t>
      </w:r>
      <w:bookmarkEnd w:id="95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