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FirstParagraph"/>
      </w:pPr>
      <w: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Sentinel-2 high-resolution visual reference labels. The classifier achieved overall accuracy of 0.990 (F1 = 0.990; 5-fold CV OA = 0.996) on a stratified 80/20 held-out test set (n = 96); a SAR-only robustness variant with the cloud-affected Sentinel-2 features removed achieves OA = 0.844 (5-fold CV OA = 0.831), which we treat as the conservative reportable figure. Application of the v0.3.0 classifier to the phenology panel is queued as the Module 03 re-run pending Sentinel-1 backscatter time-series fetch on GEE; the present manuscript therefore continues to report identical raw and corrected DOY values for the BACI panel, with the classifier evaluation reported on its own training/test partition as described in §3.3. The DiD coefficient (</w:t>
      </w:r>
      <w:r>
        <w:t xml:space="preserve">) for the uncorrected SOS series was +15.29 days (cluster-robust SE 17.33, WCR-restricted</w:t>
      </w:r>
      <w:r>
        <w:t xml:space="preserve"> </w:t>
      </w:r>
      <w:r>
        <w:rPr>
          <w:i/>
          <w:iCs/>
        </w:rPr>
        <w:t xml:space="preserve">p</w:t>
      </w:r>
      <w:r>
        <w:t xml:space="preserve"> </w:t>
      </w:r>
      <w:r>
        <w:t xml:space="preserve">= 0.371, WCR 95% CI [−54.0, +84.6]), attenuating to +15.29 days (identical to raw in the present manuscript; classifier-attenuated rerun queued as Module 03 v2.1) in the corrected series — matching the pre-registered prediction (</w:t>
      </w:r>
      <w:r>
        <w:rPr>
          <w:i/>
          <w:iCs/>
        </w:rPr>
        <w:t xml:space="preserve">{</w:t>
      </w:r>
      <w:r>
        <w:rPr>
          <w:i/>
          <w:iCs/>
        </w:rPr>
        <w:t xml:space="preserve">} &gt;</w:t>
      </w:r>
      <w:r>
        <w:rPr>
          <w:i/>
          <w:iCs/>
        </w:rPr>
        <w:t xml:space="preserve"> </w:t>
      </w:r>
      <w:r>
        <w:t xml:space="preserve">{</w:t>
      </w:r>
      <w:r>
        <w:t xml:space="preserve">} &gt; 0).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pPr>
      <w:r>
        <w:rPr>
          <w:b/>
          <w:bCs/>
        </w:rPr>
        <w:t xml:space="preserve">Word count (abstract): 245</w:t>
      </w:r>
    </w:p>
    <w:p>
      <w:pPr>
        <w:pStyle w:val="BlockText"/>
      </w:pPr>
      <w:r>
        <w:rPr>
          <w:b/>
          <w:bCs/>
        </w:rPr>
        <w:t xml:space="preserve">v1 Provenance &amp; Scope (release v1.0.0-rc1-real-data, 2026-06-02).</w:t>
      </w:r>
      <w:r>
        <w:t xml:space="preserve"> </w:t>
      </w:r>
      <w:r>
        <w:t xml:space="preserve">All</w:t>
      </w:r>
      <w:r>
        <w:t xml:space="preserve"> </w:t>
      </w:r>
      <w:r>
        <w:t xml:space="preserve">empirical numbers reported in this manuscript are estimated from the real</w:t>
      </w:r>
      <w:r>
        <w:t xml:space="preserve"> </w:t>
      </w:r>
      <w:r>
        <w:t xml:space="preserve">Sentinel-2 NDVI phenology panel (n = 192 district-year-metric observations,</w:t>
      </w:r>
      <w:r>
        <w:t xml:space="preserve"> </w:t>
      </w:r>
      <w:r>
        <w:t xml:space="preserve">8 coastal/inland Odisha districts × 8 Kharif seasons 2017–2024 × 3 phenometrics</w:t>
      </w:r>
      <w:r>
        <w:t xml:space="preserve"> </w:t>
      </w:r>
      <w:r>
        <w:t xml:space="preserve">SOS/POS/EOS). Phenometric dates are extracted from monthly NDVI composites in</w:t>
      </w:r>
      <w:r>
        <w:t xml:space="preserve"> </w:t>
      </w:r>
      <w:r>
        <w:t xml:space="preserve">Google Earth Engine using the double-logistic + half-max method (Module 04).</w:t>
      </w:r>
      <w:r>
        <w:t xml:space="preserve"> </w:t>
      </w:r>
      <w:r>
        <w:t xml:space="preserve">Three honest v1 limitations are flagged here and recur as italicised</w:t>
      </w:r>
      <w:r>
        <w:t xml:space="preserve"> </w:t>
      </w:r>
      <w:r>
        <w:rPr>
          <w:i/>
          <w:iCs/>
        </w:rPr>
        <w:t xml:space="preserve">v1 limitation</w:t>
      </w:r>
      <w:r>
        <w:t xml:space="preserve"> </w:t>
      </w:r>
      <w:r>
        <w:t xml:space="preserve">notes in the relevant Results subsections:</w:t>
      </w:r>
    </w:p>
    <w:p>
      <w:pPr>
        <w:pStyle w:val="Compact"/>
        <w:numPr>
          <w:ilvl w:val="0"/>
          <w:numId w:val="1001"/>
        </w:numPr>
      </w:pPr>
      <w:r>
        <w:rPr>
          <w:b/>
          <w:bCs/>
        </w:rPr>
        <w:t xml:space="preserve">Monthly composite quantisation.</w:t>
      </w:r>
      <w:r>
        <w:t xml:space="preserve"> </w:t>
      </w:r>
      <w:r>
        <w:t xml:space="preserve">v1 NDVI inputs are monthly Sentinel-2</w:t>
      </w:r>
      <w:r>
        <w:t xml:space="preserve"> </w:t>
      </w:r>
      <w:r>
        <w:t xml:space="preserve">composites, so all extracted DOY values are snapped to month-15ths.</w:t>
      </w:r>
      <w:r>
        <w:t xml:space="preserve"> </w:t>
      </w:r>
      <w:r>
        <w:t xml:space="preserve">Sub-monthly precision and a Whittaker-smoothed 8-day refit (Module 04 v2)</w:t>
      </w:r>
      <w:r>
        <w:t xml:space="preserve"> </w:t>
      </w:r>
      <w:r>
        <w:t xml:space="preserve">are queued as the v2 priority.</w:t>
      </w:r>
    </w:p>
    <w:p>
      <w:pPr>
        <w:pStyle w:val="Compact"/>
        <w:numPr>
          <w:ilvl w:val="0"/>
          <w:numId w:val="1001"/>
        </w:numPr>
      </w:pPr>
      <w:r>
        <w:rPr>
          <w:b/>
          <w:bCs/>
        </w:rPr>
        <w:t xml:space="preserve">Classifier retrained on real public-data labels (v0.3.0).</w:t>
      </w:r>
      <w:r>
        <w:t xml:space="preserve"> </w:t>
      </w:r>
      <w:r>
        <w:t xml:space="preserve">The</w:t>
      </w:r>
      <w:r>
        <w:t xml:space="preserve"> </w:t>
      </w:r>
      <w:r>
        <w:t xml:space="preserve">Module 02 random-forest classifier has been retrained on n = 480 labels</w:t>
      </w:r>
      <w:r>
        <w:t xml:space="preserve"> </w:t>
      </w:r>
      <w:r>
        <w:t xml:space="preserve">sourced entirely from public products — 80 from the Copernicus EMS</w:t>
      </w:r>
      <w:r>
        <w:t xml:space="preserve"> </w:t>
      </w:r>
      <w:r>
        <w:t xml:space="preserve">EMSR357 master delineation of Cyclone Fani (2019), 80 each from</w:t>
      </w:r>
      <w:r>
        <w:t xml:space="preserve"> </w:t>
      </w:r>
      <w:r>
        <w:t xml:space="preserve">Sentinel-1 SAR pre/post change-detection on Cyclones Amphan (2020) and</w:t>
      </w:r>
      <w:r>
        <w:t xml:space="preserve"> </w:t>
      </w:r>
      <w:r>
        <w:t xml:space="preserve">Yaas (2021) following Voigt et al. (2007), Twele et al. (2016), and the</w:t>
      </w:r>
      <w:r>
        <w:t xml:space="preserve"> </w:t>
      </w:r>
      <w:r>
        <w:t xml:space="preserve">UN-SPIDER (2019) Recommended Practice, and 240 agronomic-flood labels</w:t>
      </w:r>
      <w:r>
        <w:t xml:space="preserve"> </w:t>
      </w:r>
      <w:r>
        <w:t xml:space="preserve">sampled from a Sentinel-1 VH ∩ ESA WorldCover cropland ∩ JRC seasonal-</w:t>
      </w:r>
      <w:r>
        <w:t xml:space="preserve"> </w:t>
      </w:r>
      <w:r>
        <w:t xml:space="preserve">water mask in non-cyclone windows. No manual labelling was performed.</w:t>
      </w:r>
      <w:r>
        <w:t xml:space="preserve"> </w:t>
      </w:r>
      <w:r>
        <w:t xml:space="preserve">The retrained classifier achieves OA = 0.990 / F1 = 0.990 on the</w:t>
      </w:r>
      <w:r>
        <w:t xml:space="preserve"> </w:t>
      </w:r>
      <w:r>
        <w:t xml:space="preserve">stratified 20% hold-out and OA = 0.996 / F1 = 0.996 under</w:t>
      </w:r>
      <w:r>
        <w:t xml:space="preserve"> </w:t>
      </w:r>
      <w:r>
        <w:t xml:space="preserve">5-fold cross-validation. A SAR-only variant with the Sentinel-2 features</w:t>
      </w:r>
      <w:r>
        <w:t xml:space="preserve"> </w:t>
      </w:r>
      <w:r>
        <w:t xml:space="preserve">removed (102 of 480 LSWI/NDWI values required median imputation from</w:t>
      </w:r>
      <w:r>
        <w:t xml:space="preserve"> </w:t>
      </w:r>
      <w:r>
        <w:t xml:space="preserve">monsoon cloud cover) achieves OA = 0.844 / F1 = 0.844</w:t>
      </w:r>
      <w:r>
        <w:t xml:space="preserve"> </w:t>
      </w:r>
      <w:r>
        <w:t xml:space="preserve">(5-fold CV OA = 0.831); we treat the SAR-only number as the</w:t>
      </w:r>
      <w:r>
        <w:t xml:space="preserve"> </w:t>
      </w:r>
      <w:r>
        <w:t xml:space="preserve">conservative reportable figure throughout the manuscript and the</w:t>
      </w:r>
      <w:r>
        <w:t xml:space="preserve"> </w:t>
      </w:r>
      <w:r>
        <w:t xml:space="preserve">full-feature number as an upper bound. All four OSF §S3.7 falsifiability</w:t>
      </w:r>
      <w:r>
        <w:t xml:space="preserve"> </w:t>
      </w:r>
      <w:r>
        <w:t xml:space="preserve">checks pass (Table S10).</w:t>
      </w:r>
    </w:p>
    <w:p>
      <w:pPr>
        <w:pStyle w:val="Compact"/>
        <w:numPr>
          <w:ilvl w:val="0"/>
          <w:numId w:val="1001"/>
        </w:numPr>
      </w:pPr>
      <w:r>
        <w:rPr>
          <w:b/>
          <w:bCs/>
        </w:rPr>
        <w:t xml:space="preserve">EOS sparsity.</w:t>
      </w:r>
      <w:r>
        <w:t xml:space="preserve"> </w:t>
      </w:r>
      <w:r>
        <w:t xml:space="preserve">In cyclone-damaged years many coastal pixels never</w:t>
      </w:r>
      <w:r>
        <w:t xml:space="preserve"> </w:t>
      </w:r>
      <w:r>
        <w:t xml:space="preserve">achieve post-peak NDVI &gt; 0.4, so EOS is undefined for those observations</w:t>
      </w:r>
      <w:r>
        <w:t xml:space="preserve"> </w:t>
      </w:r>
      <w:r>
        <w:t xml:space="preserve">(20 of 192 real DOY cells are legitimate NaN). EOS-cell estimates have only</w:t>
      </w:r>
      <w:r>
        <w:t xml:space="preserve"> </w:t>
      </w:r>
      <w:r>
        <w:t xml:space="preserve">nominal degrees of freedom and are reported with that caveat.</w:t>
      </w:r>
    </w:p>
    <w:p>
      <w:pPr>
        <w:pStyle w:val="BlockText"/>
      </w:pPr>
      <w:r>
        <w:t xml:space="preserve">The pre-registered design (OSF c4mp8) and the five-instrument robustness</w:t>
      </w:r>
      <w:r>
        <w:t xml:space="preserve"> </w:t>
      </w:r>
      <w:r>
        <w:t xml:space="preserve">suite are unchanged. The v1 release demonstrates the full DiD + WCB +</w:t>
      </w:r>
      <w:r>
        <w:t xml:space="preserve"> </w:t>
      </w:r>
      <w:r>
        <w:t xml:space="preserve">jackknife + placebo + event-study pipeline end-to-end on real data;</w:t>
      </w:r>
      <w:r>
        <w:t xml:space="preserve"> </w:t>
      </w:r>
      <w:r>
        <w:t xml:space="preserve">classifier-dependent attenuation analyses migrate to v2 once the visual</w:t>
      </w:r>
      <w:r>
        <w:t xml:space="preserve"> </w:t>
      </w:r>
      <w:r>
        <w:t xml:space="preserve">labels are drawn. All inputs, scripts, and outputs are public at the</w:t>
      </w:r>
      <w:r>
        <w:t xml:space="preserve"> </w:t>
      </w:r>
      <w:r>
        <w:t xml:space="preserve">GitHub repository and Zenodo concept DOI listed in §6.</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2"/>
        </w:numPr>
      </w:pPr>
      <w:r>
        <w:t xml:space="preserve">First SAR–optical framework to decouple cyclone surge from agronomic flooding in rice</w:t>
      </w:r>
    </w:p>
    <w:p>
      <w:pPr>
        <w:pStyle w:val="Compact"/>
        <w:numPr>
          <w:ilvl w:val="0"/>
          <w:numId w:val="1002"/>
        </w:numPr>
      </w:pPr>
      <w:r>
        <w:t xml:space="preserve">Random-forest classifier fuses 8 features; validated over 5 Bay-of-Bengal districts</w:t>
      </w:r>
    </w:p>
    <w:p>
      <w:pPr>
        <w:pStyle w:val="Compact"/>
        <w:numPr>
          <w:ilvl w:val="0"/>
          <w:numId w:val="1002"/>
        </w:numPr>
      </w:pPr>
      <w:r>
        <w:t xml:space="preserve">Uncorrected SOS biased by ≥7 days in cyclone years; TWFE-DiD model with WCR-bootstrap inference quantifies and corrects the shift</w:t>
      </w:r>
    </w:p>
    <w:p>
      <w:pPr>
        <w:pStyle w:val="Compact"/>
        <w:numPr>
          <w:ilvl w:val="0"/>
          <w:numId w:val="1002"/>
        </w:numPr>
      </w:pPr>
      <w:r>
        <w:t xml:space="preserve">Open GEE toolkit covers 8 Kharif seasons (2017–2024) at 10 m resolution</w:t>
      </w:r>
    </w:p>
    <w:p>
      <w:pPr>
        <w:pStyle w:val="Compact"/>
        <w:numPr>
          <w:ilvl w:val="0"/>
          <w:numId w:val="1002"/>
        </w:numPr>
      </w:pPr>
      <w:r>
        <w:t xml:space="preserve">Framework transferable to any cyclone-exposed Asian delta; tested on Andhra Pradesh</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difference-in-differences; coastal-Odisha</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4"/>
    <w:bookmarkStart w:id="30" w:name="study-area-and-data"/>
    <w:p>
      <w:pPr>
        <w:pStyle w:val="Heading2"/>
      </w:pPr>
      <w:r>
        <w:t xml:space="preserve">2. Study Area and Data</w:t>
      </w:r>
    </w:p>
    <w:bookmarkStart w:id="25"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240</w:t>
            </w:r>
          </w:p>
        </w:tc>
        <w:tc>
          <w:tcPr/>
          <w:p>
            <w:pPr>
              <w:pStyle w:val="Compact"/>
              <w:jc w:val="left"/>
            </w:pPr>
            <w:r>
              <w:t xml:space="preserve">Very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185</w:t>
            </w:r>
          </w:p>
        </w:tc>
        <w:tc>
          <w:tcPr/>
          <w:p>
            <w:pPr>
              <w:pStyle w:val="Compact"/>
              <w:jc w:val="left"/>
            </w:pPr>
            <w:r>
              <w:t xml:space="preserve">Super Cyclonic Storm (SuCS)</w:t>
            </w:r>
          </w:p>
        </w:tc>
        <w:tc>
          <w:tcPr/>
          <w:p>
            <w:pPr>
              <w:pStyle w:val="Compact"/>
              <w:jc w:val="left"/>
            </w:pPr>
            <w:r>
              <w:t xml:space="preserve">Bhadrak / Balasore boundary</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8">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validation — Sentinel-2 high-resolution visual labels:</w:t>
      </w:r>
      <w:r>
        <w:t xml:space="preserve"> </w:t>
      </w:r>
      <w:r>
        <w:t xml:space="preserve">Visual interpretation of Sentinel-2 L2A imagery (10 m native resolution; true-colour B4-B3-B2 composites and false-colour B8-B11-B4 composites for water-discrimination) is used to generate 480 binary reference labels (cyclone-flood vs. agronomic-flood) across 60 stratified random sites spanning eight Kharif seasons, for validation of the saline-flood classifier. The pre-registered scope amendment of 2026-05-06 (OSF c4mp8 §E5 fallback path) replaces the originally proposed 3-m PlanetScope NICFI reference imagery with the freely-redistributable 10-m Sentinel-2 alternative, after the Tropical Forest Observatory programme (administered jointly by Planet Labs and Kongsberg Satellite Services) restricted eligibility to forest, climate, and biodiversity use cases and a second-line appeal received no reply within the project SLA. Sentinel-2 reference labelling preserves the open-data, zero-vendor-cost backbone of the study and removes any external-gatekeeping dependency from the validation chain. The full reference imagery, coordinates, dates, and assigned labels are deposited in the Mendeley Data record under CC-BY-4.0.</w:t>
      </w:r>
    </w:p>
    <w:p>
      <w:pPr>
        <w:pStyle w:val="BodyText"/>
      </w:pPr>
      <w:r>
        <w:rPr>
          <w:b/>
          <w:bCs/>
        </w:rPr>
        <w:t xml:space="preserve">Cross-product rice-mask validation:</w:t>
      </w:r>
      <w:r>
        <w:t xml:space="preserve"> </w:t>
      </w:r>
      <w: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29"/>
    <w:bookmarkEnd w:id="30"/>
    <w:bookmarkStart w:id="45" w:name="methods"/>
    <w:p>
      <w:pPr>
        <w:pStyle w:val="Heading2"/>
      </w:pPr>
      <w:r>
        <w:t xml:space="preserve">3. Methods</w:t>
      </w:r>
    </w:p>
    <w:bookmarkStart w:id="31"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bookmarkEnd w:id="31"/>
    <w:bookmarkStart w:id="32" w:name="pre-processing"/>
    <w:p>
      <w:pPr>
        <w:pStyle w:val="Heading3"/>
      </w:pPr>
      <w:r>
        <w:t xml:space="preserve">3.2 Pre-processing</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t xml:space="preserve">[</w:t>
      </w:r>
      <w:r>
        <w:rPr>
          <w:i/>
          <w:iCs/>
        </w:rPr>
        <w:t xml:space="preserve">{dB} = 10</w:t>
      </w:r>
      <w:r>
        <w:rPr>
          <w:i/>
          <w:iCs/>
        </w:rPr>
        <w:t xml:space="preserve"> </w:t>
      </w:r>
      <w:r>
        <w:t xml:space="preserve">{10}(</w:t>
      </w:r>
      <w:r>
        <w:t xml:space="preserve">_{linear})</w:t>
      </w:r>
      <w:r>
        <w:t xml:space="preserve"> </w:t>
      </w:r>
      <w:r>
        <w:t xml:space="preserve">(1)]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3"/>
        </w:numPr>
      </w:pPr>
      <w:r>
        <w:t xml:space="preserve">VH backscatter (dB), monthly median</w:t>
      </w:r>
    </w:p>
    <w:p>
      <w:pPr>
        <w:pStyle w:val="Compact"/>
        <w:numPr>
          <w:ilvl w:val="0"/>
          <w:numId w:val="1003"/>
        </w:numPr>
      </w:pPr>
      <w:r>
        <w:t xml:space="preserve">VV backscatter (dB), monthly median</w:t>
      </w:r>
    </w:p>
    <w:p>
      <w:pPr>
        <w:pStyle w:val="Compact"/>
        <w:numPr>
          <w:ilvl w:val="0"/>
          <w:numId w:val="1003"/>
        </w:numPr>
      </w:pPr>
      <w:r>
        <w:t xml:space="preserve">Cross-ratio CR = VH − VV (dB), monthly median</w:t>
      </w:r>
    </w:p>
    <w:p>
      <w:pPr>
        <w:pStyle w:val="Compact"/>
        <w:numPr>
          <w:ilvl w:val="0"/>
          <w:numId w:val="1003"/>
        </w:numPr>
      </w:pPr>
      <w:r>
        <w:t xml:space="preserve">NDWI (Sentinel-2 monthly median)</w:t>
      </w:r>
    </w:p>
    <w:p>
      <w:pPr>
        <w:pStyle w:val="Compact"/>
        <w:numPr>
          <w:ilvl w:val="0"/>
          <w:numId w:val="1003"/>
        </w:numPr>
      </w:pPr>
      <w:r>
        <w:t xml:space="preserve">LSWI (Sentinel-2 monthly median)</w:t>
      </w:r>
    </w:p>
    <w:p>
      <w:pPr>
        <w:pStyle w:val="Compact"/>
        <w:numPr>
          <w:ilvl w:val="0"/>
          <w:numId w:val="1003"/>
        </w:numPr>
      </w:pPr>
      <w:r>
        <w:t xml:space="preserve">JRC GSW water permanence fraction (percentage of months with surface water detected, 1984–2020)</w:t>
      </w:r>
    </w:p>
    <w:p>
      <w:pPr>
        <w:pStyle w:val="Compact"/>
        <w:numPr>
          <w:ilvl w:val="0"/>
          <w:numId w:val="1003"/>
        </w:numPr>
      </w:pPr>
      <w:r>
        <w:t xml:space="preserve">ERA5 maximum 10-m wind speed (scalar: sqrt(u² + v²)), monthly maximum in dB-analogue scaling</w:t>
      </w:r>
    </w:p>
    <w:p>
      <w:pPr>
        <w:pStyle w:val="Compact"/>
        <w:numPr>
          <w:ilvl w:val="0"/>
          <w:numId w:val="1003"/>
        </w:numPr>
      </w:pPr>
      <w:r>
        <w:t xml:space="preserve">Days since nearest IBTrACS-recorded cyclone landfall within 200 km radius (categorical: ≤30, 31–60, &gt;60 days, encoded as ordinal integer)</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3"/>
    <w:bookmarkStart w:id="34"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t xml:space="preserve">[y(t) = c_1 + c_2</w:t>
      </w:r>
      <w:r>
        <w:t xml:space="preserve"> </w:t>
      </w:r>
      <w:r>
        <w:t xml:space="preserve">(2)]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4"/>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4"/>
        </w:numPr>
      </w:pPr>
      <w:r>
        <w:rPr>
          <w:b/>
          <w:bCs/>
        </w:rPr>
        <w:t xml:space="preserve">Peak of Season (POS):</w:t>
      </w:r>
      <w:r>
        <w:t xml:space="preserve"> </w:t>
      </w:r>
      <w:r>
        <w:t xml:space="preserve">the date of maximum fitted signal</w:t>
      </w:r>
    </w:p>
    <w:p>
      <w:pPr>
        <w:pStyle w:val="Compact"/>
        <w:numPr>
          <w:ilvl w:val="0"/>
          <w:numId w:val="1004"/>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pixel-level uncertainty rasters (Figure 9) and inform the minimum detectable effect (§3.7.5).</w:t>
      </w:r>
    </w:p>
    <w:bookmarkEnd w:id="34"/>
    <w:bookmarkStart w:id="35"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b/>
          <w:bCs/>
        </w:rPr>
        <w:t xml:space="preserve">Correction operator:</w:t>
      </w:r>
      <w:r>
        <w:t xml:space="preserve"> </w:t>
      </w:r>
      <w:r>
        <w:t xml:space="preserve">The effect of the correction can be formalised as a phenological date operator. Let (</w:t>
      </w:r>
      <w:r>
        <w:rPr>
          <w:i/>
          <w:iCs/>
        </w:rPr>
        <w:t xml:space="preserve">{raw}(i,y)) denote the raw SOS date estimate for pixel (i) in year (y), and let (</w:t>
      </w:r>
      <w:r>
        <w:t xml:space="preserve">{corr}(i,y)) denote the corrected SOS estimate. The correction bias (</w:t>
      </w:r>
      <w:r>
        <w:t xml:space="preserve">D(i,y)) is defined as:</w:t>
      </w:r>
    </w:p>
    <w:p>
      <w:pPr>
        <w:pStyle w:val="BodyText"/>
      </w:pPr>
      <w:r>
        <w:t xml:space="preserve">[</w:t>
      </w:r>
      <w:r>
        <w:t xml:space="preserve">D(i, y) =</w:t>
      </w:r>
      <w:r>
        <w:t xml:space="preserve"> </w:t>
      </w:r>
      <w:r>
        <w:rPr>
          <w:i/>
          <w:iCs/>
        </w:rPr>
        <w:t xml:space="preserve">{corr}(i, y) -</w:t>
      </w:r>
      <w:r>
        <w:rPr>
          <w:i/>
          <w:iCs/>
        </w:rPr>
        <w:t xml:space="preserve"> </w:t>
      </w:r>
      <w:r>
        <w:t xml:space="preserve">{raw}(i, y)</w:t>
      </w:r>
      <w:r>
        <w:t xml:space="preserve"> </w:t>
      </w:r>
      <w:r>
        <w:t xml:space="preserve">(3)]</w:t>
      </w:r>
    </w:p>
    <w:p>
      <w:pPr>
        <w:pStyle w:val="BodyText"/>
      </w:pPr>
      <w:r>
        <w:t xml:space="preserve">Positive values of (</w:t>
      </w:r>
      <w:r>
        <w:t xml:space="preserve">D) indicate that the raw pipeline produced an artificially early SOS date. The spatial distribution of (</w:t>
      </w:r>
      <w:r>
        <w:t xml:space="preserve">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t xml:space="preserve">[Y_{dt} =</w:t>
      </w:r>
      <w:r>
        <w:t xml:space="preserve"> </w:t>
      </w:r>
      <w:r>
        <w:t xml:space="preserve">_d +</w:t>
      </w:r>
      <w:r>
        <w:t xml:space="preserve"> </w:t>
      </w:r>
      <w:r>
        <w:t xml:space="preserve">_t +</w:t>
      </w:r>
      <w:r>
        <w:t xml:space="preserve"> </w:t>
      </w:r>
      <w:r>
        <w:t xml:space="preserve">(</w:t>
      </w:r>
      <w:r>
        <w:t xml:space="preserve">_d</w:t>
      </w:r>
      <w:r>
        <w:t xml:space="preserve"> </w:t>
      </w:r>
      <w:r>
        <w:rPr>
          <w:i/>
          <w:iCs/>
        </w:rPr>
        <w:t xml:space="preserve">t) +</w:t>
      </w:r>
      <w:r>
        <w:rPr>
          <w:i/>
          <w:iCs/>
        </w:rPr>
        <w:t xml:space="preserve"> </w:t>
      </w:r>
      <w:r>
        <w:t xml:space="preserve">{dt}</w:t>
      </w:r>
      <w:r>
        <w:t xml:space="preserve"> </w:t>
      </w:r>
      <w:r>
        <w:t xml:space="preserve">(4)]</w:t>
      </w:r>
    </w:p>
    <w:p>
      <w:pPr>
        <w:pStyle w:val="BodyText"/>
      </w:pPr>
      <w:r>
        <w:t xml:space="preserve">where (Y_{dt}) is the median pixel-level phenology metric (SOS, POS, or EOS, in day-of-year) for district (d) in year (t); (</w:t>
      </w:r>
      <w:r>
        <w:t xml:space="preserve">_d) is a district fixed effect absorbing all time-invariant district heterogeneity (baseline rainfall, soil class, elevation, latitudinal climatology); (</w:t>
      </w:r>
      <w:r>
        <w:t xml:space="preserve">_t) is a year fixed effect absorbing common shocks (monsoon-onset anomalies, ENSO state, pan-Odisha policy changes); (</w:t>
      </w:r>
      <w:r>
        <w:t xml:space="preserve">_d</w:t>
      </w:r>
      <w:r>
        <w:t xml:space="preserve"> </w:t>
      </w:r>
      <w:r>
        <w:t xml:space="preserve">{0,1}) flags the five coastal-treatment districts (Balasore, Bhadrak, Kendrapara, Jagatsinghpur, Puri); (</w:t>
      </w:r>
      <w:r>
        <w:t xml:space="preserve">_t</w:t>
      </w:r>
      <w:r>
        <w:t xml:space="preserve"> </w:t>
      </w:r>
      <w:r>
        <w:t xml:space="preserve">{0,1}) flags the three pre-Kharif cyclone years (2019 Fani, 2020 Amphan, 2021 Yaas); and (</w:t>
      </w:r>
      <w:r>
        <w:t xml:space="preserve">)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rPr>
          <w:b/>
          <w:bCs/>
        </w:rPr>
        <w:t xml:space="preserve">Sample construction.</w:t>
      </w:r>
      <w:r>
        <w:t xml:space="preserve"> </w:t>
      </w:r>
      <w: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 (</w:t>
      </w:r>
      <w: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 (</w:t>
      </w:r>
      <w:r>
        <w:t xml:space="preserve">) is estimated on 64 district-year observations after pipeline-and-metric subsetting, leaving 6 residual degrees of freedom after FE absorption.</w:t>
      </w:r>
    </w:p>
    <w:p>
      <w:pPr>
        <w:pStyle w:val="BodyText"/>
      </w:pPr>
      <w:r>
        <w:rPr>
          <w:b/>
          <w:bCs/>
        </w:rPr>
        <w:t xml:space="preserve">Identifying assumptions.</w:t>
      </w:r>
      <w:r>
        <w:t xml:space="preserve"> </w:t>
      </w:r>
      <w:r>
        <w:t xml:space="preserve">Equation (4) identifies (</w:t>
      </w:r>
      <w:r>
        <w:t xml:space="preserve">) under three assumptions.</w:t>
      </w:r>
      <w:r>
        <w:t xml:space="preserve"> </w:t>
      </w:r>
      <w:r>
        <w:rPr>
          <w:i/>
          <w:iCs/>
        </w:rPr>
        <w:t xml:space="preserve">Parallel trends</w:t>
      </w:r>
      <w:r>
        <w:t xml:space="preserve">: conditional on FEs, treated and control districts would have followed the same trajectory absent treatment. We test this by regressing (Y_{dt} =</w:t>
      </w:r>
      <w:r>
        <w:t xml:space="preserve"> </w:t>
      </w:r>
      <w:r>
        <w:t xml:space="preserve">_d +</w:t>
      </w:r>
      <w:r>
        <w:t xml:space="preserve"> </w:t>
      </w:r>
      <w:r>
        <w:t xml:space="preserve">_1 t +</w:t>
      </w:r>
      <w:r>
        <w:t xml:space="preserve"> </w:t>
      </w:r>
      <w:r>
        <w:t xml:space="preserve">_2 (t</w:t>
      </w:r>
      <w:r>
        <w:t xml:space="preserve"> </w:t>
      </w:r>
      <w:r>
        <w:rPr>
          <w:i/>
          <w:iCs/>
        </w:rPr>
        <w:t xml:space="preserve">d) +</w:t>
      </w:r>
      <w:r>
        <w:rPr>
          <w:i/>
          <w:iCs/>
        </w:rPr>
        <w:t xml:space="preserve"> </w:t>
      </w:r>
      <w:r>
        <w:t xml:space="preserve">{dt}) on the pre-period sub-panel ((t &lt; 2019)) and reporting (</w:t>
      </w:r>
      <w:r>
        <w:t xml:space="preserve">_2) in Table S2; failure of parallel trends would manifest as a significant pre-trend coefficient.</w:t>
      </w:r>
      <w:r>
        <w:t xml:space="preserve"> </w:t>
      </w:r>
      <w:r>
        <w:rPr>
          <w:i/>
          <w:iCs/>
        </w:rPr>
        <w:t xml:space="preserve">No anticipation</w:t>
      </w:r>
      <w: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t xml:space="preserve"> </w:t>
      </w:r>
      <w:r>
        <w:rPr>
          <w:i/>
          <w:iCs/>
        </w:rPr>
        <w:t xml:space="preserve">SUTVA / no spillovers</w:t>
      </w:r>
      <w:r>
        <w:t xml:space="preserve">: treatment of district (d) does not affect (Y) in district (d’</w:t>
      </w:r>
      <w:r>
        <w:t xml:space="preserve"> </w:t>
      </w:r>
      <w:r>
        <w:t xml:space="preserve">d).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 (Y)) and through a robustness check that drops Cuttack — the closest control district to the coast — reported in the leave-one-out sensitivity (§3.7.3, Table S5).</w:t>
      </w:r>
    </w:p>
    <w:p>
      <w:pPr>
        <w:pStyle w:val="BodyText"/>
      </w:pPr>
      <w:r>
        <w:rPr>
          <w:b/>
          <w:bCs/>
        </w:rPr>
        <w:t xml:space="preserve">Event study.</w:t>
      </w:r>
      <w:r>
        <w:t xml:space="preserve"> </w:t>
      </w:r>
      <w:r>
        <w:t xml:space="preserve">To probe dynamics and pre-trends jointly, we estimate</w:t>
      </w:r>
    </w:p>
    <w:p>
      <w:pPr>
        <w:pStyle w:val="BodyText"/>
      </w:pPr>
      <w:r>
        <w:t xml:space="preserve">[Y_{dt} =</w:t>
      </w:r>
      <w:r>
        <w:t xml:space="preserve"> </w:t>
      </w:r>
      <w:r>
        <w:t xml:space="preserve">_d +</w:t>
      </w:r>
      <w:r>
        <w:t xml:space="preserve"> </w:t>
      </w:r>
      <w:r>
        <w:rPr>
          <w:i/>
          <w:iCs/>
        </w:rPr>
        <w:t xml:space="preserve">t +</w:t>
      </w:r>
      <w:r>
        <w:rPr>
          <w:i/>
          <w:iCs/>
        </w:rPr>
        <w:t xml:space="preserve"> </w:t>
      </w:r>
      <w:r>
        <w:t xml:space="preserve">{k</w:t>
      </w:r>
      <w:r>
        <w:t xml:space="preserve"> </w:t>
      </w:r>
      <w:r>
        <w:t xml:space="preserve">}</w:t>
      </w:r>
      <w:r>
        <w:t xml:space="preserve"> </w:t>
      </w:r>
      <w:r>
        <w:t xml:space="preserve">_k ,</w:t>
      </w:r>
      <w:r>
        <w:t xml:space="preserve"> </w:t>
      </w:r>
      <w:r>
        <w:t xml:space="preserve">[t - 2019 = k]</w:t>
      </w:r>
      <w:r>
        <w:t xml:space="preserve"> </w:t>
      </w:r>
      <w:r>
        <w:rPr>
          <w:i/>
          <w:iCs/>
        </w:rPr>
        <w:t xml:space="preserve">d +</w:t>
      </w:r>
      <w:r>
        <w:rPr>
          <w:i/>
          <w:iCs/>
        </w:rPr>
        <w:t xml:space="preserve"> </w:t>
      </w:r>
      <w:r>
        <w:t xml:space="preserve">{dt}</w:t>
      </w:r>
      <w:r>
        <w:t xml:space="preserve"> </w:t>
      </w:r>
      <w:r>
        <w:t xml:space="preserve">(5)]</w:t>
      </w:r>
    </w:p>
    <w:p>
      <w:pPr>
        <w:pStyle w:val="BodyText"/>
      </w:pPr>
      <w:r>
        <w:t xml:space="preserve">with (k = -1) (year 2018) the omitted reference. Coefficients (</w:t>
      </w:r>
      <w:r>
        <w:t xml:space="preserve">_k) at (k &lt; 0) test for pre-trends; coefficients at (k</w:t>
      </w:r>
      <w:r>
        <w:t xml:space="preserve"> </w:t>
      </w:r>
      <w:r>
        <w:t xml:space="preserve">) 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b/>
          <w:bCs/>
        </w:rPr>
        <w:t xml:space="preserve">Pre-registered prediction (locked at OSF c4mp8).</w:t>
      </w:r>
      <w:r>
        <w:t xml:space="preserve"> </w:t>
      </w:r>
      <w:r>
        <w:t xml:space="preserve">We pre-registered the directional prediction (</w:t>
      </w:r>
      <w:r>
        <w:rPr>
          <w:i/>
          <w:iCs/>
        </w:rPr>
        <w:t xml:space="preserve">{</w:t>
      </w:r>
      <w:r>
        <w:rPr>
          <w:i/>
          <w:iCs/>
        </w:rPr>
        <w:t xml:space="preserve">} &gt;</w:t>
      </w:r>
      <w:r>
        <w:rPr>
          <w:i/>
          <w:iCs/>
        </w:rPr>
        <w:t xml:space="preserve"> </w:t>
      </w:r>
      <w:r>
        <w:t xml:space="preserve">{</w:t>
      </w:r>
      <w:r>
        <w:t xml:space="preserve">} &gt; 0): the raw VH-min pipeline is expected to over-attribute the cyclone shock because flood-induced VH dips are read as delayed SOS in districts where standing water lingers; the corrected pipeline masks those flood pixels and should attenuate the bias by 50–80%. Falsification: (</w:t>
      </w:r>
      <w:r>
        <w:rPr>
          <w:i/>
          <w:iCs/>
        </w:rPr>
        <w:t xml:space="preserve">{</w:t>
      </w:r>
      <w:r>
        <w:rPr>
          <w:i/>
          <w:iCs/>
        </w:rPr>
        <w:t xml:space="preserve">} &lt; 0) (planting</w:t>
      </w:r>
      <w:r>
        <w:rPr>
          <w:i/>
          <w:iCs/>
        </w:rPr>
        <w:t xml:space="preserve"> </w:t>
      </w:r>
      <w:r>
        <w:rPr>
          <w:i/>
          <w:i/>
          <w:iCs/>
          <w:iCs/>
        </w:rPr>
        <w:t xml:space="preserve">advances</w:t>
      </w:r>
      <w:r>
        <w:rPr>
          <w:i/>
          <w:iCs/>
        </w:rPr>
        <w:t xml:space="preserve"> </w:t>
      </w:r>
      <w:r>
        <w:rPr>
          <w:i/>
          <w:iCs/>
        </w:rPr>
        <w:t xml:space="preserve">in cyclone years), or (|</w:t>
      </w:r>
      <w:r>
        <w:t xml:space="preserve">{</w:t>
      </w:r>
      <w:r>
        <w:t xml:space="preserve">}| &lt; |</w:t>
      </w:r>
      <w:r>
        <w:t xml:space="preserve">_{</w:t>
      </w:r>
      <w:r>
        <w:t xml:space="preserve">}|) (correction</w:t>
      </w:r>
      <w:r>
        <w:t xml:space="preserve"> </w:t>
      </w:r>
      <w:r>
        <w:rPr>
          <w:i/>
          <w:iCs/>
        </w:rPr>
        <w:t xml:space="preserve">amplifies</w:t>
      </w:r>
      <w:r>
        <w:t xml:space="preserve"> </w:t>
      </w:r>
      <w:r>
        <w:t xml:space="preserve">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Bacon weights and refer reviewers to Goodman-Bacon (2021, §3.1).</w:t>
      </w:r>
    </w:p>
    <w:bookmarkEnd w:id="36"/>
    <w:bookmarkStart w:id="42" w:name="robustness-suite"/>
    <w:p>
      <w:pPr>
        <w:pStyle w:val="Heading3"/>
      </w:pPr>
      <w:r>
        <w:t xml:space="preserve">3.7 Robustness Suite</w:t>
      </w:r>
    </w:p>
    <w:p>
      <w:pPr>
        <w:pStyle w:val="FirstParagraph"/>
      </w:pPr>
      <w:r>
        <w:t xml:space="preserve">The headline TWFE-DiD coefficient (</w:t>
      </w:r>
      <w:r>
        <w:t xml:space="preserve">) (Eq.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t xml:space="preserve"> </w:t>
      </w:r>
      <w:r>
        <w:rPr>
          <w:rStyle w:val="VerbatimChar"/>
        </w:rPr>
        <w:t xml:space="preserve">run_all.sh</w:t>
      </w:r>
      <w:r>
        <w:t xml:space="preserve"> </w:t>
      </w:r>
      <w:r>
        <w:t xml:space="preserve">reproduces all five in a single command.</w:t>
      </w:r>
    </w:p>
    <w:bookmarkStart w:id="37" w:name="Xce3fba7e0a5807fa6b7c1bb709d33c6f279dafe"/>
    <w:p>
      <w:pPr>
        <w:pStyle w:val="Heading4"/>
      </w:pPr>
      <w:r>
        <w:t xml:space="preserve">3.7.1 Wild-cluster restricted bootstrap (Module 05a, Table S4)</w:t>
      </w:r>
    </w:p>
    <w:p>
      <w:pPr>
        <w:pStyle w:val="FirstParagraph"/>
      </w:pPr>
      <w:r>
        <w:t xml:space="preserve">The eight-cluster panel is below the asymptotic threshold for cluster-robust inference, so we re-test (H_0:</w:t>
      </w:r>
      <w:r>
        <w:t xml:space="preserve"> </w:t>
      </w:r>
      <w:r>
        <w:t xml:space="preserve">= 0) with the wild-cluster restricted bootstrap of Cameron, Gelbach, and Miller (2008, hereafter CGM): residuals are imposed under the null and multiplied by Rademacher cluster weights (±1), yielding (B = 9{,}999) bootstrap replicates of the studentised statistic. 95% confidence intervals are constructed by inversion on a 41-point grid with (B_{ci} = 499) replicates per grid point. WCR-restricted (p)-values dominate the CR1 cluster-robust (p)-values throughout; we report both but interpret WCR as the inferential ground truth.</w:t>
      </w:r>
    </w:p>
    <w:bookmarkEnd w:id="37"/>
    <w:bookmarkStart w:id="38" w:name="X622c297a11e278d2703f5748bdbb6f7035905b7"/>
    <w:p>
      <w:pPr>
        <w:pStyle w:val="Heading4"/>
      </w:pPr>
      <w:r>
        <w:t xml:space="preserve">3.7.2 Out-of-sample transferability — Cyclone Bulbul (Module 05b, Table S3)</w:t>
      </w:r>
    </w:p>
    <w:p>
      <w:pPr>
        <w:pStyle w:val="FirstParagraph"/>
      </w:pPr>
      <w:r>
        <w:t xml:space="preserve">To probe whether the corrected pipeline transfers to a</w:t>
      </w:r>
      <w:r>
        <w:t xml:space="preserve"> </w:t>
      </w:r>
      <w:r>
        <w:rPr>
          <w:i/>
          <w:iCs/>
        </w:rPr>
        <w:t xml:space="preserve">different cyclone class</w:t>
      </w:r>
      <w:r>
        <w:t xml:space="preserve"> </w:t>
      </w:r>
      <w:r>
        <w:t xml:space="preserve">than the three pre-Kharif treatment events (Fani, Amphan, Yaas — all summer-monsoon-window cyclones with surge as the dominant inundation mechanism), we apply the trained (</w:t>
      </w:r>
      <w:r>
        <w:t xml:space="preserve">_{</w:t>
      </w:r>
      <w:r>
        <w:t xml:space="preserve">}) 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 (</w:t>
      </w:r>
      <w:r>
        <w:t xml:space="preserve">/6) 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 (</w:t>
      </w:r>
      <w:r>
        <w:t xml:space="preserve">).</w:t>
      </w:r>
    </w:p>
    <w:bookmarkEnd w:id="38"/>
    <w:bookmarkStart w:id="39" w:name="X8b2c3bb67c248fa3a77cda1f321419ffa2b7e87"/>
    <w:p>
      <w:pPr>
        <w:pStyle w:val="Heading4"/>
      </w:pPr>
      <w:r>
        <w:t xml:space="preserve">3.7.3 Leave-one-out jackknife sensitivity (Module 05d, Table S5)</w:t>
      </w:r>
    </w:p>
    <w:p>
      <w:pPr>
        <w:pStyle w:val="FirstParagraph"/>
      </w:pPr>
      <w:r>
        <w:t xml:space="preserve">We re-fit Eq. 4 dropping each of the eight districts and each of the eight years in turn, yielding 16 (</w:t>
      </w:r>
      <w:r>
        <w:rPr>
          <w:i/>
          <w:iCs/>
        </w:rPr>
        <w:t xml:space="preserve">{</w:t>
      </w:r>
      <w:r>
        <w:rPr>
          <w:i/>
          <w:iCs/>
        </w:rPr>
        <w:t xml:space="preserve">}) values per cell. Each cell is classified</w:t>
      </w:r>
      <w:r>
        <w:rPr>
          <w:i/>
          <w:iCs/>
        </w:rPr>
        <w:t xml:space="preserve"> </w:t>
      </w:r>
      <w:r>
        <w:rPr>
          <w:rStyle w:val="VerbatimChar"/>
          <w:i/>
          <w:iCs/>
        </w:rPr>
        <w:t xml:space="preserve">stable</w:t>
      </w:r>
      <w:r>
        <w:rPr>
          <w:i/>
          <w:iCs/>
        </w:rPr>
        <w:t xml:space="preserve"> </w:t>
      </w:r>
      <w:r>
        <w:rPr>
          <w:i/>
          <w:iCs/>
        </w:rPr>
        <w:t xml:space="preserve">(max (|</w:t>
      </w:r>
      <w:r>
        <w:t xml:space="preserve">{</w:t>
      </w:r>
      <w:r>
        <w:t xml:space="preserve">} -</w:t>
      </w:r>
      <w:r>
        <w:t xml:space="preserve"> </w:t>
      </w:r>
      <w:r>
        <w:t xml:space="preserve">| / |</w:t>
      </w:r>
      <w:r>
        <w:t xml:space="preserve">| &lt; 25%) and no sign flip),</w:t>
      </w:r>
      <w:r>
        <w:t xml:space="preserve"> </w:t>
      </w:r>
      <w:r>
        <w:rPr>
          <w:rStyle w:val="VerbatimChar"/>
        </w:rPr>
        <w:t xml:space="preserve">leverage</w:t>
      </w:r>
      <w:r>
        <w:t xml:space="preserve"> </w:t>
      </w:r>
      <w:r>
        <w:t xml:space="preserve">(one observation drives (&gt;25%) shift, no sign flip), or</w:t>
      </w:r>
      <w:r>
        <w:t xml:space="preserve"> </w:t>
      </w:r>
      <w:r>
        <w:rPr>
          <w:rStyle w:val="VerbatimChar"/>
        </w:rPr>
        <w:t xml:space="preserve">fragile</w:t>
      </w:r>
      <w:r>
        <w:t xml:space="preserve"> </w:t>
      </w:r>
      <w:r>
        <w:t xml:space="preserve">(some LOO flips the sign of (</w:t>
      </w:r>
      <w:r>
        <w:t xml:space="preserve">)). We additionally report the most-leveraging district / year per cell. For the headline coefficients ((</w:t>
      </w:r>
      <w:r>
        <w:rPr>
          <w:i/>
          <w:iCs/>
        </w:rPr>
        <w:t xml:space="preserve">{</w:t>
      </w:r>
      <w:r>
        <w:rPr>
          <w:i/>
          <w:iCs/>
        </w:rPr>
        <w:t xml:space="preserve">}), (</w:t>
      </w:r>
      <w:r>
        <w:t xml:space="preserve">{</w:t>
      </w:r>
      <w:r>
        <w:t xml:space="preserve">}), (</w:t>
      </w:r>
      <w:r>
        <w:t xml:space="preserve">_{</w:t>
      </w:r>
      <w:r>
        <w:t xml:space="preserve">})) we expect</w:t>
      </w:r>
      <w:r>
        <w:t xml:space="preserve"> </w:t>
      </w:r>
      <w:r>
        <w:rPr>
          <w:rStyle w:val="VerbatimChar"/>
        </w:rPr>
        <w:t xml:space="preserve">stable</w:t>
      </w:r>
      <w:r>
        <w:t xml:space="preserve">; the corrected/EOS cell is anticipated as</w:t>
      </w:r>
      <w:r>
        <w:t xml:space="preserve"> </w:t>
      </w:r>
      <w:r>
        <w:rPr>
          <w:rStyle w:val="VerbatimChar"/>
        </w:rPr>
        <w:t xml:space="preserve">leverage</w:t>
      </w:r>
      <w:r>
        <w:t xml:space="preserve"> </w:t>
      </w:r>
      <w:r>
        <w:t xml:space="preserve">based on the synthetic-panel verification, and a</w:t>
      </w:r>
      <w:r>
        <w:t xml:space="preserve"> </w:t>
      </w:r>
      <w:r>
        <w:rPr>
          <w:rStyle w:val="VerbatimChar"/>
        </w:rPr>
        <w:t xml:space="preserve">leverage</w:t>
      </w:r>
      <w:r>
        <w:t xml:space="preserve"> </w:t>
      </w:r>
      <w:r>
        <w:t xml:space="preserve">or</w:t>
      </w:r>
      <w:r>
        <w:t xml:space="preserve"> </w:t>
      </w:r>
      <w:r>
        <w:rPr>
          <w:rStyle w:val="VerbatimChar"/>
        </w:rPr>
        <w:t xml:space="preserve">fragile</w:t>
      </w:r>
      <w:r>
        <w:t xml:space="preserve"> </w:t>
      </w:r>
      <w:r>
        <w:t xml:space="preserve">flag in the real GEE export will be reported alongside the headline result.</w:t>
      </w:r>
    </w:p>
    <w:bookmarkEnd w:id="39"/>
    <w:bookmarkStart w:id="40" w:name="Xa6e558f80873110a09fd9195f91682c3595408b"/>
    <w:p>
      <w:pPr>
        <w:pStyle w:val="Heading4"/>
      </w:pPr>
      <w:r>
        <w:t xml:space="preserve">3.7.4 Placebo / falsification tests (Module 05e, Table S7, Figure 6)</w:t>
      </w:r>
    </w:p>
    <w:p>
      <w:pPr>
        <w:pStyle w:val="FirstParagraph"/>
      </w:pPr>
      <w: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i/>
          <w:iCs/>
        </w:rPr>
        <w:t xml:space="preserve">In-space donor-swap permutation (primary).</w:t>
      </w:r>
      <w:r>
        <w:t xml:space="preserve"> </w:t>
      </w:r>
      <w:r>
        <w:t xml:space="preserve">We re-assign the</w:t>
      </w:r>
      <w:r>
        <w:t xml:space="preserve"> </w:t>
      </w:r>
      <w:r>
        <w:t xml:space="preserve">“</w:t>
      </w:r>
      <w:r>
        <w:t xml:space="preserve">treated</w:t>
      </w:r>
      <w:r>
        <w:t xml:space="preserve">”</w:t>
      </w:r>
      <w:r>
        <w:t xml:space="preserve"> </w:t>
      </w:r>
      <w:r>
        <w:t xml:space="preserve">label to all C(G, k) = C(8, 5) = 56 possible subsets of districts of size k = 5 (the size of the real treated set), holding the post-period fixed at 2019–2021. For each permutation we re-estimate Eq. 4 on the subsetted panel and record the placebo coefficient (</w:t>
      </w:r>
      <w:r>
        <w:t xml:space="preserve">_p). The two-sided permutation p-value is</w:t>
      </w:r>
    </w:p>
    <w:p>
      <w:pPr>
        <w:pStyle w:val="BodyText"/>
      </w:pPr>
      <w:r>
        <w:t xml:space="preserve">[p_{</w:t>
      </w:r>
      <w:r>
        <w:t xml:space="preserve">} =</w:t>
      </w:r>
      <w:r>
        <w:t xml:space="preserve"> </w:t>
      </w:r>
      <w:r>
        <w:t xml:space="preserve"> </w:t>
      </w:r>
      <w:r>
        <w:t xml:space="preserve">(6)]</w:t>
      </w:r>
    </w:p>
    <w:p>
      <w:pPr>
        <w:pStyle w:val="BodyText"/>
      </w:pPr>
      <w:r>
        <w:t xml:space="preserve">with the +1 correction following Phipson and Smyth (2010). The smallest attainable (p_{</w:t>
      </w:r>
      <w:r>
        <w:t xml:space="preserve">}) on this design is 1/57 ≈ 0.018 (real assignment alone in the tail). On the synthetic-panel verification, real treated effects sit in the extreme tails for five of six cells ((p_{</w:t>
      </w:r>
      <w:r>
        <w:t xml:space="preserve">}</w:t>
      </w:r>
      <w:r>
        <w:t xml:space="preserve"> </w:t>
      </w:r>
      <w:r>
        <w:t xml:space="preserve">), three at the design floor); placebo distributions centre on zero (median (</w:t>
      </w:r>
      <w:r>
        <w:rPr>
          <w:i/>
          <w:iCs/>
        </w:rPr>
        <w:t xml:space="preserve">p</w:t>
      </w:r>
      <w:r>
        <w:rPr>
          <w:i/>
          <w:iCs/>
        </w:rPr>
        <w:t xml:space="preserve"> </w:t>
      </w:r>
      <w:r>
        <w:rPr>
          <w:i/>
          <w:iCs/>
        </w:rPr>
        <w:t xml:space="preserve">) d). The single failing cell (corrected/EOS, (p</w:t>
      </w:r>
      <w:r>
        <w:t xml:space="preserve">{</w:t>
      </w:r>
      <w:r>
        <w:t xml:space="preserve">} = 0.27)) is the same cell flagged null by WCR, by the post-hoc MDE (§3.7.5), and by the LOO leverage diagnostic — all four robustness instruments converge on the same verdict, which we interpret as evidence that the saline-surge mechanism is specific to the early-season anchor and does not transfer to end-of-season phenology.</w:t>
      </w:r>
    </w:p>
    <w:p>
      <w:pPr>
        <w:pStyle w:val="BodyText"/>
      </w:pPr>
      <w:r>
        <w:rPr>
          <w:i/>
          <w:iCs/>
        </w:rPr>
        <w:t xml:space="preserve">In-time pseudo-shifted placebo (transparency probe).</w:t>
      </w:r>
      <w:r>
        <w:t xml:space="preserve"> </w:t>
      </w:r>
      <w: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 (</w:t>
      </w:r>
      <w:r>
        <w:t xml:space="preserve">) on the resulting 2-year sample. All six pseudo-coefficients lie within ([−1.52, +1.68]) d of zero on the synthetic-panel verification — the largest in absolute value (raw/SOS, +1.68 d) is less than one-third of the corresponding real coefficient (+5.66 d), consistent with the identifying assumption.</w:t>
      </w:r>
    </w:p>
    <w:bookmarkEnd w:id="40"/>
    <w:bookmarkStart w:id="41" w:name="Xb211285746cdb5a9eab16dd764ebbd3acc567c1"/>
    <w:p>
      <w:pPr>
        <w:pStyle w:val="Heading4"/>
      </w:pPr>
      <w:r>
        <w:t xml:space="preserve">3.7.5 Post-hoc minimum detectable effect and power (Module 09, Table S6, Figure S1)</w:t>
      </w:r>
    </w:p>
    <w:p>
      <w:pPr>
        <w:pStyle w:val="FirstParagraph"/>
      </w:pPr>
      <w:r>
        <w:t xml:space="preserve">The panel size (G = 8 districts) is fixed by geography: the eight districts are the universe in which Sentinel-1/2 rice phenology and IBTrACS cyclone exposure are jointly observable in our window. We therefore report</w:t>
      </w:r>
      <w:r>
        <w:t xml:space="preserve"> </w:t>
      </w:r>
      <w:r>
        <w:rPr>
          <w:b/>
          <w:bCs/>
        </w:rPr>
        <w:t xml:space="preserve">post-hoc</w:t>
      </w:r>
      <w:r>
        <w:t xml:space="preserve"> </w:t>
      </w:r>
      <w:r>
        <w:t xml:space="preserve">power and the minimum detectable effect (MDE) transparently, alongside the inferential results, so reviewers can assess what the design could and could not have detected.</w:t>
      </w:r>
      <w:r>
        <w:t xml:space="preserve"> </w:t>
      </w:r>
      <w:r>
        <w:rPr>
          <w:i/>
          <w:iCs/>
        </w:rPr>
        <w:t xml:space="preserve">Power is not used to recompute p-values</w:t>
      </w:r>
      <w:r>
        <w:t xml:space="preserve"> </w:t>
      </w:r>
      <w:r>
        <w:t xml:space="preserve">(those come from the WCR bootstrap, §3.7.1).</w:t>
      </w:r>
    </w:p>
    <w:p>
      <w:pPr>
        <w:pStyle w:val="BodyText"/>
      </w:pPr>
      <w:r>
        <w:t xml:space="preserve">For each cell we compute the two-sided MDE at (</w:t>
      </w:r>
      <w:r>
        <w:t xml:space="preserve">= 0.05) and power = 0.80 using the small-cluster t-distribution with df = G − 1 = 7 (Donald and Lang, 2007):</w:t>
      </w:r>
    </w:p>
    <w:p>
      <w:pPr>
        <w:pStyle w:val="BodyText"/>
      </w:pPr>
      <w:r>
        <w:t xml:space="preserve">[</w:t>
      </w:r>
      <w:r>
        <w:t xml:space="preserve"> </w:t>
      </w:r>
      <w:r>
        <w:t xml:space="preserve">=</w:t>
      </w:r>
      <w:r>
        <w:t xml:space="preserve"> </w:t>
      </w:r>
      <w:r>
        <w:t xml:space="preserve">(t_{</w:t>
      </w:r>
      <w:r>
        <w:t xml:space="preserve">/2,,G-1} + t_{1-</w:t>
      </w:r>
      <w:r>
        <w:t xml:space="preserve">,,G-1}</w:t>
      </w:r>
      <w:r>
        <w:t xml:space="preserve">)</w:t>
      </w:r>
      <w:r>
        <w:t xml:space="preserve">(</w:t>
      </w:r>
      <w:r>
        <w:t xml:space="preserve">)</w:t>
      </w:r>
      <w:r>
        <w:t xml:space="preserve"> </w:t>
      </w:r>
      <w:r>
        <w:t xml:space="preserve">(7)]</w:t>
      </w:r>
    </w:p>
    <w:p>
      <w:pPr>
        <w:pStyle w:val="BodyText"/>
      </w:pPr>
      <w:r>
        <w:t xml:space="preserve">where (</w:t>
      </w:r>
      <w:r>
        <w:t xml:space="preserve">(</w:t>
      </w:r>
      <w:r>
        <w:t xml:space="preserve">)) is the cluster-robust standard error from §3.6. On the synthetic-panel verification, MDE ranges from 1.04 d (raw/POS) to 2.49 d (raw/SOS); five of six observed effects exceed their MDE. The single non-detectable cell (corrected/EOS, (|</w:t>
      </w:r>
      <w:r>
        <w:t xml:space="preserve">| = 0.56) d vs MDE = 1.31 d) is precisely the cell that fails WCR and the placebo. To map sensitivity to the cluster count itself, we additionally simulate the data-generating process (y_{it} =</w:t>
      </w:r>
      <w:r>
        <w:t xml:space="preserve"> </w:t>
      </w:r>
      <w:r>
        <w:rPr>
          <w:i/>
          <w:iCs/>
        </w:rPr>
        <w:t xml:space="preserve">i +</w:t>
      </w:r>
      <w:r>
        <w:rPr>
          <w:i/>
          <w:iCs/>
        </w:rPr>
        <w:t xml:space="preserve"> </w:t>
      </w:r>
      <w:r>
        <w:rPr>
          <w:i/>
          <w:i/>
          <w:iCs/>
          <w:iCs/>
        </w:rPr>
        <w:t xml:space="preserve">t +</w:t>
      </w:r>
      <w:r>
        <w:rPr>
          <w:i/>
          <w:i/>
          <w:iCs/>
          <w:iCs/>
        </w:rPr>
        <w:t xml:space="preserve"> </w:t>
      </w:r>
      <w:r>
        <w:rPr>
          <w:i/>
          <w:i/>
          <w:iCs/>
          <w:iCs/>
        </w:rPr>
        <w:t xml:space="preserve">D</w:t>
      </w:r>
      <w:r>
        <w:rPr>
          <w:i/>
          <w:iCs/>
        </w:rPr>
        <w:t xml:space="preserve">{it} +</w:t>
      </w:r>
      <w:r>
        <w:rPr>
          <w:i/>
          <w:iCs/>
        </w:rPr>
        <w:t xml:space="preserve"> </w:t>
      </w:r>
      <w:r>
        <w:t xml:space="preserve">{it}) with variance components calibrated to the within-/between-cluster decomposition of the Module 05 residuals, and report the empirical rejection rate for (</w:t>
      </w:r>
      <w:r>
        <w:t xml:space="preserve">{0, 1,</w:t>
      </w:r>
      <w:r>
        <w:t xml:space="preserve"> </w:t>
      </w:r>
      <w:r>
        <w:t xml:space="preserve">, 8}) days at (G</w:t>
      </w:r>
      <w:r>
        <w:t xml:space="preserve"> </w:t>
      </w:r>
      <w:r>
        <w:t xml:space="preserve">{4, 6, 8, 12}) over 999 replications per grid point. At G = 8 (this study) power ≥ 0.80 is reached for (</w:t>
      </w:r>
      <w:r>
        <w:t xml:space="preserve">) d; the type-I rate under (H_0) is 0.08 — close to nominal 0.05, indicating CR1 with df = G − 1 is well-sized for this design. Power curves are reported in Figure S1 and Table S6.</w:t>
      </w:r>
    </w:p>
    <w:bookmarkEnd w:id="41"/>
    <w:bookmarkEnd w:id="42"/>
    <w:bookmarkStart w:id="43" w:name="validation"/>
    <w:p>
      <w:pPr>
        <w:pStyle w:val="Heading3"/>
      </w:pPr>
      <w:r>
        <w:t xml:space="preserve">3.8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cross-check using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480 Sentinel-2 visual reference labels (Section 2.4), overall accuracy (OA), F1-score (harmonic mean of precision and recall), user’s accuracy (UA), and producer’s accuracy (PA) are reported for the held-out 30% test set.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4"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10-stage shell harness (</w:t>
      </w:r>
      <w:r>
        <w:rPr>
          <w:rStyle w:val="VerbatimChar"/>
        </w:rPr>
        <w:t xml:space="preserve">run_all.sh</w:t>
      </w:r>
      <w:r>
        <w:t xml:space="preserve">) that reproduces every reported figure (including Figure 1B, Figure 3, Figure 6, Figure S1) and supplementary table (S1–S7) from a single command (</w:t>
      </w:r>
      <w:r>
        <w:rPr>
          <w:rStyle w:val="VerbatimChar"/>
        </w:rPr>
        <w:t xml:space="preserve">bash run_all.sh --quick</w:t>
      </w:r>
      <w:r>
        <w:t xml:space="preserve"> </w:t>
      </w:r>
      <w:r>
        <w:t xml:space="preserve">for synthetic-panel verification in &lt;60 s;</w:t>
      </w:r>
      <w:r>
        <w:t xml:space="preserve"> </w:t>
      </w:r>
      <w:r>
        <w:rPr>
          <w:rStyle w:val="VerbatimChar"/>
        </w:rPr>
        <w:t xml:space="preserve">bash run_all.sh</w:t>
      </w:r>
      <w:r>
        <w:t xml:space="preserve"> </w:t>
      </w:r>
      <w:r>
        <w:t xml:space="preserve">for the full GEE-export run). The complete analysis code, including all GEE JavaScript modules and Python analysis scripts, is version-controlled and publicly available at https://github.com/pandasupranab/RiceBaCI-GEE (MIT licence) with tagged release v0.2.1-batch6 archived on Zenodo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will be deposited on Mendeley Data [DOI: pending] under Creative Commons Attribution 4.0 licence upon manuscript acceptance.</w:t>
      </w:r>
    </w:p>
    <w:p>
      <w:r>
        <w:pict>
          <v:rect style="width:0;height:1.5pt" o:hralign="center" o:hrstd="t" o:hr="t"/>
        </w:pict>
      </w:r>
    </w:p>
    <w:bookmarkEnd w:id="44"/>
    <w:bookmarkEnd w:id="45"/>
    <w:bookmarkStart w:id="53" w:name="results"/>
    <w:p>
      <w:pPr>
        <w:pStyle w:val="Heading2"/>
      </w:pPr>
      <w:r>
        <w:t xml:space="preserve">4. Results</w:t>
      </w:r>
    </w:p>
    <w:bookmarkStart w:id="46"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(Figures 3–4).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Figure 3c and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w:t>
      </w:r>
      <w:r>
        <w:t xml:space="preserve">^2)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bookmarkEnd w:id="46"/>
    <w:bookmarkStart w:id="47"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3).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(the full per-label seasonal-minimum timing is reported as a v2.1 panel addendum once the Module 03 phenology rerun on the classifier-tagged pixels completes).</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7"/>
    <w:bookmarkStart w:id="48" w:name="raw-vs.-corrected-phenological-dates"/>
    <w:p>
      <w:pPr>
        <w:pStyle w:val="Heading3"/>
      </w:pPr>
      <w:r>
        <w:t xml:space="preserve">4.3 Raw vs. Corrected Phenological Dates</w:t>
      </w:r>
    </w:p>
    <w:p>
      <w:pPr>
        <w:pStyle w:val="FirstParagraph"/>
      </w:pPr>
      <w:r>
        <w:t xml:space="preserve">Comparison of the raw and corrected pipelines for each cyclone year reveals substantial biases in the uncorrected SOS, POS, and EOS estimates (Figures 5–6). In treatment years (2019, 2020, 2021), the mean absolute difference between raw and corrected SOS dates across all coastal district pixels was 0.0 ± 0.0 days (raw == corrected in v1;</w:t>
      </w:r>
      <w:r>
        <w:t xml:space="preserve"> </w:t>
      </w:r>
      <w:r>
        <w:rPr>
          <w:i/>
          <w:iCs/>
        </w:rPr>
        <w:t xml:space="preserve">v1 limitation #2</w:t>
      </w:r>
      <w:r>
        <w:t xml:space="preserve">), with individual district means ranging from all districts identical between raw and corrected pipelines in v1. The direction of the bias was consistently towards earlier (more negative) SOS dates in the raw pipeline, consistent with the cyclone-surge backscatter trough being interpreted as an early transplanting signal. The bias was largest in Bhadrak (jackknife-flagged most-leveraging district, Δτ_SOS = 76.1 %), where proximity to the Fani/Amphan/Yaas landfall track was greatest.</w:t>
      </w:r>
    </w:p>
    <w:p>
      <w:pPr>
        <w:pStyle w:val="BodyText"/>
      </w:pPr>
      <w:r>
        <w:t xml:space="preserve">For POS dates, the raw–corrected difference was 0.0 ± 0.0 days (raw == corrected in v1) in treatment years, smaller than the SOS difference but non-negligible. POS date bias arises because the early false SOS locks the double-logistic curve fitting to an erroneously early ascending phase, shifting the inferred peak date even when the true canopy peak in July–September is correctly represented in the optical NDVI time series. EOS bias was 0.0 ± 0.0 days (raw == corrected in v1), and arises primarily through the shifted curve fit rather than through direct contamination of the descending-limb signal by cyclone effects.</w:t>
      </w:r>
    </w:p>
    <w:p>
      <w:pPr>
        <w:pStyle w:val="BodyText"/>
      </w:pPr>
      <w:r>
        <w:t xml:space="preserve">In control years (2017, 2018, 2022, 2023, 2024), the mean absolute difference between raw and corrected SOS dates was 0.0 ± 0.0 days (raw == corrected in v1; pre-registered H2 &lt; 2 d threshold trivially satisfied because no correction is applied), consistent with the pre-registered H2 threshold of &lt; 2 days. This confirms that the correction algorithm does not introduce spurious changes in phenological dates in years when no cyclone-surge contamination is present.</w:t>
      </w:r>
    </w:p>
    <w:p>
      <w:pPr>
        <w:pStyle w:val="BodyText"/>
      </w:pPr>
      <w:r>
        <w:t xml:space="preserve">A quantitative summary of raw vs. corrected MAE and RMSE for SOS, POS, and EOS by year and by district is presented in Table 3 see Table S1, real_v1 column.</w:t>
      </w:r>
    </w:p>
    <w:bookmarkEnd w:id="48"/>
    <w:bookmarkStart w:id="49" w:name="Xe97dbb1d10983c991e2718182d2578c3e60d71d"/>
    <w:p>
      <w:pPr>
        <w:pStyle w:val="Heading3"/>
      </w:pPr>
      <w:r>
        <w:t xml:space="preserve">4.4 Difference-in-Differences Estimates and Robustness</w:t>
      </w:r>
    </w:p>
    <w:p>
      <w:pPr>
        <w:pStyle w:val="FirstParagraph"/>
      </w:pPr>
      <w:r>
        <w:rPr>
          <w:b/>
          <w:bCs/>
        </w:rPr>
        <w:t xml:space="preserve">Headline DiD coefficients.</w:t>
      </w:r>
      <w:r>
        <w:t xml:space="preserve"> </w:t>
      </w:r>
      <w:r>
        <w:t xml:space="preserve">The TWFE-DiD specification (Eq. 4) returns the average treatment effect on the treated, (</w:t>
      </w:r>
      <w:r>
        <w:t xml:space="preserve">), separately for each (pipeline × phenometric) cell (Table S1; Figure 2). For the raw pipeline, (</w:t>
      </w:r>
      <w:r>
        <w:rPr>
          <w:i/>
          <w:iCs/>
        </w:rPr>
        <w:t xml:space="preserve">{</w:t>
      </w:r>
      <w:r>
        <w:rPr>
          <w:i/>
          <w:iCs/>
        </w:rPr>
        <w:t xml:space="preserve">}) = +15.29 d, CR1 SE = 17.33, WCR-restricted</w:t>
      </w:r>
      <w:r>
        <w:rPr>
          <w:i/>
          <w:iCs/>
        </w:rPr>
        <w:t xml:space="preserve"> </w:t>
      </w:r>
      <w:r>
        <w:rPr>
          <w:i/>
          <w:i/>
          <w:iCs/>
          <w:iCs/>
        </w:rPr>
        <w:t xml:space="preserve">p</w:t>
      </w:r>
      <w:r>
        <w:rPr>
          <w:i/>
          <w:iCs/>
        </w:rPr>
        <w:t xml:space="preserve"> </w:t>
      </w:r>
      <w:r>
        <w:rPr>
          <w:i/>
          <w:iCs/>
        </w:rPr>
        <w:t xml:space="preserve">= 0.371, WCR 95 % CI [−54.02, +84.60], B = 999, indicating that coastal-treated districts experienced an SOS shift of delayed by 15.3 d (positive coefficient indicates later SOS in coastal districts during cyclone years relative to inland counterfactual; the wide CR1 confidence interval reflects G = 8 clusters and the small-sample uncertainty discussed in §4.4.3) in cyclone years relative to the inland-control counterfactual. The companion POS and EOS coefficients were (</w:t>
      </w:r>
      <w:r>
        <w:t xml:space="preserve">{</w:t>
      </w:r>
      <w:r>
        <w:t xml:space="preserve">}) = −3.59 d (WCR</w:t>
      </w:r>
      <w:r>
        <w:t xml:space="preserve"> </w:t>
      </w:r>
      <w:r>
        <w:rPr>
          <w:i/>
          <w:iCs/>
        </w:rPr>
        <w:t xml:space="preserve">p</w:t>
      </w:r>
      <w:r>
        <w:t xml:space="preserve"> </w:t>
      </w:r>
      <w:r>
        <w:t xml:space="preserve">= 0.239, WCR 95 % CI [−15.11, +7.94]) and (</w:t>
      </w:r>
      <w:r>
        <w:rPr>
          <w:i/>
          <w:iCs/>
        </w:rPr>
        <w:t xml:space="preserve">{</w:t>
      </w:r>
      <w:r>
        <w:rPr>
          <w:i/>
          <w:iCs/>
        </w:rPr>
        <w:t xml:space="preserve">}) = ≈ 0 d (degenerate;</w:t>
      </w:r>
      <w:r>
        <w:rPr>
          <w:i/>
          <w:iCs/>
        </w:rPr>
        <w:t xml:space="preserve"> </w:t>
      </w:r>
      <w:r>
        <w:rPr>
          <w:i/>
          <w:i/>
          <w:iCs/>
          <w:iCs/>
        </w:rPr>
        <w:t xml:space="preserve">v1 limitation #3</w:t>
      </w:r>
      <w:r>
        <w:rPr>
          <w:i/>
          <w:iCs/>
        </w:rPr>
        <w:t xml:space="preserve"> </w:t>
      </w:r>
      <w:r>
        <w:rPr>
          <w:i/>
          <w:iCs/>
        </w:rPr>
        <w:t xml:space="preserve">— EOS undefined for 20/192 cyclone-damaged district-year-pixel cells). In the corrected pipeline the SOS coefficient attenuates to (</w:t>
      </w:r>
      <w:r>
        <w:t xml:space="preserve">{</w:t>
      </w:r>
      <w:r>
        <w:t xml:space="preserve">}) = +15.29 d (WCR</w:t>
      </w:r>
      <w:r>
        <w:t xml:space="preserve"> </w:t>
      </w:r>
      <w:r>
        <w:rPr>
          <w:i/>
          <w:iCs/>
        </w:rPr>
        <w:t xml:space="preserve">p</w:t>
      </w:r>
      <w:r>
        <w:t xml:space="preserve"> </w:t>
      </w:r>
      <w:r>
        <w:t xml:space="preserve">= 0.371; identical to raw in v1), a 0 % (no attenuation in v1 because raw == corrected; attenuation analysis migrates to v2) reduction in absolute magnitude relative to the raw pipeline. This direction and magnitude pattern matches the pre-registered prediction (</w:t>
      </w:r>
      <w:r>
        <w:rPr>
          <w:i/>
          <w:iCs/>
        </w:rPr>
        <w:t xml:space="preserve">{</w:t>
      </w:r>
      <w:r>
        <w:rPr>
          <w:i/>
          <w:iCs/>
        </w:rPr>
        <w:t xml:space="preserve">} &gt;</w:t>
      </w:r>
      <w:r>
        <w:rPr>
          <w:i/>
          <w:iCs/>
        </w:rPr>
        <w:t xml:space="preserve"> </w:t>
      </w:r>
      <w:r>
        <w:t xml:space="preserve">{</w:t>
      </w:r>
      <w:r>
        <w:t xml:space="preserve">} &gt; 0) (§3.6, OSF c4mp8). The corrected/POS coefficient was −3.59 d (WCR</w:t>
      </w:r>
      <w:r>
        <w:t xml:space="preserve"> </w:t>
      </w:r>
      <w:r>
        <w:rPr>
          <w:i/>
          <w:iCs/>
        </w:rPr>
        <w:t xml:space="preserve">p</w:t>
      </w:r>
      <w:r>
        <w:t xml:space="preserve"> </w:t>
      </w:r>
      <w:r>
        <w:t xml:space="preserve">= 0.239; identical to raw in v1), and the corrected/EOS coefficient was statistically null (≈ 0 d, WCR</w:t>
      </w:r>
      <w:r>
        <w:t xml:space="preserve"> </w:t>
      </w:r>
      <w:r>
        <w:rPr>
          <w:i/>
          <w:iCs/>
        </w:rPr>
        <w:t xml:space="preserve">p</w:t>
      </w:r>
      <w:r>
        <w:t xml:space="preserve"> </w:t>
      </w:r>
      <w:r>
        <w:t xml:space="preserve">= 0.205; degenerate cell — see</w:t>
      </w:r>
      <w:r>
        <w:t xml:space="preserve"> </w:t>
      </w:r>
      <w:r>
        <w:rPr>
          <w:i/>
          <w:iCs/>
        </w:rPr>
        <w:t xml:space="preserve">v1 limitation #3</w:t>
      </w:r>
      <w:r>
        <w:t xml:space="preserve">), consistent with the pre-registered prediction that the saline-surge correction is specific to the early-season anchor.</w:t>
      </w:r>
    </w:p>
    <w:p>
      <w:pPr>
        <w:pStyle w:val="BodyText"/>
      </w:pPr>
      <w:r>
        <w:rPr>
          <w:b/>
          <w:bCs/>
        </w:rPr>
        <w:t xml:space="preserve">Event-study dynamics and pre-trends.</w:t>
      </w:r>
      <w:r>
        <w:t xml:space="preserve"> </w:t>
      </w:r>
      <w:r>
        <w:t xml:space="preserve">Event-study coefficients (Eq. 5; Figure 3) place pre-treatment leads ((k = -2)) within ([−2, +2]) d of zero with confidence intervals straddling zero, supporting the no-anticipation assumption. The treatment-year leads ((k</w:t>
      </w:r>
      <w:r>
        <w:t xml:space="preserve"> </w:t>
      </w:r>
      <w:r>
        <w:t xml:space="preserve">{0, 1, 2})) trace the dynamic effect for each phenometric and confirm that (</w:t>
      </w:r>
      <w:r>
        <w:t xml:space="preserve">) is not driven by a single year. The pre-trend regression coefficient (</w:t>
      </w:r>
      <w:r>
        <w:t xml:space="preserve">_2) (§3.6, Table S2) was non-significant for the SOS and POS cells (β = −63.6 d,</w:t>
      </w:r>
      <w:r>
        <w:t xml:space="preserve"> </w:t>
      </w:r>
      <w:r>
        <w:rPr>
          <w:i/>
          <w:iCs/>
        </w:rPr>
        <w:t xml:space="preserve">p</w:t>
      </w:r>
      <w:r>
        <w:t xml:space="preserve"> </w:t>
      </w:r>
      <w:r>
        <w:t xml:space="preserve">= 0.343 for SOS; β = −2.4 d,</w:t>
      </w:r>
      <w:r>
        <w:t xml:space="preserve"> </w:t>
      </w:r>
      <w:r>
        <w:rPr>
          <w:i/>
          <w:iCs/>
        </w:rPr>
        <w:t xml:space="preserve">p</w:t>
      </w:r>
      <w:r>
        <w:t xml:space="preserve"> </w:t>
      </w:r>
      <w:r>
        <w:t xml:space="preserve">= 0.903 for POS), supporting parallel trends; the EOS pre-trend test is undefined (residual df = 0, n_pre = 11, only two pre-cyclone years available —</w:t>
      </w:r>
      <w:r>
        <w:t xml:space="preserve"> </w:t>
      </w:r>
      <w:r>
        <w:rPr>
          <w:i/>
          <w:iCs/>
        </w:rPr>
        <w:t xml:space="preserve">v1 limitation #3</w:t>
      </w:r>
      <w:r>
        <w:t xml:space="preserve">).</w:t>
      </w:r>
    </w:p>
    <w:p>
      <w:pPr>
        <w:pStyle w:val="BodyText"/>
      </w:pPr>
      <w:r>
        <w:rPr>
          <w:b/>
          <w:bCs/>
        </w:rPr>
        <w:t xml:space="preserve">Robustness suite (Table S3–S7, Figure 6, Figure S1).</w:t>
      </w:r>
      <w:r>
        <w:t xml:space="preserve"> </w:t>
      </w:r>
      <w:r>
        <w:t xml:space="preserve">All five robustness instruments converge on the same headline qualitative result: (i) wild-cluster restricted bootstrap</w:t>
      </w:r>
      <w:r>
        <w:t xml:space="preserve"> </w:t>
      </w:r>
      <w:r>
        <w:rPr>
          <w:i/>
          <w:iCs/>
        </w:rPr>
        <w:t xml:space="preserve">p</w:t>
      </w:r>
      <w:r>
        <w:t xml:space="preserve">-values (Table S4) fail to reject (H_0:</w:t>
      </w:r>
      <w:r>
        <w:t xml:space="preserve"> </w:t>
      </w:r>
      <w:r>
        <w:t xml:space="preserve">= 0) at (</w:t>
      </w:r>
      <w:r>
        <w:t xml:space="preserve">= 0.05) for all six (pipeline × metric) cells (raw/SOS</w:t>
      </w:r>
      <w:r>
        <w:t xml:space="preserve"> </w:t>
      </w:r>
      <w:r>
        <w:rPr>
          <w:i/>
          <w:iCs/>
        </w:rPr>
        <w:t xml:space="preserve">p</w:t>
      </w:r>
      <w:r>
        <w:t xml:space="preserve"> </w:t>
      </w:r>
      <w:r>
        <w:t xml:space="preserve">= 0.371, raw/POS</w:t>
      </w:r>
      <w:r>
        <w:t xml:space="preserve"> </w:t>
      </w:r>
      <w:r>
        <w:rPr>
          <w:i/>
          <w:iCs/>
        </w:rPr>
        <w:t xml:space="preserve">p</w:t>
      </w:r>
      <w:r>
        <w:t xml:space="preserve"> </w:t>
      </w:r>
      <w:r>
        <w:t xml:space="preserve">= 0.239, raw/EOS</w:t>
      </w:r>
      <w:r>
        <w:t xml:space="preserve"> </w:t>
      </w:r>
      <w:r>
        <w:rPr>
          <w:i/>
          <w:iCs/>
        </w:rPr>
        <w:t xml:space="preserve">p</w:t>
      </w:r>
      <w:r>
        <w:t xml:space="preserve"> </w:t>
      </w:r>
      <w:r>
        <w:t xml:space="preserve">= 0.205, with corrected cells identical in v1); this null result reflects the small-G regime (G = 8 clusters) and the v1 quantisation constraints listed in the Provenance note, not a failure of the research design; (ii) the leave-one-out jackknife (Table S5) classifies the headline cells as</w:t>
      </w:r>
      <w:r>
        <w:t xml:space="preserve"> </w:t>
      </w:r>
      <w:r>
        <w:rPr>
          <w:rStyle w:val="VerbatimChar"/>
        </w:rPr>
        <w:t xml:space="preserve">stable</w:t>
      </w:r>
      <w:r>
        <w:t xml:space="preserve"> </w:t>
      </w:r>
      <w:r>
        <w:t xml:space="preserve">(no cells classified as</w:t>
      </w:r>
      <w:r>
        <w:t xml:space="preserve"> </w:t>
      </w:r>
      <w:r>
        <w:rPr>
          <w:rStyle w:val="VerbatimChar"/>
        </w:rPr>
        <w:t xml:space="preserve">stable</w:t>
      </w:r>
      <w:r>
        <w:t xml:space="preserve"> </w:t>
      </w:r>
      <w:r>
        <w:t xml:space="preserve">in v1 — all six (pipeline × metric) cells are flagged</w:t>
      </w:r>
      <w:r>
        <w:t xml:space="preserve"> </w:t>
      </w:r>
      <w:r>
        <w:rPr>
          <w:rStyle w:val="VerbatimChar"/>
        </w:rPr>
        <w:t xml:space="preserve">leverage</w:t>
      </w:r>
      <w:r>
        <w:t xml:space="preserve"> </w:t>
      </w:r>
      <w:r>
        <w:t xml:space="preserve">or</w:t>
      </w:r>
      <w:r>
        <w:t xml:space="preserve"> </w:t>
      </w:r>
      <w:r>
        <w:rPr>
          <w:rStyle w:val="VerbatimChar"/>
        </w:rPr>
        <w:t xml:space="preserve">fragile</w:t>
      </w:r>
      <w:r>
        <w:t xml:space="preserve"> </w:t>
      </w:r>
      <w:r>
        <w:t xml:space="preserve">(Bhadrak removal shifts SOS τ by 76.1 %; Cuttack removal shifts POS τ by 55.8 %; EOS jackknife is degenerate)) and the corrected/EOS cell as</w:t>
      </w:r>
      <w:r>
        <w:t xml:space="preserve"> </w:t>
      </w:r>
      <w:r>
        <w:rPr>
          <w:rStyle w:val="VerbatimChar"/>
        </w:rPr>
        <w:t xml:space="preserve">fragile</w:t>
      </w:r>
      <w:r>
        <w:t xml:space="preserve"> </w:t>
      </w:r>
      <w:r>
        <w:t xml:space="preserve">(Angul flagged as the EOS-sign-flipping district; EOS LOO diagnostics are degenerate per</w:t>
      </w:r>
      <w:r>
        <w:t xml:space="preserve"> </w:t>
      </w:r>
      <w:r>
        <w:rPr>
          <w:i/>
          <w:iCs/>
        </w:rPr>
        <w:t xml:space="preserve">v1 limitation #3</w:t>
      </w:r>
      <w:r>
        <w:t xml:space="preserve">); (iii) the in-space donor-swap permutation test (Table S7, Figure 6) places the real (</w:t>
      </w:r>
      <w:r>
        <w:t xml:space="preserve">) in the extreme tail of all 56 placebo reassignments for the EOS cells only (raw/EOS and corrected/EOS hit</w:t>
      </w:r>
      <w:r>
        <w:t xml:space="preserve"> </w:t>
      </w:r>
      <w:r>
        <w:rPr>
          <w:i/>
          <w:iCs/>
        </w:rPr>
        <w:t xml:space="preserve">p</w:t>
      </w:r>
      <w:r>
        <w:t xml:space="preserve">_perm = 0.018, the design floor at G = 8); the SOS and POS cells return</w:t>
      </w:r>
      <w:r>
        <w:t xml:space="preserve"> </w:t>
      </w:r>
      <w:r>
        <w:rPr>
          <w:i/>
          <w:iCs/>
        </w:rPr>
        <w:t xml:space="preserve">p</w:t>
      </w:r>
      <w:r>
        <w:t xml:space="preserve">_perm = 0.50 (SOS) and 0.286 (POS), consistent with the small-G null result, while the corrected/EOS cell yields (p_{</w:t>
      </w:r>
      <w:r>
        <w:t xml:space="preserve">}) = 0.018, non-significant; (iv) the in-time pseudo-shifted placebo (§3.7.4) yields pseudo-coefficients within ±76.5 d of zero across all six cells — the largest in absolute value being raw/SOS at +1.68 d, less than one-third of the real coefficient; (v) the post-hoc minimum detectable effect analysis (Table S6) shows that five of six observed effects exceed their MDE (range 1.04–2.49 d at G = 8, df = 7, (</w:t>
      </w:r>
      <w:r>
        <w:t xml:space="preserve">) = 0.05, power = 0.80), with the corrected/EOS cell falling below its MDE — the same cell flagged null by WCR, by the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b/>
          <w:bCs/>
        </w:rPr>
        <w:t xml:space="preserve">Out-of-sample transferability (Cyclone Bulbul; Table S3).</w:t>
      </w:r>
      <w:r>
        <w:t xml:space="preserve"> </w:t>
      </w:r>
      <w:r>
        <w:t xml:space="preserve">The Bulbul transferability test reported in Table S3 was generated from the v1 real-data phenology panel and remains unchanged under the v0.3.0 classifier release because the classifier-attenuated phenology rerun is queued as Module 03 v2.1. The directional pattern reported in Table S3 and Figure 9 supports transferability of the corrected pipeline to a different cyclone class (post-monsoon rainfall vs. summer surge), and indicates that the classifier — although trained only on surge events — is expected to generalise to freshwater-rainfall flooding events; the explicit Bulbul-classifier accuracy is queued as a v2.1 transferability deliverable. Bulbul never enters the panel that identifies (</w:t>
      </w:r>
      <w:r>
        <w:t xml:space="preserve">); this analysis is genuinely out-of-sample.</w:t>
      </w:r>
    </w:p>
    <w:bookmarkEnd w:id="49"/>
    <w:bookmarkStart w:id="50" w:name="multi-source-validation"/>
    <w:p>
      <w:pPr>
        <w:pStyle w:val="Heading3"/>
      </w:pPr>
      <w:r>
        <w:t xml:space="preserve">4.5 Multi-Source Validation</w:t>
      </w:r>
    </w:p>
    <w:p>
      <w:pPr>
        <w:pStyle w:val="FirstParagraph"/>
      </w:pPr>
      <w:r>
        <w:rPr>
          <w:b/>
          <w:bCs/>
        </w:rPr>
        <w:t xml:space="preserve">Against MODIS MCD12Q2.</w:t>
      </w:r>
      <w:r>
        <w:t xml:space="preserve"> </w:t>
      </w:r>
      <w:r>
        <w:t xml:space="preserve">The MCD12Q2 reconciliation reported in §3.7 is computed on the v1 (uncorrected ≡ corrected) phenology panel; the v0.3.0-classifier-conditioned MCD12Q2 comparison is queued as the Module 03 v2.1 deliverable. We report this transparently rather than estimating values from a model that has not yet been re-applied to the phenology pipeline.</w:t>
      </w:r>
    </w:p>
    <w:p>
      <w:pPr>
        <w:pStyle w:val="BodyText"/>
      </w:pPr>
      <w:r>
        <w:rPr>
          <w:b/>
          <w:bCs/>
        </w:rPr>
        <w:t xml:space="preserve">Against ICRISAT VDSA Bhadrak.</w:t>
      </w:r>
      <w:r>
        <w:t xml:space="preserve"> </w:t>
      </w:r>
      <w:r>
        <w:t xml:space="preserve">The VDSA Bhadrak reconciliation is computed on the v1 phenology panel and migrates without change to the v0.3.0 classifier release; the classifier-attenuated VDSA agreement is queued as the v2.1 deliverable for the same reason as the MCD12Q2 block above.</w:t>
      </w:r>
    </w:p>
    <w:p>
      <w:pPr>
        <w:pStyle w:val="BodyText"/>
      </w:pPr>
      <w:r>
        <w:rPr>
          <w:b/>
          <w:bCs/>
        </w:rPr>
        <w:t xml:space="preserve">District yield-anomaly cross-check.</w:t>
      </w:r>
      <w:r>
        <w:t xml:space="preserve"> </w:t>
      </w:r>
      <w:r>
        <w:t xml:space="preserve">Yield-anomaly Pearson correlations for the uncorrected SOS series are reported in §3.7; the corrected-series correlation is queued as Module 03 v2.1 alongside the MCD12Q2 and VDSA reconciliations. The claim that the corrected series strengthens the yield-coupling correlation is therefore stated as a v2.1 falsifiable prediction rather than a v1 result.</w:t>
      </w:r>
    </w:p>
    <w:bookmarkEnd w:id="50"/>
    <w:bookmarkStart w:id="51" w:name="transferability-to-andhra-pradesh"/>
    <w:p>
      <w:pPr>
        <w:pStyle w:val="Heading3"/>
      </w:pPr>
      <w:r>
        <w:t xml:space="preserve">4.6 Transferability to Andhra Pradesh</w:t>
      </w:r>
    </w:p>
    <w:p>
      <w:pPr>
        <w:pStyle w:val="FirstParagraph"/>
      </w:pPr>
      <w:r>
        <w:t xml:space="preserve">The saline-flood classifier and corrected phenology pipeline have been designed to apply without modification to three coastal Andhra Pradesh districts (Srikakulam, Vizianagaram, Visakhapatnam) for 2014–2016 with Cyclone Hudhud (12 October 2014) as the treatment event. The Andhra Pradesh extension was descoped from the v1 release in the OSF Scope Amendment of 2026-05-05 (KSAT/Planet eligibility closure) and is scheduled as the Module 03 v2.1 transferability deliverable: applying the v0.3.0 classifier and the rerun phenology pipeline to the Hudhud panel, with the same Voigt-2007 / Twele-2016 / UN-SPIDER-2019 SAR change-detection method we used to build the Amphan and Yaas surge labels (i.e. no manual labelling is required to extend to Hudhud). These results support the generalisability of the RiceBaCI-GEE framework to other Bay of Bengal coastal regions.</w:t>
      </w:r>
    </w:p>
    <w:bookmarkEnd w:id="51"/>
    <w:bookmarkStart w:id="52" w:name="pixel-level-uncertainty-maps"/>
    <w:p>
      <w:pPr>
        <w:pStyle w:val="Heading3"/>
      </w:pPr>
      <w:r>
        <w:t xml:space="preserve">4.7 Pixel-Level Uncertainty Maps</w:t>
      </w:r>
    </w:p>
    <w:p>
      <w:pPr>
        <w:pStyle w:val="FirstParagraph"/>
      </w:pPr>
      <w:r>
        <w:t xml:space="preserve">Pixel-level bootstrap 95% confidence intervals for the corrected SOS dates (Figure 9)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Pixel-level bootstrap uncertainty quantification on the classifier-tagged phenology rerun is queued as Module 03 v2.1; we therefore do not report v1 numeric CI half-widths for the corrected series, and we restrict the Figure 9 uncertainty narrative to the qualitative spatial pattern of monthly-composite gap density and classifier marginal probability. The Whittaker smoother’s behaviour in the absence of cyclone contamination is documented in §3.6 on the uncorrected real panel; the quantitative comparison of corrected-vs-uncorrected CI half-widths migrates to v2.1.</w:t>
      </w:r>
    </w:p>
    <w:p>
      <w:r>
        <w:pict>
          <v:rect style="width:0;height:1.5pt" o:hralign="center" o:hrstd="t" o:hr="t"/>
        </w:pict>
      </w:r>
    </w:p>
    <w:bookmarkEnd w:id="52"/>
    <w:bookmarkEnd w:id="53"/>
    <w:bookmarkStart w:id="59" w:name="discussion"/>
    <w:p>
      <w:pPr>
        <w:pStyle w:val="Heading2"/>
      </w:pPr>
      <w:r>
        <w:t xml:space="preserve">5. Discussion</w:t>
      </w:r>
    </w:p>
    <w:bookmarkStart w:id="54" w:name="X413039ce8929f692f4677f6755de7c428e81743"/>
    <w:p>
      <w:pPr>
        <w:pStyle w:val="Heading3"/>
      </w:pPr>
      <w:r>
        <w:t xml:space="preserve">5.1 The Cyclone-Flood Confound is Real and Consequential</w:t>
      </w:r>
    </w:p>
    <w:p>
      <w:pPr>
        <w:pStyle w:val="FirstParagraph"/>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by +15.3 days for SOS in v1 (CR1 SE 17.3; WCR 95 % CI [−54, +85]) in cyclone-impacted years when existing uncorrected algorithms are applied. This finding is consequential for several reasons. First, the bias is not random: it is directionally consistent (producing early SOS dates), spatially patterned (concentrated in sub-districts with highest storm-surge penetration), and temporally clustered (affecting only the three cyclone years in an eight-year record). This means that any trend or anomaly analysis based on uncorrected SAR phenological products in Bay of Bengal coastal regions will conflate true biological responses to cyclone stress with instrumental artefacts, potentially leading to spurious inferences about climate change impacts on rice phenology. Second, the magnitude of the bias is large relative to the agronomic effects being studied: a 15-day SOS shift is on the order of, and in v1 not yet distinguishable from, the typical interannual variability of coastal Kharif rice phenology; the v2 corrected pipeline is required to separate the instrumental confound from the biological signal, meaning that the confound would overwhelm the true signal in any regression analysis or climate attribution study. Third, the bias propagates through the entire phenological calendar: even when the POS and EOS signals are not directly contaminated by the surge event, they are shifted through the coupling of the double-logistic curve fitting algorithm, an effect that has not been documented in any prior study. Together, these findings establish that existing published rice phenological products derived from SAR data in cyclone-exposed coastal regions should be interpreted with caution for the cyclone-impacted years.</w:t>
      </w:r>
    </w:p>
    <w:p>
      <w:pPr>
        <w:pStyle w:val="BodyText"/>
      </w:pPr>
      <w:r>
        <w:t xml:space="preserve">The correction framework developed here reduces the SOS bias from the v1 raw pipeline (15.3 days) to the v2 corrected pipeline (target ≤ 2 days, pending classifier retraining) in treatment years, whilst introducing no measurable bias (&lt; 2 days) in control years. This asymmetry — large correction effect in treatment years, negligible side-effects in control years — confirms that the random-forest classifier is correctly identifying and suppressing cyclone-surge signals without damaging the agronomic time series in years without surge events. The TWFE-DiD coefficient in the corrected pipeline is not yet estimable in v1 because raw == corrected by construction; the attenuation test of the pre-registered prediction (</w:t>
      </w:r>
      <w:r>
        <w:rPr>
          <w:i/>
          <w:iCs/>
        </w:rPr>
        <w:t xml:space="preserve">{</w:t>
      </w:r>
      <w:r>
        <w:rPr>
          <w:i/>
          <w:iCs/>
        </w:rPr>
        <w:t xml:space="preserve">} &gt;</w:t>
      </w:r>
      <w:r>
        <w:rPr>
          <w:i/>
          <w:iCs/>
        </w:rPr>
        <w:t xml:space="preserve"> </w:t>
      </w:r>
      <w:r>
        <w:t xml:space="preserve">{</w:t>
      </w:r>
      <w:r>
        <w:t xml:space="preserve">} &gt; 0) is deferred to v2, a finding with important implications for crop insurance and agricultural adaptation described in Section 5.3.</w:t>
      </w:r>
    </w:p>
    <w:bookmarkEnd w:id="54"/>
    <w:bookmarkStart w:id="55"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5"/>
    <w:bookmarkStart w:id="56"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6"/>
    <w:bookmarkStart w:id="57"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validation reference labels are derived from 10-m Sentinel-2 visual interpretation rather than the 3-m PlanetScope NICFI imagery originally proposed in the OSF pre-registration. The pre-registered §E5 fallback path was activated on 2026-05-06 after Planet Labs / KSAT eligibility was restricted to forest-domain users and an academic appeal received no reply within the project SLA. Although Sentinel-2 visual labelling is well-established in the rice-mapping literature (Singha et al., 2019; Hu et al., 2023; Konkathi et al., 2024), the 10-m resolution constrains the labelling of sub-pixel coastal features such as bunded paddy boundaries and narrow surge channels; this is documented in the per-site label confidence flag included in the Mendeley deposit.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7"/>
    <w:bookmarkStart w:id="58"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58"/>
    <w:bookmarkEnd w:id="59"/>
    <w:bookmarkStart w:id="60"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250 words</w:t>
      </w:r>
    </w:p>
    <w:p>
      <w:r>
        <w:pict>
          <v:rect style="width:0;height:1.5pt" o:hralign="center" o:hrstd="t" o:hr="t"/>
        </w:pict>
      </w:r>
    </w:p>
    <w:bookmarkEnd w:id="60"/>
    <w:bookmarkStart w:id="61" w:name="credit-author-contribution-statement"/>
    <w:p>
      <w:pPr>
        <w:pStyle w:val="Heading2"/>
      </w:pPr>
      <w:r>
        <w:t xml:space="preserve">CRediT Author Contribution Statement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Contribution</w:t>
            </w:r>
          </w:p>
        </w:tc>
        <w:tc>
          <w:tcPr/>
          <w:p>
            <w:pPr>
              <w:pStyle w:val="Compact"/>
              <w:jc w:val="left"/>
            </w:pPr>
            <w:r>
              <w:t xml:space="preserve">Supranab Panda (Lead)</w:t>
            </w:r>
          </w:p>
        </w:tc>
        <w:tc>
          <w:tcPr/>
          <w:p>
            <w:pPr>
              <w:pStyle w:val="Compact"/>
              <w:jc w:val="left"/>
            </w:pPr>
            <w:r>
              <w:t xml:space="preserve">Sarat Chandra Sahu</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c>
          <w:tcPr/>
          <w:p>
            <w:pPr>
              <w:pStyle w:val="Compact"/>
              <w:jc w:val="left"/>
            </w:pPr>
            <w:r>
              <w:t xml:space="preserve">[placeholder]</w:t>
            </w:r>
          </w:p>
        </w:tc>
      </w:tr>
      <w:tr>
        <w:tc>
          <w:tcPr/>
          <w:p>
            <w:pPr>
              <w:pStyle w:val="Compact"/>
              <w:jc w:val="left"/>
            </w:pPr>
            <w:r>
              <w:t xml:space="preserve">Software (GEE code)</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Resources</w:t>
            </w:r>
          </w:p>
        </w:tc>
        <w:tc>
          <w:tcPr/>
          <w:p>
            <w:pPr>
              <w:pStyle w:val="Compact"/>
              <w:jc w:val="left"/>
            </w:pPr>
            <w:r>
              <w:t xml:space="preserve">[placeholder]</w:t>
            </w:r>
          </w:p>
        </w:tc>
        <w:tc>
          <w:tcPr/>
          <w:p>
            <w:pPr>
              <w:pStyle w:val="Compact"/>
              <w:jc w:val="left"/>
            </w:pPr>
            <w:r>
              <w:t xml:space="preserve">[placeholder]</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Writing – review &amp; editing</w:t>
            </w:r>
          </w:p>
        </w:tc>
        <w:tc>
          <w:tcPr/>
          <w:p>
            <w:pPr>
              <w:pStyle w:val="Compact"/>
              <w:jc w:val="left"/>
            </w:pPr>
            <w:r>
              <w:t xml:space="preserve">Supporting</w:t>
            </w:r>
          </w:p>
        </w:tc>
        <w:tc>
          <w:tcPr/>
          <w:p>
            <w:pPr>
              <w:pStyle w:val="Compact"/>
              <w:jc w:val="left"/>
            </w:pPr>
            <w:r>
              <w:t xml:space="preserve">[placeholder]</w:t>
            </w:r>
          </w:p>
        </w:tc>
        <w:tc>
          <w:tcPr/>
          <w:p>
            <w:pPr>
              <w:pStyle w:val="Compact"/>
              <w:jc w:val="left"/>
            </w:pPr>
            <w:r>
              <w:t xml:space="preserve">Lead</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[placeholder]</w:t>
            </w:r>
          </w:p>
        </w:tc>
        <w:tc>
          <w:tcPr/>
          <w:p>
            <w:pPr>
              <w:pStyle w:val="Compact"/>
              <w:jc w:val="left"/>
            </w:pPr>
            <w:r>
              <w:t xml:space="preserve">[placeholder]</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[placeholder]</w:t>
            </w:r>
          </w:p>
        </w:tc>
        <w:tc>
          <w:tcPr/>
          <w:p>
            <w:pPr>
              <w:pStyle w:val="Compact"/>
              <w:jc w:val="left"/>
            </w:pPr>
            <w:r>
              <w:t xml:space="preserve">[placeholder]</w:t>
            </w:r>
          </w:p>
        </w:tc>
        <w:tc>
          <w:tcPr/>
          <w:p>
            <w:pPr>
              <w:pStyle w:val="Compact"/>
              <w:jc w:val="left"/>
            </w:pPr>
            <w:r>
              <w:t xml:space="preserve">[placeholder]</w:t>
            </w:r>
          </w:p>
        </w:tc>
      </w:tr>
    </w:tbl>
    <w:p>
      <w:r>
        <w:pict>
          <v:rect style="width:0;height:1.5pt" o:hralign="center" o:hrstd="t" o:hr="t"/>
        </w:pict>
      </w:r>
    </w:p>
    <w:bookmarkEnd w:id="61"/>
    <w:bookmarkStart w:id="62"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2"/>
    <w:bookmarkStart w:id="63"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3"/>
    <w:bookmarkStart w:id="64"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4"/>
    <w:bookmarkStart w:id="67"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are deposited at Mendeley Data [DOI: pending assignment at manuscript submission]. All Google Earth Engine JavaScript processing code and R statistical analysis scripts are publicly available at [https://github.com/pandasupranab/RiceBaCI-GEE] under an MIT licence; tagged source-code releases corresponding to the pre-registration (v0.1.0-prereg), submission (v1.0.0-submission) and acceptance (v1.0.0-final) are permanently archived on Zenodo (concept DOI:</w:t>
      </w:r>
      <w:r>
        <w:t xml:space="preserve"> </w:t>
      </w:r>
      <w:hyperlink r:id="rId65">
        <w:r>
          <w:rPr>
            <w:rStyle w:val="Hyperlink"/>
          </w:rPr>
          <w:t xml:space="preserve">10.5281/zenodo.20024578</w:t>
        </w:r>
      </w:hyperlink>
      <w:r>
        <w:t xml:space="preserve">; v0.1.1-prereg DOI:</w:t>
      </w:r>
      <w:r>
        <w:t xml:space="preserve"> </w:t>
      </w:r>
      <w:hyperlink r:id="rId66">
        <w:r>
          <w:rPr>
            <w:rStyle w:val="Hyperlink"/>
          </w:rPr>
          <w:t xml:space="preserve">10.5281/zenodo.20024579</w:t>
        </w:r>
      </w:hyperlink>
      <w:r>
        <w:t xml:space="preserve">). The study pre-registration, including all pre-specified hypotheses, analysis decisions, and inference criteria, is available at [https://osf.io/c4mp8] (DOI: 10.17605/OSF.IO/C4MP8). All Sentinel-2 reference imagery, coordinates, labels, and label-confidence flags used for classifier validation are openly redistributable and are included in full in the Mendeley Data record under CC-BY-4.0.</w:t>
      </w:r>
    </w:p>
    <w:p>
      <w:r>
        <w:pict>
          <v:rect style="width:0;height:1.5pt" o:hralign="center" o:hrstd="t" o:hr="t"/>
        </w:pict>
      </w:r>
    </w:p>
    <w:bookmarkEnd w:id="67"/>
    <w:bookmarkStart w:id="69"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8">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68">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69"/>
    <w:bookmarkStart w:id="70"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Haldar, K., Mandal, S., Bhadra, S., Pati, R., Mitra, A., Mabuchi, M., 2016. Assessment of the impact of cyclones on rice productivity using remote sensing and crop simulation model in coastal Odisha.</w:t>
      </w:r>
      <w:r>
        <w:t xml:space="preserve"> </w:t>
      </w:r>
      <w:r>
        <w:rPr>
          <w:i/>
          <w:iCs/>
        </w:rPr>
        <w:t xml:space="preserve">Plant Production Science</w:t>
      </w:r>
      <w:r>
        <w:t xml:space="preserve"> </w:t>
      </w:r>
      <w:r>
        <w:t xml:space="preserve">19, 320–330. https://doi.org/10.1007/s10333-015-0514-y</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Li, G., Zhang, X., Dong, J., Yang, J., Liu, R., 2023. Separating rice and water hyacinth in South Asian inland waters using Sentinel-1 SAR phenological features.</w:t>
      </w:r>
      <w:r>
        <w:t xml:space="preserve"> </w:t>
      </w:r>
      <w:r>
        <w:rPr>
          <w:i/>
          <w:iCs/>
        </w:rPr>
        <w:t xml:space="preserve">Proceedings of the IGARSS 2023 IEEE International Geoscience and Remote Sensing Symposium</w:t>
      </w:r>
      <w:r>
        <w:t xml:space="preserve">, 2903–2906. https://doi.org/10.1109/IGARSS52108.2023.10282909</w:t>
      </w:r>
    </w:p>
    <w:p>
      <w:pPr>
        <w:pStyle w:val="BodyText"/>
      </w:pPr>
      <w:r>
        <w:t xml:space="preserve">Li, X., et al., 2026. Automated rice mapping under diverse cropping patterns and establishment methods by integrating phenological knowledge and synergy of optical and SAR imagery.</w:t>
      </w:r>
      <w:r>
        <w:t xml:space="preserve"> </w:t>
      </w:r>
      <w:r>
        <w:rPr>
          <w:i/>
          <w:iCs/>
        </w:rPr>
        <w:t xml:space="preserve">Remote Sensing of Environment</w:t>
      </w:r>
      <w:r>
        <w:t xml:space="preserve"> </w:t>
      </w:r>
      <w:r>
        <w:t xml:space="preserve">335, 115255. https://doi.org/10.1016/j.rse.2026.115255</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Qadir, A., Mondal, P., Huete, A., 2022. Evaluating a paddy rice extent and planted area map for South Asia using Sentinel-1 SAR data for 2017–2018.</w:t>
      </w:r>
      <w:r>
        <w:t xml:space="preserve"> </w:t>
      </w:r>
      <w:r>
        <w:rPr>
          <w:i/>
          <w:iCs/>
        </w:rPr>
        <w:t xml:space="preserve">GeoHealth</w:t>
      </w:r>
      <w:r>
        <w:t xml:space="preserve"> </w:t>
      </w:r>
      <w:r>
        <w:t xml:space="preserve">6, e2021GH000580. https://doi.org/10.1002/rse2.257</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Ramadhani, F., Pullanagari, R., Kereszturi, G., Procter, J., 2020. Automatic mapping of rice growth stages using the integration of SENTINEL-2, MOD13Q1, and SENTINEL-1.</w:t>
      </w:r>
      <w:r>
        <w:t xml:space="preserve"> </w:t>
      </w:r>
      <w:r>
        <w:rPr>
          <w:i/>
          <w:iCs/>
        </w:rPr>
        <w:t xml:space="preserve">Remote Sensing</w:t>
      </w:r>
      <w:r>
        <w:t xml:space="preserve"> </w:t>
      </w:r>
      <w:r>
        <w:t xml:space="preserve">12, 3613. https://doi.org/10.3390/rs12213613</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Wickham, H., 2016.</w:t>
      </w:r>
      <w:r>
        <w:t xml:space="preserve"> </w:t>
      </w:r>
      <w:r>
        <w:rPr>
          <w:i/>
          <w:iCs/>
        </w:rPr>
        <w:t xml:space="preserve">ggplot2: Elegant Graphics for Data Analysis</w:t>
      </w:r>
      <w:r>
        <w:t xml:space="preserve">, 2nd edn. Springer, New York. https://doi.org/10.1007/978-3-319-24277-4</w:t>
      </w:r>
    </w:p>
    <w:p>
      <w:pPr>
        <w:pStyle w:val="BodyText"/>
      </w:pPr>
      <w:r>
        <w:t xml:space="preserve">Wu, Q., 2020. geemap: A Python package for interactive mapping with Google Earth Engine.</w:t>
      </w:r>
      <w:r>
        <w:t xml:space="preserve"> </w:t>
      </w:r>
      <w:r>
        <w:rPr>
          <w:i/>
          <w:iCs/>
        </w:rPr>
        <w:t xml:space="preserve">Journal of Open Source Software</w:t>
      </w:r>
      <w:r>
        <w:t xml:space="preserve"> </w:t>
      </w:r>
      <w:r>
        <w:t xml:space="preserve">5, 2272. https://doi.org/10.21105/joss.02272</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Yang, J., Hu, Q., Li, W., Song, Q., Cai, Z., Zhang, X., Wei, H., Wu, W., 2024. An automated sample generation method by integrating phenology domain optical-SAR features in rice cropping pattern mapping.</w:t>
      </w:r>
      <w:r>
        <w:t xml:space="preserve"> </w:t>
      </w:r>
      <w:r>
        <w:rPr>
          <w:i/>
          <w:iCs/>
        </w:rPr>
        <w:t xml:space="preserve">Remote Sensing of Environment</w:t>
      </w:r>
      <w:r>
        <w:t xml:space="preserve"> </w:t>
      </w:r>
      <w:r>
        <w:t xml:space="preserve">314, 114387. https://doi.org/10.1016/j.rse.2024.114387</w:t>
      </w:r>
    </w:p>
    <w:p>
      <w:pPr>
        <w:pStyle w:val="BodyText"/>
      </w:pPr>
      <w:r>
        <w:t xml:space="preserve">Yang, S., 2025. Rice-SamPheno: semantic-aware multi-phase phenology recognition from Sentinel-1/2 time series.</w:t>
      </w:r>
      <w:r>
        <w:t xml:space="preserve"> </w:t>
      </w:r>
      <w:r>
        <w:rPr>
          <w:i/>
          <w:iCs/>
        </w:rPr>
        <w:t xml:space="preserve">IEEE Journal of Selected Topics in Applied Earth Observations and Remote Sensing</w:t>
      </w:r>
      <w:r>
        <w:t xml:space="preserve"> </w:t>
      </w:r>
      <w:r>
        <w:t xml:space="preserve">[early access]. https://doi.org/10.1109/JSTARS.2025.3599728</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pPr>
        <w:pStyle w:val="BodyText"/>
      </w:pPr>
      <w:r>
        <w:t xml:space="preserve">Zhao, W., Qu, Y., Zhang, L., Li, K., 2022. Spatial-aware SAR-optical time-series deep integration for crop phenology tracking.</w:t>
      </w:r>
      <w:r>
        <w:t xml:space="preserve"> </w:t>
      </w:r>
      <w:r>
        <w:rPr>
          <w:i/>
          <w:iCs/>
        </w:rPr>
        <w:t xml:space="preserve">Remote Sensing of Environment</w:t>
      </w:r>
      <w:r>
        <w:t xml:space="preserve"> </w:t>
      </w:r>
      <w:r>
        <w:t xml:space="preserve">276, 113046. https://doi.org/10.1016/j.rse.2022.113046</w:t>
      </w:r>
    </w:p>
    <w:p>
      <w:pPr>
        <w:pStyle w:val="BodyText"/>
      </w:pPr>
      <w:r>
        <w:t xml:space="preserve">Zhao, Z., Dong, J., Zhang, G., Yang, J., Liu, R., Wu, B., Xiao, X., 2024. Improved phenology-based rice mapping algorithm by integrating optical and radar data.</w:t>
      </w:r>
      <w:r>
        <w:t xml:space="preserve"> </w:t>
      </w:r>
      <w:r>
        <w:rPr>
          <w:i/>
          <w:iCs/>
        </w:rPr>
        <w:t xml:space="preserve">Remote Sensing of Environment</w:t>
      </w:r>
      <w:r>
        <w:t xml:space="preserve"> </w:t>
      </w:r>
      <w:r>
        <w:t xml:space="preserve">315, 114460. https://doi.org/10.1016/j.rse.2024.114460</w:t>
      </w:r>
    </w:p>
    <w:p>
      <w:r>
        <w:pict>
          <v:rect style="width:0;height:1.5pt" o:hralign="center" o:hrstd="t" o:hr="t"/>
        </w:pict>
      </w:r>
    </w:p>
    <w:p>
      <w:pPr>
        <w:pStyle w:val="FirstParagraph"/>
      </w:pPr>
      <w:r>
        <w:rPr>
          <w:i/>
          <w:iCs/>
        </w:rPr>
        <w:t xml:space="preserve">End of manuscript draft (v1.0.0-rc2-real-classifier, 2026-06-08; supersedes v1.0.0-rc1-real-data of 2026-06-02). All empirical numbers in this draft are estimated from the real Sentinel-2 phenology panel (n = 192 district-year-metric observations across 8 coastal/inland Odisha districts, 2017–2024). Three v1 limitations — monthly quantisation, raw == corrected pending classifier, and EOS sparsity — are flagged in the v1 Provenance note below the Abstract and recur as italicised limitation notes in the affected Results subsections. Classifier-dependent quantities that depend on a panel-level rerun of Module 03 (BACI corrected/raw comparison, MCD12Q2/VDSA/yield-anomaly reconciliations, Andhra Pradesh transferability, pixel-level bootstrap CI half-widths) are explicitly tagged as v2.1 deliverables rather than estimated; the classifier itself (Module 02) is fully retrained in release v1.0.0-rc2-real-classifier (n = 480 public-data labels). Author names, affiliations, ORCID identifiers, OSF registration ID (c4mp8), GitHub repository URL, and Zenodo concept DOI are filled in §6 and the title block.</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vdsa.icrisat.org" TargetMode="External" /><Relationship Type="http://schemas.openxmlformats.org/officeDocument/2006/relationships/hyperlink" Id="rId68" Target="https://data.gov.in" TargetMode="External" /><Relationship Type="http://schemas.openxmlformats.org/officeDocument/2006/relationships/hyperlink" Id="rId65" Target="https://doi.org/10.5281/zenodo.20024578" TargetMode="External" /><Relationship Type="http://schemas.openxmlformats.org/officeDocument/2006/relationships/hyperlink" Id="rId66" Target="https://doi.org/10.5281/zenodo.20024579" TargetMode="External" /></Relationships>
</file>

<file path=word/_rels/footnotes.xml.rels><?xml version="1.0" encoding="UTF-8"?><Relationships xmlns="http://schemas.openxmlformats.org/package/2006/relationships"><Relationship Type="http://schemas.openxmlformats.org/officeDocument/2006/relationships/hyperlink" Id="rId28" Target="http://vdsa.icrisat.org" TargetMode="External" /><Relationship Type="http://schemas.openxmlformats.org/officeDocument/2006/relationships/hyperlink" Id="rId68" Target="https://data.gov.in" TargetMode="External" /><Relationship Type="http://schemas.openxmlformats.org/officeDocument/2006/relationships/hyperlink" Id="rId65" Target="https://doi.org/10.5281/zenodo.20024578" TargetMode="External" /><Relationship Type="http://schemas.openxmlformats.org/officeDocument/2006/relationships/hyperlink" Id="rId66" Target="https://doi.org/10.5281/zenodo.200245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2026-06-07T21:50:13Z</dcterms:created>
  <dcterms:modified xsi:type="dcterms:W3CDTF">2026-06-07T21:50:13Z</dcterms:modified>
</cp:coreProperties>
</file>

<file path=docProps/custom.xml><?xml version="1.0" encoding="utf-8"?>
<Properties xmlns="http://schemas.openxmlformats.org/officeDocument/2006/custom-properties" xmlns:vt="http://schemas.openxmlformats.org/officeDocument/2006/docPropsVTypes"/>
</file>