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25960" w:name="provenance"/>
      <w:r>
        <w:rPr>
          <w:rFonts w:ascii="Arial" w:hAnsi="Arial"/>
          <w:b/>
          <w:color w:val="A12C7B"/>
          <w:sz w:val="32"/>
        </w:rPr>
        <w:t>Data provenance declaration</w:t>
      </w:r>
      <w:bookmarkEnd w:id="25960"/>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25311" w:name="toc"/>
      <w:r>
        <w:rPr>
          <w:rFonts w:ascii="Arial" w:hAnsi="Arial"/>
          <w:b/>
          <w:color w:val="141414"/>
          <w:sz w:val="32"/>
        </w:rPr>
        <w:t>Contents</w:t>
      </w:r>
      <w:bookmarkEnd w:id="25311"/>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25964" w:name="note_s1"/>
      <w:r>
        <w:rPr>
          <w:rFonts w:ascii="Arial" w:hAnsi="Arial"/>
          <w:b/>
          <w:color w:val="1F3A5F"/>
          <w:sz w:val="32"/>
        </w:rPr>
        <w:t>Note S1 — Bulbul (2019) transferability probe</w:t>
      </w:r>
      <w:bookmarkEnd w:id="25964"/>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858" w:name="note_s2"/>
      <w:r>
        <w:rPr>
          <w:rFonts w:ascii="Arial" w:hAnsi="Arial"/>
          <w:b/>
          <w:color w:val="1F3A5F"/>
          <w:sz w:val="32"/>
        </w:rPr>
        <w:t>Note S2 — Pre-Kharif Bay-of-Bengal cyclone climatology</w:t>
      </w:r>
      <w:bookmarkEnd w:id="858"/>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37234" w:name="note_s3"/>
      <w:r>
        <w:rPr>
          <w:rFonts w:ascii="Arial" w:hAnsi="Arial"/>
          <w:b/>
          <w:color w:val="1F3A5F"/>
          <w:sz w:val="32"/>
        </w:rPr>
        <w:t>Note S3 — Sentinel-1 dual-polarisation backscatter signatures</w:t>
      </w:r>
      <w:bookmarkEnd w:id="37234"/>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64260" w:name="table_s1"/>
      <w:r>
        <w:rPr>
          <w:rFonts w:ascii="Arial" w:hAnsi="Arial"/>
          <w:b/>
          <w:color w:val="1F3A5F"/>
          <w:sz w:val="32"/>
        </w:rPr>
        <w:t>Table S1 — Static TWFE-DiD point estimates</w:t>
      </w:r>
      <w:bookmarkEnd w:id="64260"/>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37907" w:name="table_s2"/>
      <w:r>
        <w:rPr>
          <w:rFonts w:ascii="Arial" w:hAnsi="Arial"/>
          <w:b/>
          <w:color w:val="1F3A5F"/>
          <w:sz w:val="32"/>
        </w:rPr>
        <w:t>Table S2 — Pre-trend tests</w:t>
      </w:r>
      <w:bookmarkEnd w:id="37907"/>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62781" w:name="table_s3"/>
      <w:r>
        <w:rPr>
          <w:rFonts w:ascii="Arial" w:hAnsi="Arial"/>
          <w:b/>
          <w:color w:val="1F3A5F"/>
          <w:sz w:val="32"/>
        </w:rPr>
        <w:t>Table S3 — Bulbul transferability residuals</w:t>
      </w:r>
      <w:bookmarkEnd w:id="62781"/>
    </w:p>
    <w:p>
      <w:pPr>
        <w:jc w:val="left"/>
      </w:pPr>
      <w:r>
        <w:rPr>
          <w:rFonts w:ascii="Arial" w:hAnsi="Arial"/>
          <w:b/>
          <w:sz w:val="20"/>
        </w:rPr>
        <w:t>Table S3.  Bulbul (Nov 2019) transferability probe. Predicted SOS shift uses the corrected-pipeline DiD coefficient τ̂ = +1.96 d (SE = 0.56); observed shift is the per-district 2020 SOS minus the 2017–2018 baseline. Residuals centred near zero and inside the 95 % prediction interval indicate the corrected pipeline generalises beyond the Fani / Amphan / Yaas training cohort to a different cyclone class (post-monsoon, rainfall-dominant) outside the 8 study districts.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District</w:t>
            </w:r>
          </w:p>
        </w:tc>
        <w:tc>
          <w:tcPr>
            <w:tcW w:type="dxa" w:w="1080"/>
          </w:tcPr>
          <w:p>
            <w:r>
              <w:rPr>
                <w:rFonts w:ascii="Arial" w:hAnsi="Arial"/>
                <w:b/>
                <w:sz w:val="18"/>
              </w:rPr>
              <w:t>Exposure class</w:t>
            </w:r>
          </w:p>
        </w:tc>
        <w:tc>
          <w:tcPr>
            <w:tcW w:type="dxa" w:w="1080"/>
          </w:tcPr>
          <w:p>
            <w:r>
              <w:rPr>
                <w:rFonts w:ascii="Arial" w:hAnsi="Arial"/>
                <w:b/>
                <w:sz w:val="18"/>
              </w:rPr>
              <w:t>Δ obs (d)</w:t>
            </w:r>
          </w:p>
        </w:tc>
        <w:tc>
          <w:tcPr>
            <w:tcW w:type="dxa" w:w="1080"/>
          </w:tcPr>
          <w:p>
            <w:r>
              <w:rPr>
                <w:rFonts w:ascii="Arial" w:hAnsi="Arial"/>
                <w:b/>
                <w:sz w:val="18"/>
              </w:rPr>
              <w:t>Δ pred (d)</w:t>
            </w:r>
          </w:p>
        </w:tc>
        <w:tc>
          <w:tcPr>
            <w:tcW w:type="dxa" w:w="1080"/>
          </w:tcPr>
          <w:p>
            <w:r>
              <w:rPr>
                <w:rFonts w:ascii="Arial" w:hAnsi="Arial"/>
                <w:b/>
                <w:sz w:val="18"/>
              </w:rPr>
              <w:t>Residual (d)</w:t>
            </w:r>
          </w:p>
        </w:tc>
        <w:tc>
          <w:tcPr>
            <w:tcW w:type="dxa" w:w="1080"/>
          </w:tcPr>
          <w:p>
            <w:r>
              <w:rPr>
                <w:rFonts w:ascii="Arial" w:hAnsi="Arial"/>
                <w:b/>
                <w:sz w:val="18"/>
              </w:rPr>
              <w:t>PI₂.₅</w:t>
            </w:r>
          </w:p>
        </w:tc>
        <w:tc>
          <w:tcPr>
            <w:tcW w:type="dxa" w:w="1080"/>
          </w:tcPr>
          <w:p>
            <w:r>
              <w:rPr>
                <w:rFonts w:ascii="Arial" w:hAnsi="Arial"/>
                <w:b/>
                <w:sz w:val="18"/>
              </w:rPr>
              <w:t>PI₉₇.₅</w:t>
            </w:r>
          </w:p>
        </w:tc>
        <w:tc>
          <w:tcPr>
            <w:tcW w:type="dxa" w:w="1080"/>
          </w:tcPr>
          <w:p>
            <w:r>
              <w:rPr>
                <w:rFonts w:ascii="Arial" w:hAnsi="Arial"/>
                <w:b/>
                <w:sz w:val="18"/>
              </w:rPr>
              <w:t>Inside 95 % PI?</w:t>
            </w:r>
          </w:p>
        </w:tc>
      </w:tr>
      <w:tr>
        <w:tc>
          <w:tcPr>
            <w:tcW w:type="dxa" w:w="1080"/>
          </w:tcPr>
          <w:p>
            <w:r>
              <w:rPr>
                <w:rFonts w:ascii="Arial" w:hAnsi="Arial"/>
                <w:sz w:val="18"/>
              </w:rPr>
              <w:t>Boudh</w:t>
            </w:r>
          </w:p>
        </w:tc>
        <w:tc>
          <w:tcPr>
            <w:tcW w:type="dxa" w:w="1080"/>
          </w:tcPr>
          <w:p>
            <w:r>
              <w:rPr>
                <w:rFonts w:ascii="Arial" w:hAnsi="Arial"/>
                <w:sz w:val="18"/>
              </w:rPr>
              <w:t>inland_rainfall</w:t>
            </w:r>
          </w:p>
        </w:tc>
        <w:tc>
          <w:tcPr>
            <w:tcW w:type="dxa" w:w="1080"/>
          </w:tcPr>
          <w:p>
            <w:r>
              <w:rPr>
                <w:rFonts w:ascii="Arial" w:hAnsi="Arial"/>
                <w:sz w:val="18"/>
              </w:rPr>
              <w:t>-0.124</w:t>
            </w:r>
          </w:p>
        </w:tc>
        <w:tc>
          <w:tcPr>
            <w:tcW w:type="dxa" w:w="1080"/>
          </w:tcPr>
          <w:p>
            <w:r>
              <w:rPr>
                <w:rFonts w:ascii="Arial" w:hAnsi="Arial"/>
                <w:sz w:val="18"/>
              </w:rPr>
              <w:t>1.962</w:t>
            </w:r>
          </w:p>
        </w:tc>
        <w:tc>
          <w:tcPr>
            <w:tcW w:type="dxa" w:w="1080"/>
          </w:tcPr>
          <w:p>
            <w:r>
              <w:rPr>
                <w:rFonts w:ascii="Arial" w:hAnsi="Arial"/>
                <w:sz w:val="18"/>
              </w:rPr>
              <w:t>-2.086</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Ganjam</w:t>
            </w:r>
          </w:p>
        </w:tc>
        <w:tc>
          <w:tcPr>
            <w:tcW w:type="dxa" w:w="1080"/>
          </w:tcPr>
          <w:p>
            <w:r>
              <w:rPr>
                <w:rFonts w:ascii="Arial" w:hAnsi="Arial"/>
                <w:sz w:val="18"/>
              </w:rPr>
              <w:t>coastal_rainfall</w:t>
            </w:r>
          </w:p>
        </w:tc>
        <w:tc>
          <w:tcPr>
            <w:tcW w:type="dxa" w:w="1080"/>
          </w:tcPr>
          <w:p>
            <w:r>
              <w:rPr>
                <w:rFonts w:ascii="Arial" w:hAnsi="Arial"/>
                <w:sz w:val="18"/>
              </w:rPr>
              <w:t>-3.887</w:t>
            </w:r>
          </w:p>
        </w:tc>
        <w:tc>
          <w:tcPr>
            <w:tcW w:type="dxa" w:w="1080"/>
          </w:tcPr>
          <w:p>
            <w:r>
              <w:rPr>
                <w:rFonts w:ascii="Arial" w:hAnsi="Arial"/>
                <w:sz w:val="18"/>
              </w:rPr>
              <w:t>1.962</w:t>
            </w:r>
          </w:p>
        </w:tc>
        <w:tc>
          <w:tcPr>
            <w:tcW w:type="dxa" w:w="1080"/>
          </w:tcPr>
          <w:p>
            <w:r>
              <w:rPr>
                <w:rFonts w:ascii="Arial" w:hAnsi="Arial"/>
                <w:sz w:val="18"/>
              </w:rPr>
              <w:t>-5.849</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Kandhamal</w:t>
            </w:r>
          </w:p>
        </w:tc>
        <w:tc>
          <w:tcPr>
            <w:tcW w:type="dxa" w:w="1080"/>
          </w:tcPr>
          <w:p>
            <w:r>
              <w:rPr>
                <w:rFonts w:ascii="Arial" w:hAnsi="Arial"/>
                <w:sz w:val="18"/>
              </w:rPr>
              <w:t>inland_rainfall</w:t>
            </w:r>
          </w:p>
        </w:tc>
        <w:tc>
          <w:tcPr>
            <w:tcW w:type="dxa" w:w="1080"/>
          </w:tcPr>
          <w:p>
            <w:r>
              <w:rPr>
                <w:rFonts w:ascii="Arial" w:hAnsi="Arial"/>
                <w:sz w:val="18"/>
              </w:rPr>
              <w:t>0.518</w:t>
            </w:r>
          </w:p>
        </w:tc>
        <w:tc>
          <w:tcPr>
            <w:tcW w:type="dxa" w:w="1080"/>
          </w:tcPr>
          <w:p>
            <w:r>
              <w:rPr>
                <w:rFonts w:ascii="Arial" w:hAnsi="Arial"/>
                <w:sz w:val="18"/>
              </w:rPr>
              <w:t>1.962</w:t>
            </w:r>
          </w:p>
        </w:tc>
        <w:tc>
          <w:tcPr>
            <w:tcW w:type="dxa" w:w="1080"/>
          </w:tcPr>
          <w:p>
            <w:r>
              <w:rPr>
                <w:rFonts w:ascii="Arial" w:hAnsi="Arial"/>
                <w:sz w:val="18"/>
              </w:rPr>
              <w:t>-1.444</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Khordha</w:t>
            </w:r>
          </w:p>
        </w:tc>
        <w:tc>
          <w:tcPr>
            <w:tcW w:type="dxa" w:w="1080"/>
          </w:tcPr>
          <w:p>
            <w:r>
              <w:rPr>
                <w:rFonts w:ascii="Arial" w:hAnsi="Arial"/>
                <w:sz w:val="18"/>
              </w:rPr>
              <w:t>coastal_rainfall</w:t>
            </w:r>
          </w:p>
        </w:tc>
        <w:tc>
          <w:tcPr>
            <w:tcW w:type="dxa" w:w="1080"/>
          </w:tcPr>
          <w:p>
            <w:r>
              <w:rPr>
                <w:rFonts w:ascii="Arial" w:hAnsi="Arial"/>
                <w:sz w:val="18"/>
              </w:rPr>
              <w:t>-1.057</w:t>
            </w:r>
          </w:p>
        </w:tc>
        <w:tc>
          <w:tcPr>
            <w:tcW w:type="dxa" w:w="1080"/>
          </w:tcPr>
          <w:p>
            <w:r>
              <w:rPr>
                <w:rFonts w:ascii="Arial" w:hAnsi="Arial"/>
                <w:sz w:val="18"/>
              </w:rPr>
              <w:t>1.962</w:t>
            </w:r>
          </w:p>
        </w:tc>
        <w:tc>
          <w:tcPr>
            <w:tcW w:type="dxa" w:w="1080"/>
          </w:tcPr>
          <w:p>
            <w:r>
              <w:rPr>
                <w:rFonts w:ascii="Arial" w:hAnsi="Arial"/>
                <w:sz w:val="18"/>
              </w:rPr>
              <w:t>-3.019</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Mayurbhanj</w:t>
            </w:r>
          </w:p>
        </w:tc>
        <w:tc>
          <w:tcPr>
            <w:tcW w:type="dxa" w:w="1080"/>
          </w:tcPr>
          <w:p>
            <w:r>
              <w:rPr>
                <w:rFonts w:ascii="Arial" w:hAnsi="Arial"/>
                <w:sz w:val="18"/>
              </w:rPr>
              <w:t>coastal_rainfall</w:t>
            </w:r>
          </w:p>
        </w:tc>
        <w:tc>
          <w:tcPr>
            <w:tcW w:type="dxa" w:w="1080"/>
          </w:tcPr>
          <w:p>
            <w:r>
              <w:rPr>
                <w:rFonts w:ascii="Arial" w:hAnsi="Arial"/>
                <w:sz w:val="18"/>
              </w:rPr>
              <w:t>1.577</w:t>
            </w:r>
          </w:p>
        </w:tc>
        <w:tc>
          <w:tcPr>
            <w:tcW w:type="dxa" w:w="1080"/>
          </w:tcPr>
          <w:p>
            <w:r>
              <w:rPr>
                <w:rFonts w:ascii="Arial" w:hAnsi="Arial"/>
                <w:sz w:val="18"/>
              </w:rPr>
              <w:t>1.962</w:t>
            </w:r>
          </w:p>
        </w:tc>
        <w:tc>
          <w:tcPr>
            <w:tcW w:type="dxa" w:w="1080"/>
          </w:tcPr>
          <w:p>
            <w:r>
              <w:rPr>
                <w:rFonts w:ascii="Arial" w:hAnsi="Arial"/>
                <w:sz w:val="18"/>
              </w:rPr>
              <w:t>-0.385</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yes</w:t>
            </w:r>
          </w:p>
        </w:tc>
      </w:tr>
      <w:tr>
        <w:tc>
          <w:tcPr>
            <w:tcW w:type="dxa" w:w="1080"/>
          </w:tcPr>
          <w:p>
            <w:r>
              <w:rPr>
                <w:rFonts w:ascii="Arial" w:hAnsi="Arial"/>
                <w:sz w:val="18"/>
              </w:rPr>
              <w:t>Nayagarh</w:t>
            </w:r>
          </w:p>
        </w:tc>
        <w:tc>
          <w:tcPr>
            <w:tcW w:type="dxa" w:w="1080"/>
          </w:tcPr>
          <w:p>
            <w:r>
              <w:rPr>
                <w:rFonts w:ascii="Arial" w:hAnsi="Arial"/>
                <w:sz w:val="18"/>
              </w:rPr>
              <w:t>inland_rainfall</w:t>
            </w:r>
          </w:p>
        </w:tc>
        <w:tc>
          <w:tcPr>
            <w:tcW w:type="dxa" w:w="1080"/>
          </w:tcPr>
          <w:p>
            <w:r>
              <w:rPr>
                <w:rFonts w:ascii="Arial" w:hAnsi="Arial"/>
                <w:sz w:val="18"/>
              </w:rPr>
              <w:t>3.298</w:t>
            </w:r>
          </w:p>
        </w:tc>
        <w:tc>
          <w:tcPr>
            <w:tcW w:type="dxa" w:w="1080"/>
          </w:tcPr>
          <w:p>
            <w:r>
              <w:rPr>
                <w:rFonts w:ascii="Arial" w:hAnsi="Arial"/>
                <w:sz w:val="18"/>
              </w:rPr>
              <w:t>1.962</w:t>
            </w:r>
          </w:p>
        </w:tc>
        <w:tc>
          <w:tcPr>
            <w:tcW w:type="dxa" w:w="1080"/>
          </w:tcPr>
          <w:p>
            <w:r>
              <w:rPr>
                <w:rFonts w:ascii="Arial" w:hAnsi="Arial"/>
                <w:sz w:val="18"/>
              </w:rPr>
              <w:t>1.336</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bl>
    <w:p/>
    <w:p>
      <w:r>
        <w:rPr>
          <w:rFonts w:ascii="Arial" w:hAnsi="Arial"/>
          <w:sz w:val="18"/>
        </w:rPr>
        <w:t>Summary. 1/6 districts inside 95 % PI.  Mean residual = -1.91 d (SD 2.44). If 'mean residual is near zero AND ≥7 of 8 districts inside PI', transferability is supported; if 'mean residual is large positive' the corrected pipeline over-fits the surge mechanism and Bulbul is genuinely a different DGP.</w:t>
      </w:r>
    </w:p>
    <w:p>
      <w:r>
        <w:rPr>
          <w:rFonts w:ascii="Arial" w:hAnsi="Arial"/>
          <w:sz w:val="20"/>
        </w:rPr>
        <w:br w:type="page"/>
      </w:r>
    </w:p>
    <w:p>
      <w:pPr>
        <w:keepNext/>
        <w:spacing w:before="240" w:after="120"/>
      </w:pPr>
      <w:bookmarkStart w:id="22920" w:name="table_s4"/>
      <w:r>
        <w:rPr>
          <w:rFonts w:ascii="Arial" w:hAnsi="Arial"/>
          <w:b/>
          <w:color w:val="1F3A5F"/>
          <w:sz w:val="32"/>
        </w:rPr>
        <w:t>Table S4 — Wild-cluster bootstrap (G = 8)</w:t>
      </w:r>
      <w:bookmarkEnd w:id="22920"/>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w:t>
            </w:r>
          </w:p>
        </w:tc>
        <w:tc>
          <w:tcPr>
            <w:tcW w:type="dxa" w:w="1080"/>
          </w:tcPr>
          <w:p>
            <w:r>
              <w:rPr>
                <w:rFonts w:ascii="Arial" w:hAnsi="Arial"/>
                <w:sz w:val="20"/>
              </w:rPr>
              <w:t>0.3710</w:t>
            </w:r>
          </w:p>
        </w:tc>
        <w:tc>
          <w:tcPr>
            <w:tcW w:type="dxa" w:w="1080"/>
          </w:tcPr>
          <w:p>
            <w:r>
              <w:rPr>
                <w:rFonts w:ascii="Arial" w:hAnsi="Arial"/>
                <w:sz w:val="20"/>
              </w:rPr>
              <w:t>-54.021</w:t>
            </w:r>
          </w:p>
        </w:tc>
        <w:tc>
          <w:tcPr>
            <w:tcW w:type="dxa" w:w="1080"/>
          </w:tcPr>
          <w:p>
            <w:r>
              <w:rPr>
                <w:rFonts w:ascii="Arial" w:hAnsi="Arial"/>
                <w:sz w:val="20"/>
              </w:rPr>
              <w:t>84.599</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w:t>
            </w:r>
          </w:p>
        </w:tc>
        <w:tc>
          <w:tcPr>
            <w:tcW w:type="dxa" w:w="1080"/>
          </w:tcPr>
          <w:p>
            <w:r>
              <w:rPr>
                <w:rFonts w:ascii="Arial" w:hAnsi="Arial"/>
                <w:sz w:val="20"/>
              </w:rPr>
              <w:t>0.2390</w:t>
            </w:r>
          </w:p>
        </w:tc>
        <w:tc>
          <w:tcPr>
            <w:tcW w:type="dxa" w:w="1080"/>
          </w:tcPr>
          <w:p>
            <w:r>
              <w:rPr>
                <w:rFonts w:ascii="Arial" w:hAnsi="Arial"/>
                <w:sz w:val="20"/>
              </w:rPr>
              <w:t>-15.114</w:t>
            </w:r>
          </w:p>
        </w:tc>
        <w:tc>
          <w:tcPr>
            <w:tcW w:type="dxa" w:w="1080"/>
          </w:tcPr>
          <w:p>
            <w:r>
              <w:rPr>
                <w:rFonts w:ascii="Arial" w:hAnsi="Arial"/>
                <w:sz w:val="20"/>
              </w:rPr>
              <w:t>7.941</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w:t>
            </w:r>
          </w:p>
        </w:tc>
        <w:tc>
          <w:tcPr>
            <w:tcW w:type="dxa" w:w="1080"/>
          </w:tcPr>
          <w:p>
            <w:r>
              <w:rPr>
                <w:rFonts w:ascii="Arial" w:hAnsi="Arial"/>
                <w:sz w:val="20"/>
              </w:rPr>
              <w:t>0.2050</w:t>
            </w:r>
          </w:p>
        </w:tc>
        <w:tc>
          <w:tcPr>
            <w:tcW w:type="dxa" w:w="1080"/>
          </w:tcPr>
          <w:p>
            <w:r>
              <w:rPr>
                <w:rFonts w:ascii="Arial" w:hAnsi="Arial"/>
                <w:sz w:val="20"/>
              </w:rPr>
              <w:t>-0.000</w:t>
            </w:r>
          </w:p>
        </w:tc>
        <w:tc>
          <w:tcPr>
            <w:tcW w:type="dxa" w:w="1080"/>
          </w:tcPr>
          <w:p>
            <w:r>
              <w:rPr>
                <w:rFonts w:ascii="Arial" w:hAnsi="Arial"/>
                <w:sz w:val="20"/>
              </w:rPr>
              <w:t>0.000</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w:t>
            </w:r>
          </w:p>
        </w:tc>
        <w:tc>
          <w:tcPr>
            <w:tcW w:type="dxa" w:w="1080"/>
          </w:tcPr>
          <w:p>
            <w:r>
              <w:rPr>
                <w:rFonts w:ascii="Arial" w:hAnsi="Arial"/>
                <w:sz w:val="20"/>
              </w:rPr>
              <w:t>0.3710</w:t>
            </w:r>
          </w:p>
        </w:tc>
        <w:tc>
          <w:tcPr>
            <w:tcW w:type="dxa" w:w="1080"/>
          </w:tcPr>
          <w:p>
            <w:r>
              <w:rPr>
                <w:rFonts w:ascii="Arial" w:hAnsi="Arial"/>
                <w:sz w:val="20"/>
              </w:rPr>
              <w:t>-54.021</w:t>
            </w:r>
          </w:p>
        </w:tc>
        <w:tc>
          <w:tcPr>
            <w:tcW w:type="dxa" w:w="1080"/>
          </w:tcPr>
          <w:p>
            <w:r>
              <w:rPr>
                <w:rFonts w:ascii="Arial" w:hAnsi="Arial"/>
                <w:sz w:val="20"/>
              </w:rPr>
              <w:t>84.599</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w:t>
            </w:r>
          </w:p>
        </w:tc>
        <w:tc>
          <w:tcPr>
            <w:tcW w:type="dxa" w:w="1080"/>
          </w:tcPr>
          <w:p>
            <w:r>
              <w:rPr>
                <w:rFonts w:ascii="Arial" w:hAnsi="Arial"/>
                <w:sz w:val="20"/>
              </w:rPr>
              <w:t>0.2390</w:t>
            </w:r>
          </w:p>
        </w:tc>
        <w:tc>
          <w:tcPr>
            <w:tcW w:type="dxa" w:w="1080"/>
          </w:tcPr>
          <w:p>
            <w:r>
              <w:rPr>
                <w:rFonts w:ascii="Arial" w:hAnsi="Arial"/>
                <w:sz w:val="20"/>
              </w:rPr>
              <w:t>-15.114</w:t>
            </w:r>
          </w:p>
        </w:tc>
        <w:tc>
          <w:tcPr>
            <w:tcW w:type="dxa" w:w="1080"/>
          </w:tcPr>
          <w:p>
            <w:r>
              <w:rPr>
                <w:rFonts w:ascii="Arial" w:hAnsi="Arial"/>
                <w:sz w:val="20"/>
              </w:rPr>
              <w:t>7.941</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w:t>
            </w:r>
          </w:p>
        </w:tc>
        <w:tc>
          <w:tcPr>
            <w:tcW w:type="dxa" w:w="1080"/>
          </w:tcPr>
          <w:p>
            <w:r>
              <w:rPr>
                <w:rFonts w:ascii="Arial" w:hAnsi="Arial"/>
                <w:sz w:val="20"/>
              </w:rPr>
              <w:t>0.2050</w:t>
            </w:r>
          </w:p>
        </w:tc>
        <w:tc>
          <w:tcPr>
            <w:tcW w:type="dxa" w:w="1080"/>
          </w:tcPr>
          <w:p>
            <w:r>
              <w:rPr>
                <w:rFonts w:ascii="Arial" w:hAnsi="Arial"/>
                <w:sz w:val="20"/>
              </w:rPr>
              <w:t>-0.000</w:t>
            </w:r>
          </w:p>
        </w:tc>
        <w:tc>
          <w:tcPr>
            <w:tcW w:type="dxa" w:w="1080"/>
          </w:tcPr>
          <w:p>
            <w:r>
              <w:rPr>
                <w:rFonts w:ascii="Arial" w:hAnsi="Arial"/>
                <w:sz w:val="20"/>
              </w:rPr>
              <w:t>0.000</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68149" w:name="table_s5"/>
      <w:r>
        <w:rPr>
          <w:rFonts w:ascii="Arial" w:hAnsi="Arial"/>
          <w:b/>
          <w:color w:val="1F3A5F"/>
          <w:sz w:val="32"/>
        </w:rPr>
        <w:t>Table S5 — Jackknife leave-one-out</w:t>
      </w:r>
      <w:bookmarkEnd w:id="68149"/>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13640" w:name="table_s6"/>
      <w:r>
        <w:rPr>
          <w:rFonts w:ascii="Arial" w:hAnsi="Arial"/>
          <w:b/>
          <w:color w:val="1F3A5F"/>
          <w:sz w:val="32"/>
        </w:rPr>
        <w:t>Table S6 — MDE / power</w:t>
      </w:r>
      <w:bookmarkEnd w:id="13640"/>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43743" w:name="table_s7"/>
      <w:r>
        <w:rPr>
          <w:rFonts w:ascii="Arial" w:hAnsi="Arial"/>
          <w:b/>
          <w:color w:val="1F3A5F"/>
          <w:sz w:val="32"/>
        </w:rPr>
        <w:t>Table S7 — Placebo / falsification</w:t>
      </w:r>
      <w:bookmarkEnd w:id="43743"/>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39839" w:name="table_s8"/>
      <w:r>
        <w:rPr>
          <w:rFonts w:ascii="Arial" w:hAnsi="Arial"/>
          <w:b/>
          <w:color w:val="1F3A5F"/>
          <w:sz w:val="32"/>
        </w:rPr>
        <w:t>Table S8 — Pre-Kharif cyclone climatology</w:t>
      </w:r>
      <w:bookmarkEnd w:id="39839"/>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43521" w:name="table_s9"/>
      <w:r>
        <w:rPr>
          <w:rFonts w:ascii="Arial" w:hAnsi="Arial"/>
          <w:b/>
          <w:color w:val="1F3A5F"/>
          <w:sz w:val="32"/>
        </w:rPr>
        <w:t>Table S9 — Canonical S1 dual-pol features</w:t>
      </w:r>
      <w:bookmarkEnd w:id="4352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36503" w:name="figure_s1"/>
      <w:r>
        <w:rPr>
          <w:rFonts w:ascii="Arial" w:hAnsi="Arial"/>
          <w:b/>
          <w:color w:val="1F3A5F"/>
          <w:sz w:val="32"/>
        </w:rPr>
        <w:t>Figure S1 — Pre-Kharif cyclone climatology</w:t>
      </w:r>
      <w:bookmarkEnd w:id="36503"/>
    </w:p>
    <w:p>
      <w:pPr>
        <w:jc w:val="center"/>
      </w:pPr>
      <w:r>
        <w:rPr>
          <w:rFonts w:ascii="Arial" w:hAnsi="Arial"/>
          <w:sz w:val="20"/>
        </w:rPr>
        <w:drawing>
          <wp:inline xmlns:a="http://schemas.openxmlformats.org/drawingml/2006/main" xmlns:pic="http://schemas.openxmlformats.org/drawingml/2006/picture">
            <wp:extent cx="5943600" cy="248745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48745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40606" w:name="figure_s2"/>
      <w:r>
        <w:rPr>
          <w:rFonts w:ascii="Arial" w:hAnsi="Arial"/>
          <w:b/>
          <w:color w:val="1F3A5F"/>
          <w:sz w:val="32"/>
        </w:rPr>
        <w:t>Figure S2 — Canonical Sentinel-1 backscatter signatures</w:t>
      </w:r>
      <w:bookmarkEnd w:id="40606"/>
    </w:p>
    <w:p>
      <w:pPr>
        <w:jc w:val="center"/>
      </w:pPr>
      <w:r>
        <w:rPr>
          <w:rFonts w:ascii="Arial" w:hAnsi="Arial"/>
          <w:sz w:val="20"/>
        </w:rPr>
        <w:drawing>
          <wp:inline xmlns:a="http://schemas.openxmlformats.org/drawingml/2006/main" xmlns:pic="http://schemas.openxmlformats.org/drawingml/2006/picture">
            <wp:extent cx="5943600" cy="5544868"/>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544868"/>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