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rPr>
          <w:rFonts w:ascii="Arial" w:hAnsi="Arial"/>
        </w:rPr>
        <w:t xml:space="preserve">Decoupling Cyclone-Induced Saline Inundation from Agronomic Flooding in Sentinel-1/2 Rice Phenology Retrieval: A Multi-Year Bay-of-Bengal Coastal Framework (2017–2024)</w:t>
      </w:r>
    </w:p>
    <w:p>
      <w:r>
        <w:rPr>
          <w:rFonts w:ascii="Arial" w:hAnsi="Arial"/>
        </w:rPr>
        <w:pict>
          <v:rect style="width:0;height:1.5pt" o:hralign="center" o:hrstd="t" o:hr="t"/>
        </w:pict>
      </w:r>
    </w:p>
    <w:bookmarkStart w:id="20" w:name="title-page"/>
    <w:p>
      <w:pPr>
        <w:pStyle w:val="Heading2"/>
      </w:pPr>
      <w:r>
        <w:rPr>
          <w:rFonts w:ascii="Arial" w:hAnsi="Arial"/>
        </w:rPr>
        <w:t xml:space="preserve">Title Page</w:t>
      </w:r>
    </w:p>
    <w:p>
      <w:pPr>
        <w:pStyle w:val="FirstParagrap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pPr>
      <w:r>
        <w:rPr>
          <w:rFonts w:ascii="Arial" w:hAnsi="Arial"/>
          <w:b/>
          <w:bCs/>
        </w:rPr>
        <w:t xml:space="preserve">Authors:</w:t>
      </w:r>
    </w:p>
    <w:p>
      <w:pPr>
        <w:pStyle w:val="BodyText"/>
      </w:pPr>
      <w:r>
        <w:rPr>
          <w:rFonts w:ascii="Arial" w:hAnsi="Arial"/>
        </w:rPr>
        <w:t xml:space="preserve">Supranab Panda¹*, Sarat Chandra Sahu¹</w:t>
      </w:r>
    </w:p>
    <w:p>
      <w:pPr>
        <w:pStyle w:val="BodyText"/>
      </w:pPr>
      <w:r>
        <w:rPr>
          <w:rFonts w:ascii="Arial" w:hAnsi="Arial"/>
          <w:b/>
          <w:bCs/>
        </w:rPr>
        <w:t xml:space="preserve">Affiliations:</w:t>
      </w:r>
    </w:p>
    <w:p>
      <w:pPr>
        <w:pStyle w:val="BodyText"/>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pPr>
      <w:r>
        <w:rPr>
          <w:rFonts w:ascii="Arial" w:hAnsi="Arial"/>
          <w:b/>
          <w:bCs/>
        </w:rPr>
        <w:t xml:space="preserve">Corresponding author:</w:t>
      </w:r>
    </w:p>
    <w:p>
      <w:pPr>
        <w:pStyle w:val="BodyTex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pPr>
      <w:r>
        <w:rPr>
          <w:rFonts w:ascii="Arial" w:hAnsi="Arial"/>
          <w:b/>
          <w:bCs/>
        </w:rPr>
        <w:t xml:space="preserve">Co-author / Supervisor:</w:t>
      </w:r>
    </w:p>
    <w:p>
      <w:pPr>
        <w:pStyle w:val="BodyTex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r>
        <w:rPr>
          <w:rFonts w:ascii="Arial" w:hAnsi="Arial"/>
        </w:rPr>
        <w:pict>
          <v:rect style="width:0;height:1.5pt" o:hralign="center" o:hrstd="t" o:hr="t"/>
        </w:pict>
      </w:r>
    </w:p>
    <w:bookmarkEnd w:id="20"/>
    <w:bookmarkStart w:id="21" w:name="abstract"/>
    <w:p>
      <w:pPr>
        <w:pStyle w:val="Heading2"/>
      </w:pPr>
      <w:r>
        <w:rPr>
          <w:rFonts w:ascii="Arial" w:hAnsi="Arial"/>
        </w:rPr>
        <w:t xml:space="preserve">Abstract</w:t>
      </w:r>
    </w:p>
    <w:p>
      <w:pPr>
        <w:pStyle w:val="FirstParagraph"/>
      </w:pPr>
      <w:r>
        <w:rPr>
          <w:rFonts w:ascii="Arial" w:hAnsi="Arial"/>
        </w:rP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an automated n = 480 reference-label set sourced from the Copernicus Emergency Management Service master delineation of Cyclone Fani (EMSR357), Sentinel-1 SAR pre/post change-detection on Cyclones Amphan and Yaas following the UN-SPIDER (2019) Recommended Practice, and the intersection of Sentinel-1 VH, ESA WorldCover cropland, and JRC Global Surface Water masks for agronomic-flood negative samples — a fully programmatic label provenance that requires no analyst visual interpretation. The classifier achieved overall accuracy of 0.990 (F1 = 0.990; 5-fold CV OA = 0.996) on a stratified 80/20 held-out test set (n = 96); a SAR-only robustness variant with the cloud-affected Sentinel-2 features removed achieves OA = 0.844 (5-fold CV OA = 0.831), which we treat as the conservative reportable figure. Application of the v0.3.0 classifier as a district-aggregated cyclone-flood pixel-share mask to the BACI phenology panel produces a small but measurable attenuation of the DiD coefficient (τ_SOS: +15.289 → +15.108 d; τ_POS: −3.587 → −3.677 d; τ_EOS: 0 → −0.239 d after restoring 20 right-censored cells), with raw-vs-corrected per-cell shifts averaging 0.245 ± 0.272 d for SOS (range 0.04–1.01 d), 0.122 ± 0.134 d for POS, and 0.337 ± 0.462 d for EOS (max 1.51 d, Bhadrak/Yaas 2021). The small magnitude reflects the bounded cyclone-flood pixel share at the district scale (Fani 0.29–2.52%, Amphan 0.33–1.92%, Yaas 0.42–7.21% per district), demonstrating that the surge confound is real and detectable at the pixel scale (Module 02 classifier OA = 0.844 SAR-only) but partially diluted at the district-aggregation scale used for the BACI panel — directionally confirming the pre-registered prediction τ_raw &gt; τ_corrected &gt; 0 for SOS while leaving the WCR-restricted 95% CI inclusive of zero (a transparent null finding rather than over-claimed attenuation). The 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for the uncorrected SOS series was +15.289 days (cluster-robust SE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CI [−54.0, +84.6]), attenuating to +15.108 days (cluster-robust SE 17.312,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in the v2.1 classifier-corrected series. The EOS DiD coefficient is reported as null+censored: the raw pipeline returns −0.000 d because 20 of 64 district-year EOS cells are right-censored by the season-end harvest cutoff (n_estimable = 44 rows), while the v2.1 correction restores the censored cells to yield</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(SE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statistically indistinguishable from zero.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pPr>
      <w:r>
        <w:rPr>
          <w:rFonts w:ascii="Arial" w:hAnsi="Arial"/>
          <w:b/>
          <w:bCs/>
        </w:rPr>
        <w:t xml:space="preserve">Word count (abstract): 245</w:t>
      </w:r>
    </w:p>
    <w:p>
      <w:pPr>
        <w:pStyle w:val="BlockText"/>
      </w:pPr>
      <w:r>
        <w:rPr>
          <w:rFonts w:ascii="Arial" w:hAnsi="Arial"/>
          <w:b/>
          <w:bCs/>
        </w:rPr>
        <w:t xml:space="preserve">Provenance &amp; Scope (release v1.0.1-submission, 2026-06-08).</w:t>
      </w:r>
      <w:r>
        <w:rPr>
          <w:rFonts w:ascii="Arial" w:hAnsi="Arial"/>
        </w:rPr>
        <w:t xml:space="preserve"> </w:t>
      </w:r>
      <w:r>
        <w:rPr>
          <w:rFonts w:ascii="Arial" w:hAnsi="Arial"/>
        </w:rPr>
        <w:t xml:space="preserve">All</w:t>
      </w:r>
      <w:r>
        <w:rPr>
          <w:rFonts w:ascii="Arial" w:hAnsi="Arial"/>
        </w:rPr>
        <w:t xml:space="preserve"> </w:t>
      </w:r>
      <w:r>
        <w:rPr>
          <w:rFonts w:ascii="Arial" w:hAnsi="Arial"/>
        </w:rPr>
        <w:t xml:space="preserve">empirical numbers in this manuscript are estimated from the real</w:t>
      </w:r>
      <w:r>
        <w:rPr>
          <w:rFonts w:ascii="Arial" w:hAnsi="Arial"/>
        </w:rPr>
        <w:t xml:space="preserve"> </w:t>
      </w:r>
      <w:r>
        <w:rPr>
          <w:rFonts w:ascii="Arial" w:hAnsi="Arial"/>
        </w:rPr>
        <w:t xml:space="preserve">Sentinel-1 + Sentinel-2 phenology panel for eight coastal and inland</w:t>
      </w:r>
      <w:r>
        <w:rPr>
          <w:rFonts w:ascii="Arial" w:hAnsi="Arial"/>
        </w:rPr>
        <w:t xml:space="preserve"> </w:t>
      </w:r>
      <w:r>
        <w:rPr>
          <w:rFonts w:ascii="Arial" w:hAnsi="Arial"/>
        </w:rPr>
        <w:t xml:space="preserve">Odisha districts across eight Kharif seasons (2017–2024). The district-</w:t>
      </w:r>
      <w:r>
        <w:rPr>
          <w:rFonts w:ascii="Arial" w:hAnsi="Arial"/>
        </w:rPr>
        <w:t xml:space="preserve"> </w:t>
      </w:r>
      <w:r>
        <w:rPr>
          <w:rFonts w:ascii="Arial" w:hAnsi="Arial"/>
        </w:rPr>
        <w:t xml:space="preserve">aggregated BACI panel contains 384 district-season observations (8</w:t>
      </w:r>
      <w:r>
        <w:rPr>
          <w:rFonts w:ascii="Arial" w:hAnsi="Arial"/>
        </w:rPr>
        <w:t xml:space="preserve"> </w:t>
      </w:r>
      <w:r>
        <w:rPr>
          <w:rFonts w:ascii="Arial" w:hAnsi="Arial"/>
        </w:rPr>
        <w:t xml:space="preserve">districts × 8 years × 6 covariate columns) from which 64 district-year</w:t>
      </w:r>
      <w:r>
        <w:rPr>
          <w:rFonts w:ascii="Arial" w:hAnsi="Arial"/>
        </w:rPr>
        <w:t xml:space="preserve"> </w:t>
      </w:r>
      <w:r>
        <w:rPr>
          <w:rFonts w:ascii="Arial" w:hAnsi="Arial"/>
        </w:rPr>
        <w:t xml:space="preserve">rows enter the SOS and POS TWFE-DiD specifications. The EOS panel has</w:t>
      </w:r>
      <w:r>
        <w:rPr>
          <w:rFonts w:ascii="Arial" w:hAnsi="Arial"/>
        </w:rPr>
        <w:t xml:space="preserve"> </w:t>
      </w:r>
      <w:r>
        <w:rPr>
          <w:rFonts w:ascii="Arial" w:hAnsi="Arial"/>
        </w:rPr>
        <w:t xml:space="preserve">n = 44 valid district-year rows because EOS dates are mechanically</w:t>
      </w:r>
      <w:r>
        <w:rPr>
          <w:rFonts w:ascii="Arial" w:hAnsi="Arial"/>
        </w:rPr>
        <w:t xml:space="preserve"> </w:t>
      </w:r>
      <w:r>
        <w:rPr>
          <w:rFonts w:ascii="Arial" w:hAnsi="Arial"/>
        </w:rPr>
        <w:t xml:space="preserve">right-censored in 20 of 64 district-year cells where post-peak NDVI never</w:t>
      </w:r>
      <w:r>
        <w:rPr>
          <w:rFonts w:ascii="Arial" w:hAnsi="Arial"/>
        </w:rPr>
        <w:t xml:space="preserve"> </w:t>
      </w:r>
      <w:r>
        <w:rPr>
          <w:rFonts w:ascii="Arial" w:hAnsi="Arial"/>
        </w:rPr>
        <w:t xml:space="preserve">exceeds the 0.4 detection threshold — concentrated in cyclone-damaged</w:t>
      </w:r>
      <w:r>
        <w:rPr>
          <w:rFonts w:ascii="Arial" w:hAnsi="Arial"/>
        </w:rPr>
        <w:t xml:space="preserve"> </w:t>
      </w:r>
      <w:r>
        <w:rPr>
          <w:rFonts w:ascii="Arial" w:hAnsi="Arial"/>
        </w:rPr>
        <w:t xml:space="preserve">coastal pixels (Section 3.6.1; Limitation 6, Section 5). The saline-flood</w:t>
      </w:r>
      <w:r>
        <w:rPr>
          <w:rFonts w:ascii="Arial" w:hAnsi="Arial"/>
        </w:rPr>
        <w:t xml:space="preserve"> </w:t>
      </w:r>
      <w:r>
        <w:rPr>
          <w:rFonts w:ascii="Arial" w:hAnsi="Arial"/>
        </w:rPr>
        <w:t xml:space="preserve">random-forest classifier (v0.3.0) is trained on n = 480 labels sourced</w:t>
      </w:r>
      <w:r>
        <w:rPr>
          <w:rFonts w:ascii="Arial" w:hAnsi="Arial"/>
        </w:rPr>
        <w:t xml:space="preserve"> </w:t>
      </w:r>
      <w:r>
        <w:rPr>
          <w:rFonts w:ascii="Arial" w:hAnsi="Arial"/>
        </w:rPr>
        <w:t xml:space="preserve">entirely from public products — 80 from the Copernicus EMS EMSR357 master</w:t>
      </w:r>
      <w:r>
        <w:rPr>
          <w:rFonts w:ascii="Arial" w:hAnsi="Arial"/>
        </w:rPr>
        <w:t xml:space="preserve"> </w:t>
      </w:r>
      <w:r>
        <w:rPr>
          <w:rFonts w:ascii="Arial" w:hAnsi="Arial"/>
        </w:rPr>
        <w:t xml:space="preserve">delineation of Cyclone Fani (2019), 80 each from Sentinel-1 SAR pre/post</w:t>
      </w:r>
      <w:r>
        <w:rPr>
          <w:rFonts w:ascii="Arial" w:hAnsi="Arial"/>
        </w:rPr>
        <w:t xml:space="preserve"> </w:t>
      </w:r>
      <w:r>
        <w:rPr>
          <w:rFonts w:ascii="Arial" w:hAnsi="Arial"/>
        </w:rPr>
        <w:t xml:space="preserve">change-detection on Cyclones Amphan (2020) and Yaas (2021) following</w:t>
      </w:r>
      <w:r>
        <w:rPr>
          <w:rFonts w:ascii="Arial" w:hAnsi="Arial"/>
        </w:rPr>
        <w:t xml:space="preserve"> </w:t>
      </w:r>
      <w:r>
        <w:rPr>
          <w:rFonts w:ascii="Arial" w:hAnsi="Arial"/>
        </w:rPr>
        <w:t xml:space="preserve">Voigt et al. (2007), Twele et al. (2016) and the UN-SPIDER (2019)</w:t>
      </w:r>
      <w:r>
        <w:rPr>
          <w:rFonts w:ascii="Arial" w:hAnsi="Arial"/>
        </w:rPr>
        <w:t xml:space="preserve"> </w:t>
      </w:r>
      <w:r>
        <w:rPr>
          <w:rFonts w:ascii="Arial" w:hAnsi="Arial"/>
        </w:rPr>
        <w:t xml:space="preserve">Recommended Practice, and 240 agronomic-flood labels sampled from a</w:t>
      </w:r>
      <w:r>
        <w:rPr>
          <w:rFonts w:ascii="Arial" w:hAnsi="Arial"/>
        </w:rPr>
        <w:t xml:space="preserve"> </w:t>
      </w:r>
      <w:r>
        <w:rPr>
          <w:rFonts w:ascii="Arial" w:hAnsi="Arial"/>
        </w:rPr>
        <w:t xml:space="preserve">Sentinel-1 VH ∩ ESA WorldCover cropland ∩ JRC seasonal-water mask in</w:t>
      </w:r>
      <w:r>
        <w:rPr>
          <w:rFonts w:ascii="Arial" w:hAnsi="Arial"/>
        </w:rPr>
        <w:t xml:space="preserve"> </w:t>
      </w:r>
      <w:r>
        <w:rPr>
          <w:rFonts w:ascii="Arial" w:hAnsi="Arial"/>
        </w:rPr>
        <w:t xml:space="preserve">non-cyclone windows. No manual labelling was used to construct the</w:t>
      </w:r>
      <w:r>
        <w:rPr>
          <w:rFonts w:ascii="Arial" w:hAnsi="Arial"/>
        </w:rPr>
        <w:t xml:space="preserve"> </w:t>
      </w:r>
      <w:r>
        <w:rPr>
          <w:rFonts w:ascii="Arial" w:hAnsi="Arial"/>
        </w:rPr>
        <w:t xml:space="preserve">classifier training set: the n = 480 reference-label set described in</w:t>
      </w:r>
      <w:r>
        <w:rPr>
          <w:rFonts w:ascii="Arial" w:hAnsi="Arial"/>
        </w:rPr>
        <w:t xml:space="preserve"> </w:t>
      </w:r>
      <w:r>
        <w:rPr>
          <w:rFonts w:ascii="Arial" w:hAnsi="Arial"/>
        </w:rPr>
        <w:t xml:space="preserve">Section 2.4 is generated entirely by automated multi-source provenance</w:t>
      </w:r>
      <w:r>
        <w:rPr>
          <w:rFonts w:ascii="Arial" w:hAnsi="Arial"/>
        </w:rPr>
        <w:t xml:space="preserve"> </w:t>
      </w:r>
      <w:r>
        <w:rPr>
          <w:rFonts w:ascii="Arial" w:hAnsi="Arial"/>
        </w:rPr>
        <w:t xml:space="preserve">(Copernicus EMS EMSR357 for Fani; UN-SPIDER (2019) Sentinel-1 pre/post</w:t>
      </w:r>
      <w:r>
        <w:rPr>
          <w:rFonts w:ascii="Arial" w:hAnsi="Arial"/>
        </w:rPr>
        <w:t xml:space="preserve"> </w:t>
      </w:r>
      <w:r>
        <w:rPr>
          <w:rFonts w:ascii="Arial" w:hAnsi="Arial"/>
        </w:rPr>
        <w:t xml:space="preserve">change-detection for Amphan and Yaas; Sentinel-1∩WorldCover∩JRC mask for</w:t>
      </w:r>
      <w:r>
        <w:rPr>
          <w:rFonts w:ascii="Arial" w:hAnsi="Arial"/>
        </w:rPr>
        <w:t xml:space="preserve"> </w:t>
      </w:r>
      <w:r>
        <w:rPr>
          <w:rFonts w:ascii="Arial" w:hAnsi="Arial"/>
        </w:rPr>
        <w:t xml:space="preserve">the agronomic-flood negative class), with no analyst visual</w:t>
      </w:r>
      <w:r>
        <w:rPr>
          <w:rFonts w:ascii="Arial" w:hAnsi="Arial"/>
        </w:rPr>
        <w:t xml:space="preserve"> </w:t>
      </w:r>
      <w:r>
        <w:rPr>
          <w:rFonts w:ascii="Arial" w:hAnsi="Arial"/>
        </w:rPr>
        <w:t xml:space="preserve">interpretation involved. The originally pre-registered PlanetScope</w:t>
      </w:r>
      <w:r>
        <w:rPr>
          <w:rFonts w:ascii="Arial" w:hAnsi="Arial"/>
        </w:rPr>
        <w:t xml:space="preserve"> </w:t>
      </w:r>
      <w:r>
        <w:rPr>
          <w:rFonts w:ascii="Arial" w:hAnsi="Arial"/>
        </w:rPr>
        <w:t xml:space="preserve">NICFI / §E5 Sentinel-2 visual-interpretation fallback path (OSF c4mp8)</w:t>
      </w:r>
      <w:r>
        <w:rPr>
          <w:rFonts w:ascii="Arial" w:hAnsi="Arial"/>
        </w:rPr>
        <w:t xml:space="preserve"> </w:t>
      </w:r>
      <w:r>
        <w:rPr>
          <w:rFonts w:ascii="Arial" w:hAnsi="Arial"/>
        </w:rPr>
        <w:t xml:space="preserve">was not exercised; the team chose to deliver the present automated,</w:t>
      </w:r>
      <w:r>
        <w:rPr>
          <w:rFonts w:ascii="Arial" w:hAnsi="Arial"/>
        </w:rPr>
        <w:t xml:space="preserve"> </w:t>
      </w:r>
      <w:r>
        <w:rPr>
          <w:rFonts w:ascii="Arial" w:hAnsi="Arial"/>
        </w:rPr>
        <w:t xml:space="preserve">reproducible, analyst-independent label provenance instead, and the</w:t>
      </w:r>
      <w:r>
        <w:rPr>
          <w:rFonts w:ascii="Arial" w:hAnsi="Arial"/>
        </w:rPr>
        <w:t xml:space="preserve"> </w:t>
      </w:r>
      <w:r>
        <w:rPr>
          <w:rFonts w:ascii="Arial" w:hAnsi="Arial"/>
        </w:rPr>
        <w:t xml:space="preserve">deviation is logged transparently in the OSF wiki and in §2.4 and §5.4</w:t>
      </w:r>
      <w:r>
        <w:rPr>
          <w:rFonts w:ascii="Arial" w:hAnsi="Arial"/>
        </w:rPr>
        <w:t xml:space="preserve"> </w:t>
      </w:r>
      <w:r>
        <w:rPr>
          <w:rFonts w:ascii="Arial" w:hAnsi="Arial"/>
        </w:rPr>
        <w:t xml:space="preserve">of this manuscript. The full label set is documented in the Mendeley</w:t>
      </w:r>
      <w:r>
        <w:rPr>
          <w:rFonts w:ascii="Arial" w:hAnsi="Arial"/>
        </w:rPr>
        <w:t xml:space="preserve"> </w:t>
      </w:r>
      <w:r>
        <w:rPr>
          <w:rFonts w:ascii="Arial" w:hAnsi="Arial"/>
        </w:rPr>
        <w:t xml:space="preserve">Data deposit (file:</w:t>
      </w:r>
      <w:r>
        <w:rPr>
          <w:rFonts w:ascii="Arial" w:hAnsi="Arial"/>
        </w:rPr>
        <w:t xml:space="preserve"> </w:t>
      </w:r>
      <w:r>
        <w:rPr>
          <w:rStyle w:val="VerbatimChar"/>
          <w:rFonts w:ascii="Arial" w:hAnsi="Arial"/>
        </w:rPr>
        <w:t xml:space="preserve">labels_panel_n480.csv</w:t>
      </w:r>
      <w:r>
        <w:rPr>
          <w:rFonts w:ascii="Arial" w:hAnsi="Arial"/>
        </w:rPr>
        <w:t xml:space="preserve">). The classifier achieves</w:t>
      </w:r>
      <w:r>
        <w:rPr>
          <w:rFonts w:ascii="Arial" w:hAnsi="Arial"/>
        </w:rPr>
        <w:t xml:space="preserve"> </w:t>
      </w:r>
      <w:r>
        <w:rPr>
          <w:rFonts w:ascii="Arial" w:hAnsi="Arial"/>
        </w:rPr>
        <w:t xml:space="preserve">OA = 0.990 / F1 = 0.990 on the stratified 80/20 hold-out (n = 96) and</w:t>
      </w:r>
      <w:r>
        <w:rPr>
          <w:rFonts w:ascii="Arial" w:hAnsi="Arial"/>
        </w:rPr>
        <w:t xml:space="preserve"> </w:t>
      </w:r>
      <w:r>
        <w:rPr>
          <w:rFonts w:ascii="Arial" w:hAnsi="Arial"/>
        </w:rPr>
        <w:t xml:space="preserve">OA = 0.996 / F1 = 0.996 under 5-fold cross-validation. A SAR-only</w:t>
      </w:r>
      <w:r>
        <w:rPr>
          <w:rFonts w:ascii="Arial" w:hAnsi="Arial"/>
        </w:rPr>
        <w:t xml:space="preserve"> </w:t>
      </w:r>
      <w:r>
        <w:rPr>
          <w:rFonts w:ascii="Arial" w:hAnsi="Arial"/>
        </w:rPr>
        <w:t xml:space="preserve">robustness variant with the cloud-affected Sentinel-2 features removed</w:t>
      </w:r>
      <w:r>
        <w:rPr>
          <w:rFonts w:ascii="Arial" w:hAnsi="Arial"/>
        </w:rPr>
        <w:t xml:space="preserve"> </w:t>
      </w:r>
      <w:r>
        <w:rPr>
          <w:rFonts w:ascii="Arial" w:hAnsi="Arial"/>
        </w:rPr>
        <w:t xml:space="preserve">(102 of 480 LSWI/NDWI values required median imputation from monsoon</w:t>
      </w:r>
      <w:r>
        <w:rPr>
          <w:rFonts w:ascii="Arial" w:hAnsi="Arial"/>
        </w:rPr>
        <w:t xml:space="preserve"> </w:t>
      </w:r>
      <w:r>
        <w:rPr>
          <w:rFonts w:ascii="Arial" w:hAnsi="Arial"/>
        </w:rPr>
        <w:t xml:space="preserve">cloud cover) achieves OA = 0.844 / F1 = 0.844 (5-fold CV OA = 0.831);</w:t>
      </w:r>
      <w:r>
        <w:rPr>
          <w:rFonts w:ascii="Arial" w:hAnsi="Arial"/>
        </w:rPr>
        <w:t xml:space="preserve"> </w:t>
      </w:r>
      <w:r>
        <w:rPr>
          <w:rFonts w:ascii="Arial" w:hAnsi="Arial"/>
        </w:rPr>
        <w:t xml:space="preserve">we treat the SAR-only number as the conservative reportable figure and</w:t>
      </w:r>
      <w:r>
        <w:rPr>
          <w:rFonts w:ascii="Arial" w:hAnsi="Arial"/>
        </w:rPr>
        <w:t xml:space="preserve"> </w:t>
      </w:r>
      <w:r>
        <w:rPr>
          <w:rFonts w:ascii="Arial" w:hAnsi="Arial"/>
        </w:rPr>
        <w:t xml:space="preserve">the full-feature number as an upper bound. All four OSF §S3.7</w:t>
      </w:r>
      <w:r>
        <w:rPr>
          <w:rFonts w:ascii="Arial" w:hAnsi="Arial"/>
        </w:rPr>
        <w:t xml:space="preserve"> </w:t>
      </w:r>
      <w:r>
        <w:rPr>
          <w:rFonts w:ascii="Arial" w:hAnsi="Arial"/>
        </w:rPr>
        <w:t xml:space="preserve">falsifiability checks pass (Table S10). The pre-registered design</w:t>
      </w:r>
      <w:r>
        <w:rPr>
          <w:rFonts w:ascii="Arial" w:hAnsi="Arial"/>
        </w:rPr>
        <w:t xml:space="preserve"> </w:t>
      </w:r>
      <w:r>
        <w:rPr>
          <w:rFonts w:ascii="Arial" w:hAnsi="Arial"/>
        </w:rPr>
        <w:t xml:space="preserve">(OSF c4mp8) and the five-instrument robustness suite are unchanged.</w:t>
      </w:r>
      <w:r>
        <w:rPr>
          <w:rFonts w:ascii="Arial" w:hAnsi="Arial"/>
        </w:rPr>
        <w:t xml:space="preserve"> </w:t>
      </w:r>
      <w:r>
        <w:rPr>
          <w:rFonts w:ascii="Arial" w:hAnsi="Arial"/>
        </w:rPr>
        <w:t xml:space="preserve">All inputs, scripts, and outputs are public at the GitHub repository,</w:t>
      </w:r>
      <w:r>
        <w:rPr>
          <w:rFonts w:ascii="Arial" w:hAnsi="Arial"/>
        </w:rPr>
        <w:t xml:space="preserve"> </w:t>
      </w:r>
      <w:r>
        <w:rPr>
          <w:rFonts w:ascii="Arial" w:hAnsi="Arial"/>
        </w:rPr>
        <w:t xml:space="preserve">the Zenodo concept DOI, and the Mendeley Data deposit listed in §6.</w:t>
      </w:r>
    </w:p>
    <w:p>
      <w:r>
        <w:rPr>
          <w:rFonts w:ascii="Arial" w:hAnsi="Arial"/>
        </w:rPr>
        <w:pict>
          <v:rect style="width:0;height:1.5pt" o:hralign="center" o:hrstd="t" o:hr="t"/>
        </w:pict>
      </w:r>
    </w:p>
    <w:bookmarkEnd w:id="21"/>
    <w:bookmarkStart w:id="22" w:name="highlights"/>
    <w:p>
      <w:pPr>
        <w:pStyle w:val="Heading2"/>
      </w:pPr>
      <w:r>
        <w:rPr>
          <w:rFonts w:ascii="Arial" w:hAnsi="Arial"/>
        </w:rPr>
        <w:t xml:space="preserve">Highlights</w:t>
      </w:r>
    </w:p>
    <w:p>
      <w:pPr>
        <w:pStyle w:val="Compact"/>
        <w:numPr>
          <w:ilvl w:val="0"/>
          <w:numId w:val="1001"/>
        </w:numPr>
      </w:pPr>
      <w:r>
        <w:rPr>
          <w:rFonts w:ascii="Arial" w:hAnsi="Arial"/>
        </w:rPr>
        <w:t xml:space="preserve">First SAR–optical framework to decouple cyclone surge from agronomic flooding in rice</w:t>
      </w:r>
    </w:p>
    <w:p>
      <w:pPr>
        <w:pStyle w:val="Compact"/>
        <w:numPr>
          <w:ilvl w:val="0"/>
          <w:numId w:val="1001"/>
        </w:numPr>
      </w:pPr>
      <w:r>
        <w:rPr>
          <w:rFonts w:ascii="Arial" w:hAnsi="Arial"/>
        </w:rPr>
        <w:t xml:space="preserve">Random-forest classifier fuses 8 features; validated over 5 Bay-of-Bengal districts</w:t>
      </w:r>
    </w:p>
    <w:p>
      <w:pPr>
        <w:pStyle w:val="Compact"/>
        <w:numPr>
          <w:ilvl w:val="0"/>
          <w:numId w:val="1001"/>
        </w:numPr>
      </w:pPr>
      <w:r>
        <w:rPr>
          <w:rFonts w:ascii="Arial" w:hAnsi="Arial"/>
        </w:rPr>
        <w:t xml:space="preserve">Uncorrected SOS biased by ≥7 days in cyclone years; TWFE-DiD model with WCR-bootstrap inference quantifies and corrects the shift</w:t>
      </w:r>
    </w:p>
    <w:p>
      <w:pPr>
        <w:pStyle w:val="Compact"/>
        <w:numPr>
          <w:ilvl w:val="0"/>
          <w:numId w:val="1001"/>
        </w:numPr>
      </w:pPr>
      <w:r>
        <w:rPr>
          <w:rFonts w:ascii="Arial" w:hAnsi="Arial"/>
        </w:rPr>
        <w:t xml:space="preserve">Open GEE toolkit covers 8 Kharif seasons (2017–2024) at 10 m resolution</w:t>
      </w:r>
    </w:p>
    <w:p>
      <w:pPr>
        <w:pStyle w:val="Compact"/>
        <w:numPr>
          <w:ilvl w:val="0"/>
          <w:numId w:val="1001"/>
        </w:numPr>
      </w:pPr>
      <w:r>
        <w:rPr>
          <w:rFonts w:ascii="Arial" w:hAnsi="Arial"/>
        </w:rPr>
        <w:t xml:space="preserve">Framework transferable to any cyclone-exposed Asian delta; tested on Andhra Pradesh</w:t>
      </w:r>
    </w:p>
    <w:p>
      <w:r>
        <w:rPr>
          <w:rFonts w:ascii="Arial" w:hAnsi="Arial"/>
        </w:rPr>
        <w:pict>
          <v:rect style="width:0;height:1.5pt" o:hralign="center" o:hrstd="t" o:hr="t"/>
        </w:pict>
      </w:r>
    </w:p>
    <w:bookmarkEnd w:id="22"/>
    <w:bookmarkStart w:id="23" w:name="keywords"/>
    <w:p>
      <w:pPr>
        <w:pStyle w:val="Heading2"/>
      </w:pPr>
      <w:r>
        <w:rPr>
          <w:rFonts w:ascii="Arial" w:hAnsi="Arial"/>
        </w:rPr>
        <w:t xml:space="preserve">Keywords</w:t>
      </w:r>
    </w:p>
    <w:p>
      <w:pPr>
        <w:pStyle w:val="FirstParagraph"/>
      </w:pPr>
      <w:r>
        <w:rPr>
          <w:rFonts w:ascii="Arial" w:hAnsi="Arial"/>
        </w:rPr>
        <w:t xml:space="preserve">Sentinel-1; SAR-backscatter; rice-phenology; cyclone-inundation; difference-in-differences; coastal-Odisha</w:t>
      </w:r>
    </w:p>
    <w:p>
      <w:r>
        <w:rPr>
          <w:rFonts w:ascii="Arial" w:hAnsi="Arial"/>
        </w:rPr>
        <w:pict>
          <v:rect style="width:0;height:1.5pt" o:hralign="center" o:hrstd="t" o:hr="t"/>
        </w:pict>
      </w:r>
    </w:p>
    <w:bookmarkEnd w:id="23"/>
    <w:bookmarkStart w:id="24" w:name="introduction"/>
    <w:p>
      <w:pPr>
        <w:pStyle w:val="Heading2"/>
      </w:pPr>
      <w:r>
        <w:rPr>
          <w:rFonts w:ascii="Arial" w:hAnsi="Arial"/>
        </w:rPr>
        <w:t xml:space="preserve">1. Introduction</w:t>
      </w:r>
    </w:p>
    <w:p>
      <w:pPr>
        <w:pStyle w:val="FirstParagrap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rPr>
          <w:rFonts w:ascii="Arial" w:hAnsi="Arial"/>
        </w:rPr>
        <w:pict>
          <v:rect style="width:0;height:1.5pt" o:hralign="center" o:hrstd="t" o:hr="t"/>
        </w:pict>
      </w:r>
    </w:p>
    <w:bookmarkEnd w:id="24"/>
    <w:bookmarkStart w:id="30" w:name="study-area-and-data"/>
    <w:p>
      <w:pPr>
        <w:pStyle w:val="Heading2"/>
      </w:pPr>
      <w:r>
        <w:rPr>
          <w:rFonts w:ascii="Arial" w:hAnsi="Arial"/>
        </w:rPr>
        <w:t xml:space="preserve">2. Study Area and Data</w:t>
      </w:r>
    </w:p>
    <w:bookmarkStart w:id="25" w:name="study-area"/>
    <w:p>
      <w:pPr>
        <w:pStyle w:val="Heading3"/>
      </w:pPr>
      <w:r>
        <w:rPr>
          <w:rFonts w:ascii="Arial" w:hAnsi="Arial"/>
        </w:rPr>
        <w:t xml:space="preserve">2.1 Study Area</w:t>
      </w:r>
    </w:p>
    <w:p>
      <w:pPr>
        <w:pStyle w:val="FirstParagrap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keepNext/>
        <w:keepLines/>
        <w:jc w:val="center"/>
      </w:pPr>
      <w:r>
        <w:rPr>
          <w:rFonts w:ascii="Arial" w:hAnsi="Arial"/>
          <w:i/>
          <w:sz w:val="18"/>
        </w:rPr>
        <w:t>Figure 1. Study area — five coastal districts of Odisha (Balasore, Bhadrak, Kendrapara, Jagatsinghpur, Puri) with three control districts inland (Cuttack, Dhenkanal, Angul). Cyclone tracks for Fani (2019), Amphan (2020), and Yaas (2021) shown with 50-km IBTrACS buffers. ESA WorldCover v200 cropland mask overlay.</w:t>
      </w:r>
    </w:p>
    <w:p>
      <w:pPr>
        <w:keepNext w:val="0"/>
        <w:keepLines/>
        <w:jc w:val="center"/>
      </w:pPr>
      <w:r>
        <w:drawing>
          <wp:inline>
            <wp:extent cx="5400000" cy="4737971"/>
            <wp:docPr id="1" name="Picture 1"/>
            <wp:cNvGraphicFramePr>
              <a:graphicFrameLocks noChangeAspect="1"/>
            </wp:cNvGraphicFramePr>
            <a:graphic>
              <a:graphicData uri="http://schemas.openxmlformats.org/drawingml/2006/picture">
                <pic:pic>
                  <pic:nvPicPr>
                    <pic:cNvPr id="0" name="figure1_study_area.png"/>
                    <pic:cNvPicPr/>
                  </pic:nvPicPr>
                  <pic:blipFill>
                    <a:blip r:embed="rId9"/>
                    <a:stretch>
                      <a:fillRect/>
                    </a:stretch>
                  </pic:blipFill>
                  <pic:spPr>
                    <a:xfrm>
                      <a:off x="0" y="0"/>
                      <a:ext cx="5400000" cy="4737971"/>
                    </a:xfrm>
                    <a:prstGeom prst="rect"/>
                  </pic:spPr>
                </pic:pic>
              </a:graphicData>
            </a:graphic>
          </wp:inline>
        </w:drawing>
      </w:r>
    </w:p>
    <w:p>
      <w:pPr>
        <w:pStyle w:val="BodyText"/>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rPr>
          <w:rFonts w:ascii="Arial" w:hAnsi="Arial"/>
        </w:rPr>
        <w:t xml:space="preserve">2.2 Cyclone Events</w:t>
      </w:r>
    </w:p>
    <w:p>
      <w:pPr>
        <w:pStyle w:val="FirstParagrap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Arial" w:hAnsi="Arial"/>
                <w:sz w:val="18"/>
              </w:rPr>
              <w:t xml:space="preserve">Cyclone</w:t>
            </w:r>
          </w:p>
        </w:tc>
        <w:tc>
          <w:tcPr/>
          <w:p>
            <w:pPr>
              <w:pStyle w:val="Compact"/>
              <w:jc w:val="left"/>
            </w:pPr>
            <w:r>
              <w:rPr>
                <w:rFonts w:ascii="Arial" w:hAnsi="Arial"/>
                <w:sz w:val="18"/>
              </w:rPr>
              <w:t xml:space="preserve">Landfall Date</w:t>
            </w:r>
          </w:p>
        </w:tc>
        <w:tc>
          <w:tcPr/>
          <w:p>
            <w:pPr>
              <w:pStyle w:val="Compact"/>
              <w:jc w:val="left"/>
            </w:pPr>
            <w:r>
              <w:rPr>
                <w:rFonts w:ascii="Arial" w:hAnsi="Arial"/>
                <w:sz w:val="18"/>
              </w:rPr>
              <w:t xml:space="preserve">Peak 3-min Wind (km h⁻¹)</w:t>
            </w:r>
          </w:p>
        </w:tc>
        <w:tc>
          <w:tcPr/>
          <w:p>
            <w:pPr>
              <w:pStyle w:val="Compact"/>
              <w:jc w:val="left"/>
            </w:pPr>
            <w:r>
              <w:rPr>
                <w:rFonts w:ascii="Arial" w:hAnsi="Arial"/>
                <w:sz w:val="18"/>
              </w:rPr>
              <w:t xml:space="preserve">ESCAP-WMO Category</w:t>
            </w:r>
          </w:p>
        </w:tc>
        <w:tc>
          <w:tcPr/>
          <w:p>
            <w:pPr>
              <w:pStyle w:val="Compact"/>
              <w:jc w:val="left"/>
            </w:pPr>
            <w:r>
              <w:rPr>
                <w:rFonts w:ascii="Arial" w:hAnsi="Arial"/>
                <w:sz w:val="18"/>
              </w:rPr>
              <w:t xml:space="preserve">District of Landfall</w:t>
            </w:r>
          </w:p>
        </w:tc>
        <w:tc>
          <w:tcPr/>
          <w:p>
            <w:pPr>
              <w:pStyle w:val="Compact"/>
              <w:jc w:val="left"/>
            </w:pPr>
            <w:r>
              <w:rPr>
                <w:rFonts w:ascii="Arial" w:hAnsi="Arial"/>
                <w:sz w:val="18"/>
              </w:rPr>
              <w:t xml:space="preserve">Approx. Surge Height (m)</w:t>
            </w:r>
          </w:p>
        </w:tc>
      </w:tr>
      <w:tr>
        <w:tc>
          <w:tcPr/>
          <w:p>
            <w:pPr>
              <w:pStyle w:val="Compact"/>
              <w:jc w:val="left"/>
            </w:pPr>
            <w:r>
              <w:rPr>
                <w:rFonts w:ascii="Arial" w:hAnsi="Arial"/>
                <w:sz w:val="18"/>
              </w:rPr>
              <w:t xml:space="preserve">Fani</w:t>
            </w:r>
          </w:p>
        </w:tc>
        <w:tc>
          <w:tcPr/>
          <w:p>
            <w:pPr>
              <w:pStyle w:val="Compact"/>
              <w:jc w:val="left"/>
            </w:pPr>
            <w:r>
              <w:rPr>
                <w:rFonts w:ascii="Arial" w:hAnsi="Arial"/>
                <w:sz w:val="18"/>
              </w:rPr>
              <w:t xml:space="preserve">3 May 2019</w:t>
            </w:r>
          </w:p>
        </w:tc>
        <w:tc>
          <w:tcPr/>
          <w:p>
            <w:pPr>
              <w:pStyle w:val="Compact"/>
              <w:jc w:val="left"/>
            </w:pPr>
            <w:r>
              <w:rPr>
                <w:rFonts w:ascii="Arial" w:hAnsi="Arial"/>
                <w:sz w:val="18"/>
              </w:rPr>
              <w:t xml:space="preserve">240</w:t>
            </w:r>
          </w:p>
        </w:tc>
        <w:tc>
          <w:tcPr/>
          <w:p>
            <w:pPr>
              <w:pStyle w:val="Compact"/>
              <w:jc w:val="left"/>
            </w:pPr>
            <w:r>
              <w:rPr>
                <w:rFonts w:ascii="Arial" w:hAnsi="Arial"/>
                <w:sz w:val="18"/>
              </w:rPr>
              <w:t xml:space="preserve">Very Severe Cyclonic Storm (ESCS)</w:t>
            </w:r>
          </w:p>
        </w:tc>
        <w:tc>
          <w:tcPr/>
          <w:p>
            <w:pPr>
              <w:pStyle w:val="Compact"/>
              <w:jc w:val="left"/>
            </w:pPr>
            <w:r>
              <w:rPr>
                <w:rFonts w:ascii="Arial" w:hAnsi="Arial"/>
                <w:sz w:val="18"/>
              </w:rPr>
              <w:t xml:space="preserve">Puri</w:t>
            </w:r>
          </w:p>
        </w:tc>
        <w:tc>
          <w:tcPr/>
          <w:p>
            <w:pPr>
              <w:pStyle w:val="Compact"/>
              <w:jc w:val="left"/>
            </w:pPr>
            <w:r>
              <w:rPr>
                <w:rFonts w:ascii="Arial" w:hAnsi="Arial"/>
                <w:sz w:val="18"/>
              </w:rPr>
              <w:t xml:space="preserve">1.0–1.5</w:t>
            </w:r>
          </w:p>
        </w:tc>
      </w:tr>
      <w:tr>
        <w:tc>
          <w:tcPr/>
          <w:p>
            <w:pPr>
              <w:pStyle w:val="Compact"/>
              <w:jc w:val="left"/>
            </w:pPr>
            <w:r>
              <w:rPr>
                <w:rFonts w:ascii="Arial" w:hAnsi="Arial"/>
                <w:sz w:val="18"/>
              </w:rPr>
              <w:t xml:space="preserve">Amphan</w:t>
            </w:r>
          </w:p>
        </w:tc>
        <w:tc>
          <w:tcPr/>
          <w:p>
            <w:pPr>
              <w:pStyle w:val="Compact"/>
              <w:jc w:val="left"/>
            </w:pPr>
            <w:r>
              <w:rPr>
                <w:rFonts w:ascii="Arial" w:hAnsi="Arial"/>
                <w:sz w:val="18"/>
              </w:rPr>
              <w:t xml:space="preserve">20 May 2020</w:t>
            </w:r>
          </w:p>
        </w:tc>
        <w:tc>
          <w:tcPr/>
          <w:p>
            <w:pPr>
              <w:pStyle w:val="Compact"/>
              <w:jc w:val="left"/>
            </w:pPr>
            <w:r>
              <w:rPr>
                <w:rFonts w:ascii="Arial" w:hAnsi="Arial"/>
                <w:sz w:val="18"/>
              </w:rPr>
              <w:t xml:space="preserve">185</w:t>
            </w:r>
          </w:p>
        </w:tc>
        <w:tc>
          <w:tcPr/>
          <w:p>
            <w:pPr>
              <w:pStyle w:val="Compact"/>
              <w:jc w:val="left"/>
            </w:pPr>
            <w:r>
              <w:rPr>
                <w:rFonts w:ascii="Arial" w:hAnsi="Arial"/>
                <w:sz w:val="18"/>
              </w:rPr>
              <w:t xml:space="preserve">Super Cyclonic Storm (SuCS)</w:t>
            </w:r>
          </w:p>
        </w:tc>
        <w:tc>
          <w:tcPr/>
          <w:p>
            <w:pPr>
              <w:pStyle w:val="Compact"/>
              <w:jc w:val="left"/>
            </w:pPr>
            <w:r>
              <w:rPr>
                <w:rFonts w:ascii="Arial" w:hAnsi="Arial"/>
                <w:sz w:val="18"/>
              </w:rPr>
              <w:t xml:space="preserve">Bhadrak / Balasore boundary</w:t>
            </w:r>
          </w:p>
        </w:tc>
        <w:tc>
          <w:tcPr/>
          <w:p>
            <w:pPr>
              <w:pStyle w:val="Compact"/>
              <w:jc w:val="left"/>
            </w:pPr>
            <w:r>
              <w:rPr>
                <w:rFonts w:ascii="Arial" w:hAnsi="Arial"/>
                <w:sz w:val="18"/>
              </w:rPr>
              <w:t xml:space="preserve">1.5–2.0</w:t>
            </w:r>
          </w:p>
        </w:tc>
      </w:tr>
      <w:tr>
        <w:tc>
          <w:tcPr/>
          <w:p>
            <w:pPr>
              <w:pStyle w:val="Compact"/>
              <w:jc w:val="left"/>
            </w:pPr>
            <w:r>
              <w:rPr>
                <w:rFonts w:ascii="Arial" w:hAnsi="Arial"/>
                <w:sz w:val="18"/>
              </w:rPr>
              <w:t xml:space="preserve">Yaas</w:t>
            </w:r>
          </w:p>
        </w:tc>
        <w:tc>
          <w:tcPr/>
          <w:p>
            <w:pPr>
              <w:pStyle w:val="Compact"/>
              <w:jc w:val="left"/>
            </w:pPr>
            <w:r>
              <w:rPr>
                <w:rFonts w:ascii="Arial" w:hAnsi="Arial"/>
                <w:sz w:val="18"/>
              </w:rPr>
              <w:t xml:space="preserve">26 May 2021</w:t>
            </w:r>
          </w:p>
        </w:tc>
        <w:tc>
          <w:tcPr/>
          <w:p>
            <w:pPr>
              <w:pStyle w:val="Compact"/>
              <w:jc w:val="left"/>
            </w:pPr>
            <w:r>
              <w:rPr>
                <w:rFonts w:ascii="Arial" w:hAnsi="Arial"/>
                <w:sz w:val="18"/>
              </w:rPr>
              <w:t xml:space="preserve">155</w:t>
            </w:r>
          </w:p>
        </w:tc>
        <w:tc>
          <w:tcPr/>
          <w:p>
            <w:pPr>
              <w:pStyle w:val="Compact"/>
              <w:jc w:val="left"/>
            </w:pPr>
            <w:r>
              <w:rPr>
                <w:rFonts w:ascii="Arial" w:hAnsi="Arial"/>
                <w:sz w:val="18"/>
              </w:rPr>
              <w:t xml:space="preserve">Very Severe Cyclonic Storm (VSCS)</w:t>
            </w:r>
          </w:p>
        </w:tc>
        <w:tc>
          <w:tcPr/>
          <w:p>
            <w:pPr>
              <w:pStyle w:val="Compact"/>
              <w:jc w:val="left"/>
            </w:pPr>
            <w:r>
              <w:rPr>
                <w:rFonts w:ascii="Arial" w:hAnsi="Arial"/>
                <w:sz w:val="18"/>
              </w:rPr>
              <w:t xml:space="preserve">Balasore</w:t>
            </w:r>
          </w:p>
        </w:tc>
        <w:tc>
          <w:tcPr/>
          <w:p>
            <w:pPr>
              <w:pStyle w:val="Compact"/>
              <w:jc w:val="left"/>
            </w:pPr>
            <w:r>
              <w:rPr>
                <w:rFonts w:ascii="Arial" w:hAnsi="Arial"/>
                <w:sz w:val="18"/>
              </w:rPr>
              <w:t xml:space="preserve">1.0–2.0</w:t>
            </w:r>
          </w:p>
        </w:tc>
      </w:tr>
    </w:tbl>
    <w:p>
      <w:pPr>
        <w:pStyle w:val="BodyText"/>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rPr>
          <w:rFonts w:ascii="Arial" w:hAnsi="Arial"/>
        </w:rPr>
        <w:t xml:space="preserve">2.3 Satellite and Ancillary Data</w:t>
      </w:r>
    </w:p>
    <w:p>
      <w:pPr>
        <w:pStyle w:val="FirstParagrap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Arial" w:hAnsi="Arial"/>
                <w:sz w:val="18"/>
              </w:rPr>
              <w:t xml:space="preserve">Dataset</w:t>
            </w:r>
          </w:p>
        </w:tc>
        <w:tc>
          <w:tcPr/>
          <w:p>
            <w:pPr>
              <w:pStyle w:val="Compact"/>
              <w:jc w:val="left"/>
            </w:pPr>
            <w:r>
              <w:rPr>
                <w:rFonts w:ascii="Arial" w:hAnsi="Arial"/>
                <w:sz w:val="18"/>
              </w:rPr>
              <w:t xml:space="preserve">GEE Collection ID</w:t>
            </w:r>
          </w:p>
        </w:tc>
        <w:tc>
          <w:tcPr/>
          <w:p>
            <w:pPr>
              <w:pStyle w:val="Compact"/>
              <w:jc w:val="left"/>
            </w:pPr>
            <w:r>
              <w:rPr>
                <w:rFonts w:ascii="Arial" w:hAnsi="Arial"/>
                <w:sz w:val="18"/>
              </w:rPr>
              <w:t xml:space="preserve">Temporal Range</w:t>
            </w:r>
          </w:p>
        </w:tc>
        <w:tc>
          <w:tcPr/>
          <w:p>
            <w:pPr>
              <w:pStyle w:val="Compact"/>
              <w:jc w:val="left"/>
            </w:pPr>
            <w:r>
              <w:rPr>
                <w:rFonts w:ascii="Arial" w:hAnsi="Arial"/>
                <w:sz w:val="18"/>
              </w:rPr>
              <w:t xml:space="preserve">Native Resolution</w:t>
            </w:r>
          </w:p>
        </w:tc>
        <w:tc>
          <w:tcPr/>
          <w:p>
            <w:pPr>
              <w:pStyle w:val="Compact"/>
              <w:jc w:val="left"/>
            </w:pPr>
            <w:r>
              <w:rPr>
                <w:rFonts w:ascii="Arial" w:hAnsi="Arial"/>
                <w:sz w:val="18"/>
              </w:rPr>
              <w:t xml:space="preserve">Role</w:t>
            </w:r>
          </w:p>
        </w:tc>
      </w:tr>
      <w:tr>
        <w:tc>
          <w:tcPr/>
          <w:p>
            <w:pPr>
              <w:pStyle w:val="Compact"/>
              <w:jc w:val="left"/>
            </w:pPr>
            <w:r>
              <w:rPr>
                <w:rFonts w:ascii="Arial" w:hAnsi="Arial"/>
                <w:sz w:val="18"/>
              </w:rPr>
              <w:t xml:space="preserve">Sentinel-1 GRD (IW, VH+VV, descending)</w:t>
            </w:r>
          </w:p>
        </w:tc>
        <w:tc>
          <w:tcPr/>
          <w:p>
            <w:pPr>
              <w:pStyle w:val="Compact"/>
              <w:jc w:val="left"/>
            </w:pPr>
            <w:r>
              <w:rPr>
                <w:rStyle w:val="VerbatimChar"/>
                <w:rFonts w:ascii="Arial" w:hAnsi="Arial"/>
                <w:sz w:val="18"/>
              </w:rPr>
              <w:t xml:space="preserve">COPERNICUS/S1_GRD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Primary SAR backscatter; classifier features; phenology retrieval</w:t>
            </w:r>
          </w:p>
        </w:tc>
      </w:tr>
      <w:tr>
        <w:tc>
          <w:tcPr/>
          <w:p>
            <w:pPr>
              <w:pStyle w:val="Compact"/>
              <w:jc w:val="left"/>
            </w:pPr>
            <w:r>
              <w:rPr>
                <w:rFonts w:ascii="Arial" w:hAnsi="Arial"/>
                <w:sz w:val="18"/>
              </w:rPr>
              <w:t xml:space="preserve">Sentinel-2 L2A (harmonised)</w:t>
            </w:r>
          </w:p>
        </w:tc>
        <w:tc>
          <w:tcPr/>
          <w:p>
            <w:pPr>
              <w:pStyle w:val="Compact"/>
              <w:jc w:val="left"/>
            </w:pPr>
            <w:r>
              <w:rPr>
                <w:rStyle w:val="VerbatimChar"/>
                <w:rFonts w:ascii="Arial" w:hAnsi="Arial"/>
                <w:sz w:val="18"/>
              </w:rPr>
              <w:t xml:space="preserve">COPERNICUS/S2_SR_HARMONIZED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Optical indices (NDVI, NDWI, LSWI, CIre); cloud-free phenology support</w:t>
            </w:r>
          </w:p>
        </w:tc>
      </w:tr>
      <w:tr>
        <w:tc>
          <w:tcPr/>
          <w:p>
            <w:pPr>
              <w:pStyle w:val="Compact"/>
              <w:jc w:val="left"/>
            </w:pPr>
            <w:r>
              <w:rPr>
                <w:rFonts w:ascii="Arial" w:hAnsi="Arial"/>
                <w:sz w:val="18"/>
              </w:rPr>
              <w:t xml:space="preserve">JRC GSW Monthly History v1.4</w:t>
            </w:r>
          </w:p>
        </w:tc>
        <w:tc>
          <w:tcPr/>
          <w:p>
            <w:pPr>
              <w:pStyle w:val="Compact"/>
              <w:jc w:val="left"/>
            </w:pPr>
            <w:r>
              <w:rPr>
                <w:rStyle w:val="VerbatimChar"/>
                <w:rFonts w:ascii="Arial" w:hAnsi="Arial"/>
                <w:sz w:val="18"/>
              </w:rPr>
              <w:t xml:space="preserve">JRC/GSW1_4/MonthlyHistory</w:t>
            </w:r>
          </w:p>
        </w:tc>
        <w:tc>
          <w:tcPr/>
          <w:p>
            <w:pPr>
              <w:pStyle w:val="Compact"/>
              <w:jc w:val="left"/>
            </w:pPr>
            <w:r>
              <w:rPr>
                <w:rFonts w:ascii="Arial" w:hAnsi="Arial"/>
                <w:sz w:val="18"/>
              </w:rPr>
              <w:t xml:space="preserve">1984–2024</w:t>
            </w:r>
          </w:p>
        </w:tc>
        <w:tc>
          <w:tcPr/>
          <w:p>
            <w:pPr>
              <w:pStyle w:val="Compact"/>
              <w:jc w:val="left"/>
            </w:pPr>
            <w:r>
              <w:rPr>
                <w:rFonts w:ascii="Arial" w:hAnsi="Arial"/>
                <w:sz w:val="18"/>
              </w:rPr>
              <w:t xml:space="preserve">30 m</w:t>
            </w:r>
          </w:p>
        </w:tc>
        <w:tc>
          <w:tcPr/>
          <w:p>
            <w:pPr>
              <w:pStyle w:val="Compact"/>
              <w:jc w:val="left"/>
            </w:pPr>
            <w:r>
              <w:rPr>
                <w:rFonts w:ascii="Arial" w:hAnsi="Arial"/>
                <w:sz w:val="18"/>
              </w:rPr>
              <w:t xml:space="preserve">Water permanence prior; saline-flood classifier feature</w:t>
            </w:r>
          </w:p>
        </w:tc>
      </w:tr>
      <w:tr>
        <w:tc>
          <w:tcPr/>
          <w:p>
            <w:pPr>
              <w:pStyle w:val="Compact"/>
              <w:jc w:val="left"/>
            </w:pPr>
            <w:r>
              <w:rPr>
                <w:rFonts w:ascii="Arial" w:hAnsi="Arial"/>
                <w:sz w:val="18"/>
              </w:rPr>
              <w:t xml:space="preserve">ERA5-Land Daily Aggregates</w:t>
            </w:r>
          </w:p>
        </w:tc>
        <w:tc>
          <w:tcPr/>
          <w:p>
            <w:pPr>
              <w:pStyle w:val="Compact"/>
              <w:jc w:val="left"/>
            </w:pPr>
            <w:r>
              <w:rPr>
                <w:rStyle w:val="VerbatimChar"/>
                <w:rFonts w:ascii="Arial" w:hAnsi="Arial"/>
                <w:sz w:val="18"/>
              </w:rPr>
              <w:t xml:space="preserve">ECMWF/ERA5_LAND/DAILY_AGGR</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~9 km</w:t>
            </w:r>
          </w:p>
        </w:tc>
        <w:tc>
          <w:tcPr/>
          <w:p>
            <w:pPr>
              <w:pStyle w:val="Compact"/>
              <w:jc w:val="left"/>
            </w:pPr>
            <w:r>
              <w:rPr>
                <w:rFonts w:ascii="Arial" w:hAnsi="Arial"/>
                <w:sz w:val="18"/>
              </w:rPr>
              <w:t xml:space="preserve">Maximum 10-m wind speed; total precipitation; cyclone proximity signal</w:t>
            </w:r>
          </w:p>
        </w:tc>
      </w:tr>
      <w:tr>
        <w:tc>
          <w:tcPr/>
          <w:p>
            <w:pPr>
              <w:pStyle w:val="Compact"/>
              <w:jc w:val="left"/>
            </w:pPr>
            <w:r>
              <w:rPr>
                <w:rFonts w:ascii="Arial" w:hAnsi="Arial"/>
                <w:sz w:val="18"/>
              </w:rPr>
              <w:t xml:space="preserve">ESA WorldCover v200</w:t>
            </w:r>
          </w:p>
        </w:tc>
        <w:tc>
          <w:tcPr/>
          <w:p>
            <w:pPr>
              <w:pStyle w:val="Compact"/>
              <w:jc w:val="left"/>
            </w:pPr>
            <w:r>
              <w:rPr>
                <w:rStyle w:val="VerbatimChar"/>
                <w:rFonts w:ascii="Arial" w:hAnsi="Arial"/>
                <w:sz w:val="18"/>
              </w:rPr>
              <w:t xml:space="preserve">ESA/WorldCover/v200</w:t>
            </w:r>
          </w:p>
        </w:tc>
        <w:tc>
          <w:tcPr/>
          <w:p>
            <w:pPr>
              <w:pStyle w:val="Compact"/>
              <w:jc w:val="left"/>
            </w:pPr>
            <w:r>
              <w:rPr>
                <w:rFonts w:ascii="Arial" w:hAnsi="Arial"/>
                <w:sz w:val="18"/>
              </w:rPr>
              <w:t xml:space="preserve">2021 epoch</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Cropland mask (class 40); pixel inclusion/exclusion filter</w:t>
            </w:r>
          </w:p>
        </w:tc>
      </w:tr>
      <w:tr>
        <w:tc>
          <w:tcPr/>
          <w:p>
            <w:pPr>
              <w:pStyle w:val="Compact"/>
              <w:jc w:val="left"/>
            </w:pPr>
            <w:r>
              <w:rPr>
                <w:rFonts w:ascii="Arial" w:hAnsi="Arial"/>
                <w:sz w:val="18"/>
              </w:rPr>
              <w:t xml:space="preserve">GAUL Level-2 (FAO 2015)</w:t>
            </w:r>
          </w:p>
        </w:tc>
        <w:tc>
          <w:tcPr/>
          <w:p>
            <w:pPr>
              <w:pStyle w:val="Compact"/>
              <w:jc w:val="left"/>
            </w:pPr>
            <w:r>
              <w:rPr>
                <w:rStyle w:val="VerbatimChar"/>
                <w:rFonts w:ascii="Arial" w:hAnsi="Arial"/>
                <w:sz w:val="18"/>
              </w:rPr>
              <w:t xml:space="preserve">FAO/GAUL/2015/level2</w:t>
            </w:r>
          </w:p>
        </w:tc>
        <w:tc>
          <w:tcPr/>
          <w:p>
            <w:pPr>
              <w:pStyle w:val="Compact"/>
              <w:jc w:val="left"/>
            </w:pPr>
            <w:r>
              <w:rPr>
                <w:rFonts w:ascii="Arial" w:hAnsi="Arial"/>
                <w:sz w:val="18"/>
              </w:rPr>
              <w:t xml:space="preserve">2015 epoch</w:t>
            </w:r>
          </w:p>
        </w:tc>
        <w:tc>
          <w:tcPr/>
          <w:p>
            <w:pPr>
              <w:pStyle w:val="Compact"/>
              <w:jc w:val="left"/>
            </w:pPr>
            <w:r>
              <w:rPr>
                <w:rFonts w:ascii="Arial" w:hAnsi="Arial"/>
                <w:sz w:val="18"/>
              </w:rPr>
              <w:t xml:space="preserve">Vector</w:t>
            </w:r>
          </w:p>
        </w:tc>
        <w:tc>
          <w:tcPr/>
          <w:p>
            <w:pPr>
              <w:pStyle w:val="Compact"/>
              <w:jc w:val="left"/>
            </w:pPr>
            <w:r>
              <w:rPr>
                <w:rFonts w:ascii="Arial" w:hAnsi="Arial"/>
                <w:sz w:val="18"/>
              </w:rPr>
              <w:t xml:space="preserve">District boundary delineation for study and control areas</w:t>
            </w:r>
          </w:p>
        </w:tc>
      </w:tr>
    </w:tbl>
    <w:p>
      <w:pPr>
        <w:pStyle w:val="BodyText"/>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rPr>
          <w:rFonts w:ascii="Arial" w:hAnsi="Arial"/>
        </w:rPr>
        <w:t xml:space="preserve">2.4 Validation Data</w:t>
      </w:r>
    </w:p>
    <w:p>
      <w:pPr>
        <w:pStyle w:val="FirstParagrap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rFonts w:ascii="Arial" w:hAnsi="Arial"/>
          <w:b/>
          <w:bCs/>
        </w:rPr>
        <w:t xml:space="preserve">Saline-flood classifier reference labels — automated multi-source provenance:</w:t>
      </w:r>
      <w:r>
        <w:rPr>
          <w:rFonts w:ascii="Arial" w:hAnsi="Arial"/>
        </w:rPr>
        <w:t xml:space="preserve"> </w:t>
      </w:r>
      <w:r>
        <w:rPr>
          <w:rFonts w:ascii="Arial" w:hAnsi="Arial"/>
        </w:rPr>
        <w:t xml:space="preserve">A reference-label set of n = 480 binary labels (cyclone-flood vs. agronomic-flood) is generated entirely from public products, with no analyst visual interpretation involved. The label set is partitioned as follows. (i)</w:t>
      </w:r>
      <w:r>
        <w:rPr>
          <w:rFonts w:ascii="Arial" w:hAnsi="Arial"/>
        </w:rPr>
        <w:t xml:space="preserve"> </w:t>
      </w:r>
      <w:r>
        <w:rPr>
          <w:rFonts w:ascii="Arial" w:hAnsi="Arial"/>
          <w:b/>
          <w:bCs/>
        </w:rPr>
        <w:t xml:space="preserve">80 cyclone-flood labels for Fani (3 May 2019)</w:t>
      </w:r>
      <w:r>
        <w:rPr>
          <w:rFonts w:ascii="Arial" w:hAnsi="Arial"/>
        </w:rPr>
        <w:t xml:space="preserve"> </w:t>
      </w:r>
      <w:r>
        <w:rPr>
          <w:rFonts w:ascii="Arial" w:hAnsi="Arial"/>
        </w:rPr>
        <w:t xml:space="preserve">are sampled from the Copernicus Emergency Management Service master delineation EMSR357 (</w:t>
      </w:r>
      <w:r>
        <w:rPr>
          <w:rStyle w:val="VerbatimChar"/>
          <w:rFonts w:ascii="Arial" w:hAnsi="Arial"/>
        </w:rPr>
        <w:t xml:space="preserve">emergency.copernicus.eu/mapping/list-of-components/EMSR357</w:t>
      </w:r>
      <w:r>
        <w:rPr>
          <w:rFonts w:ascii="Arial" w:hAnsi="Arial"/>
        </w:rPr>
        <w:t xml:space="preserve">), the operational reference for the Fani landfall footprint. (ii)</w:t>
      </w:r>
      <w:r>
        <w:rPr>
          <w:rFonts w:ascii="Arial" w:hAnsi="Arial"/>
        </w:rPr>
        <w:t xml:space="preserve"> </w:t>
      </w:r>
      <w:r>
        <w:rPr>
          <w:rFonts w:ascii="Arial" w:hAnsi="Arial"/>
          <w:b/>
          <w:bCs/>
        </w:rPr>
        <w:t xml:space="preserve">80 cyclone-flood labels each for Amphan (20 May 2020) and Yaas (26 May 2021)</w:t>
      </w:r>
      <w:r>
        <w:rPr>
          <w:rFonts w:ascii="Arial" w:hAnsi="Arial"/>
        </w:rPr>
        <w:t xml:space="preserve"> </w:t>
      </w:r>
      <w:r>
        <w:rPr>
          <w:rFonts w:ascii="Arial" w:hAnsi="Arial"/>
        </w:rPr>
        <w:t xml:space="preserve">are generated automatically by Sentinel-1 SAR pre/post change-detection following the methodology of Voigt et al. (2007) and Twele et al. (2016), as standardised by the UN-SPIDER (2019) Recommended Practice for SAR-based flood mapping (Module 08,</w:t>
      </w:r>
      <w:r>
        <w:rPr>
          <w:rFonts w:ascii="Arial" w:hAnsi="Arial"/>
        </w:rPr>
        <w:t xml:space="preserve"> </w:t>
      </w:r>
      <w:r>
        <w:rPr>
          <w:rStyle w:val="VerbatimChar"/>
          <w:rFonts w:ascii="Arial" w:hAnsi="Arial"/>
        </w:rPr>
        <w:t xml:space="preserve">gee/08_S1_flood_detection.js</w:t>
      </w:r>
      <w:r>
        <w:rPr>
          <w:rFonts w:ascii="Arial" w:hAnsi="Arial"/>
        </w:rPr>
        <w:t xml:space="preserve">): pre-event median VH (3 weeks before landfall) minus post-event median VH (within 7 days of landfall), with the empirical −3 dB threshold for inundated cropland anchored to the IBTrACS landfall buffer. (iii)</w:t>
      </w:r>
      <w:r>
        <w:rPr>
          <w:rFonts w:ascii="Arial" w:hAnsi="Arial"/>
        </w:rPr>
        <w:t xml:space="preserve"> </w:t>
      </w:r>
      <w:r>
        <w:rPr>
          <w:rFonts w:ascii="Arial" w:hAnsi="Arial"/>
          <w:b/>
          <w:bCs/>
        </w:rPr>
        <w:t xml:space="preserve">240 agronomic-flood negative labels</w:t>
      </w:r>
      <w:r>
        <w:rPr>
          <w:rFonts w:ascii="Arial" w:hAnsi="Arial"/>
        </w:rPr>
        <w:t xml:space="preserve"> </w:t>
      </w:r>
      <w:r>
        <w:rPr>
          <w:rFonts w:ascii="Arial" w:hAnsi="Arial"/>
        </w:rP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rPr>
          <w:rFonts w:ascii="Arial" w:hAnsi="Arial"/>
        </w:rPr>
        <w:t xml:space="preserve"> </w:t>
      </w:r>
      <w:r>
        <w:rPr>
          <w:rStyle w:val="VerbatimChar"/>
          <w:rFonts w:ascii="Arial" w:hAnsi="Arial"/>
        </w:rPr>
        <w:t xml:space="preserve">labels_panel_n480.csv</w:t>
      </w:r>
      <w:r>
        <w:rPr>
          <w:rFonts w:ascii="Arial" w:hAnsi="Arial"/>
        </w:rPr>
        <w:t xml:space="preserve">).</w:t>
      </w:r>
    </w:p>
    <w:p>
      <w:pPr>
        <w:pStyle w:val="BodyText"/>
      </w:pPr>
      <w:r>
        <w:rPr>
          <w:rFonts w:ascii="Arial" w:hAnsi="Arial"/>
          <w:b/>
          <w:bCs/>
        </w:rPr>
        <w:t xml:space="preserve">Cross-product rice-mask validation:</w:t>
      </w:r>
      <w:r>
        <w:rPr>
          <w:rFonts w:ascii="Arial" w:hAnsi="Arial"/>
        </w:rPr>
        <w:t xml:space="preserve"> </w:t>
      </w:r>
      <w:r>
        <w:rPr>
          <w:rFonts w:ascii="Arial" w:hAnsi="Arial"/>
        </w:rP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r>
        <w:rPr>
          <w:rFonts w:ascii="Arial" w:hAnsi="Arial"/>
        </w:rPr>
        <w:pict>
          <v:rect style="width:0;height:1.5pt" o:hralign="center" o:hrstd="t" o:hr="t"/>
        </w:pict>
      </w:r>
    </w:p>
    <w:bookmarkEnd w:id="29"/>
    <w:bookmarkEnd w:id="30"/>
    <w:bookmarkStart w:id="46" w:name="methods"/>
    <w:p>
      <w:pPr>
        <w:pStyle w:val="Heading2"/>
      </w:pPr>
      <w:r>
        <w:rPr>
          <w:rFonts w:ascii="Arial" w:hAnsi="Arial"/>
        </w:rPr>
        <w:t xml:space="preserve">3. Methods</w:t>
      </w:r>
    </w:p>
    <w:bookmarkStart w:id="31" w:name="overview"/>
    <w:p>
      <w:pPr>
        <w:pStyle w:val="Heading3"/>
      </w:pPr>
      <w:r>
        <w:rPr>
          <w:rFonts w:ascii="Arial" w:hAnsi="Arial"/>
        </w:rPr>
        <w:t xml:space="preserve">3.1 Overview</w:t>
      </w:r>
    </w:p>
    <w:p>
      <w:pPr>
        <w:pStyle w:val="FirstParagrap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keepNext/>
        <w:keepLines/>
        <w:jc w:val="center"/>
      </w:pPr>
      <w:r>
        <w:rPr>
          <w:rFonts w:ascii="Arial" w:hAnsi="Arial"/>
          <w:i/>
          <w:sz w:val="18"/>
        </w:rPr>
        <w:t>Figure 2. Analytical workflow. Six sequential stages: (i) GEE pre-processing and monthly stack assembly; (ii) saline-flood classifier training and application; (iii) phenology extraction via Whittaker-smoothed double-logistic fitting; (iv) parallel raw vs. corrected pipeline runs; (v) TWFE-DiD estimation with district-clustered inference; (vi) five-instrument robustness suite.</w:t>
      </w:r>
    </w:p>
    <w:p>
      <w:pPr>
        <w:keepNext w:val="0"/>
        <w:keepLines/>
        <w:jc w:val="center"/>
      </w:pPr>
      <w:r>
        <w:drawing>
          <wp:inline>
            <wp:extent cx="5760000" cy="3549885"/>
            <wp:docPr id="3" name="Picture 3"/>
            <wp:cNvGraphicFramePr>
              <a:graphicFrameLocks noChangeAspect="1"/>
            </wp:cNvGraphicFramePr>
            <a:graphic>
              <a:graphicData uri="http://schemas.openxmlformats.org/drawingml/2006/picture">
                <pic:pic>
                  <pic:nvPicPr>
                    <pic:cNvPr id="0" name="Fig02_workflow.png"/>
                    <pic:cNvPicPr/>
                  </pic:nvPicPr>
                  <pic:blipFill>
                    <a:blip r:embed="rId11"/>
                    <a:stretch>
                      <a:fillRect/>
                    </a:stretch>
                  </pic:blipFill>
                  <pic:spPr>
                    <a:xfrm>
                      <a:off x="0" y="0"/>
                      <a:ext cx="5760000" cy="3549885"/>
                    </a:xfrm>
                    <a:prstGeom prst="rect"/>
                  </pic:spPr>
                </pic:pic>
              </a:graphicData>
            </a:graphic>
          </wp:inline>
        </w:drawing>
      </w:r>
    </w:p>
    <w:p>
      <w:pPr>
        <w:keepNext/>
        <w:keepLines/>
        <w:jc w:val="center"/>
      </w:pPr>
      <w:r>
        <w:rPr>
          <w:rFonts w:ascii="Arial" w:hAnsi="Arial"/>
          <w:i/>
          <w:sz w:val="18"/>
        </w:rPr>
        <w:t>Figure 1B. Pearl-style identification DAG. Cyclone landfall (T) opens two pathways into the SAR backscatter trough: a legitimate transplanting-flood pathway and a confounding saline-surge pathway. Module 02 (the saline-flood classifier) intercepts the confounding pathway; the remaining backscatter trough identifies the agronomic SOS.</w:t>
      </w:r>
    </w:p>
    <w:p>
      <w:pPr>
        <w:keepNext w:val="0"/>
        <w:keepLines/>
        <w:jc w:val="center"/>
      </w:pPr>
      <w:r>
        <w:drawing>
          <wp:inline>
            <wp:extent cx="5040000" cy="4375267"/>
            <wp:docPr id="2" name="Picture 2"/>
            <wp:cNvGraphicFramePr>
              <a:graphicFrameLocks noChangeAspect="1"/>
            </wp:cNvGraphicFramePr>
            <a:graphic>
              <a:graphicData uri="http://schemas.openxmlformats.org/drawingml/2006/picture">
                <pic:pic>
                  <pic:nvPicPr>
                    <pic:cNvPr id="0" name="fig1b_identification_dag.png"/>
                    <pic:cNvPicPr/>
                  </pic:nvPicPr>
                  <pic:blipFill>
                    <a:blip r:embed="rId10"/>
                    <a:stretch>
                      <a:fillRect/>
                    </a:stretch>
                  </pic:blipFill>
                  <pic:spPr>
                    <a:xfrm>
                      <a:off x="0" y="0"/>
                      <a:ext cx="5040000" cy="4375267"/>
                    </a:xfrm>
                    <a:prstGeom prst="rect"/>
                  </pic:spPr>
                </pic:pic>
              </a:graphicData>
            </a:graphic>
          </wp:inline>
        </w:drawing>
      </w:r>
    </w:p>
    <w:bookmarkEnd w:id="31"/>
    <w:bookmarkStart w:id="32" w:name="pre-processing"/>
    <w:p>
      <w:pPr>
        <w:pStyle w:val="Heading3"/>
      </w:pPr>
      <w:r>
        <w:rPr>
          <w:rFonts w:ascii="Arial" w:hAnsi="Arial"/>
        </w:rPr>
        <w:t xml:space="preserve">3.2 Pre-processing</w:t>
      </w:r>
    </w:p>
    <w:p>
      <w:pPr>
        <w:pStyle w:val="FirstParagrap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rPr>
          <w:rFonts w:ascii="Arial" w:hAnsi="Arial"/>
        </w:rPr>
        <w:t xml:space="preserve">3.3 Saline-Flood Classifier</w:t>
      </w:r>
    </w:p>
    <w:p>
      <w:pPr>
        <w:pStyle w:val="FirstParagrap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2"/>
        </w:numPr>
      </w:pPr>
      <w:r>
        <w:rPr>
          <w:rFonts w:ascii="Arial" w:hAnsi="Arial"/>
        </w:rPr>
        <w:t xml:space="preserve">VH backscatter (dB), monthly median</w:t>
      </w:r>
    </w:p>
    <w:p>
      <w:pPr>
        <w:pStyle w:val="Compact"/>
        <w:numPr>
          <w:ilvl w:val="0"/>
          <w:numId w:val="1002"/>
        </w:numPr>
      </w:pPr>
      <w:r>
        <w:rPr>
          <w:rFonts w:ascii="Arial" w:hAnsi="Arial"/>
        </w:rPr>
        <w:t xml:space="preserve">VV backscatter (dB), monthly median</w:t>
      </w:r>
    </w:p>
    <w:p>
      <w:pPr>
        <w:pStyle w:val="Compact"/>
        <w:numPr>
          <w:ilvl w:val="0"/>
          <w:numId w:val="1002"/>
        </w:numPr>
      </w:pPr>
      <w:r>
        <w:rPr>
          <w:rFonts w:ascii="Arial" w:hAnsi="Arial"/>
        </w:rPr>
        <w:t xml:space="preserve">Cross-ratio CR = VH − VV (dB), monthly median</w:t>
      </w:r>
    </w:p>
    <w:p>
      <w:pPr>
        <w:pStyle w:val="Compact"/>
        <w:numPr>
          <w:ilvl w:val="0"/>
          <w:numId w:val="1002"/>
        </w:numPr>
      </w:pPr>
      <w:r>
        <w:rPr>
          <w:rFonts w:ascii="Arial" w:hAnsi="Arial"/>
        </w:rPr>
        <w:t xml:space="preserve">NDWI (Sentinel-2 monthly median)</w:t>
      </w:r>
    </w:p>
    <w:p>
      <w:pPr>
        <w:pStyle w:val="Compact"/>
        <w:numPr>
          <w:ilvl w:val="0"/>
          <w:numId w:val="1002"/>
        </w:numPr>
      </w:pPr>
      <w:r>
        <w:rPr>
          <w:rFonts w:ascii="Arial" w:hAnsi="Arial"/>
        </w:rPr>
        <w:t xml:space="preserve">LSWI (Sentinel-2 monthly median)</w:t>
      </w:r>
    </w:p>
    <w:p>
      <w:pPr>
        <w:pStyle w:val="Compact"/>
        <w:numPr>
          <w:ilvl w:val="0"/>
          <w:numId w:val="1002"/>
        </w:numPr>
      </w:pPr>
      <w:r>
        <w:rPr>
          <w:rFonts w:ascii="Arial" w:hAnsi="Arial"/>
        </w:rPr>
        <w:t xml:space="preserve">JRC GSW water permanence fraction (percentage of months with surface water detected, 1984–2020)</w:t>
      </w:r>
    </w:p>
    <w:p>
      <w:pPr>
        <w:pStyle w:val="Compact"/>
        <w:numPr>
          <w:ilvl w:val="0"/>
          <w:numId w:val="1002"/>
        </w:numPr>
      </w:pPr>
      <w:r>
        <w:rPr>
          <w:rFonts w:ascii="Arial" w:hAnsi="Arial"/>
        </w:rPr>
        <w:t xml:space="preserve">ERA5 maximum 10-m wind speed (scalar: sqrt(u² + v²)), monthly maximum in dB-analogue scaling</w:t>
      </w:r>
    </w:p>
    <w:p>
      <w:pPr>
        <w:pStyle w:val="Compact"/>
        <w:numPr>
          <w:ilvl w:val="0"/>
          <w:numId w:val="1002"/>
        </w:numPr>
      </w:pPr>
      <w:r>
        <w:rPr>
          <w:rFonts w:ascii="Arial" w:hAnsi="Arial"/>
        </w:rPr>
        <w:t xml:space="preserve">Days since nearest IBTrACS-recorded cyclone landfall within 200 km radius (categorical: ≤30, 31–60, &gt;60 days, encoded as ordinal integer)</w:t>
      </w:r>
    </w:p>
    <w:p>
      <w:pPr>
        <w:pStyle w:val="FirstParagrap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pPr>
      <w:r>
        <w:rPr>
          <w:rFonts w:ascii="Arial" w:hAnsi="Arial"/>
        </w:rPr>
        <w:t xml:space="preserve">3.4 Phenology Extraction</w:t>
      </w:r>
    </w:p>
    <w:p>
      <w:pPr>
        <w:pStyle w:val="FirstParagrap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3"/>
        </w:numPr>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3"/>
        </w:numPr>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rFonts w:ascii="Arial" w:hAnsi="Arial"/>
          <w:b/>
          <w:bCs/>
        </w:rPr>
        <w:t xml:space="preserve">Pixel-level uncertainty quantification:</w:t>
      </w:r>
      <w:r>
        <w:rPr>
          <w:rFonts w:ascii="Arial" w:hAnsi="Arial"/>
        </w:rPr>
        <w:t xml:space="preserve"> </w:t>
      </w:r>
      <w:r>
        <w:rPr>
          <w:rFonts w:ascii="Arial" w:hAnsi="Arial"/>
        </w:rP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district-aggregated CI half-widths in Supplementary Table S12 and inform the minimum detectable effect (§3.7.5); the pixel-level uncertainty rasters themselves are released as GeoTIFFs in the Mendeley Data deposit (DOI 10.17632/z3zxk4xy3c.1) rather than displayed as a manuscript figure, because their spatial structure is dominated by the cloud-gap and classifier-confidence covariates already tabulated in Table S12.</w:t>
      </w:r>
    </w:p>
    <w:bookmarkEnd w:id="34"/>
    <w:bookmarkStart w:id="35" w:name="raw-vs.-corrected-phenological-pipeline"/>
    <w:p>
      <w:pPr>
        <w:pStyle w:val="Heading3"/>
      </w:pPr>
      <w:r>
        <w:rPr>
          <w:rFonts w:ascii="Arial" w:hAnsi="Arial"/>
        </w:rPr>
        <w:t xml:space="preserve">3.5 Raw vs. Corrected Phenological Pipeline</w:t>
      </w:r>
    </w:p>
    <w:p>
      <w:pPr>
        <w:pStyle w:val="FirstParagraph"/>
      </w:pPr>
      <w:r>
        <w:rPr>
          <w:rFonts w:ascii="Arial" w:hAnsi="Arial"/>
        </w:rPr>
        <w:t xml:space="preserve">Two parallel phenological retrieval pipelines are implemented to quantify the effect of the saline-flood correction:</w:t>
      </w:r>
    </w:p>
    <w:p>
      <w:pPr>
        <w:pStyle w:val="BodyText"/>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rPr>
          <w:rFonts w:ascii="Arial" w:hAnsi="Arial"/>
        </w:rPr>
        <w:t xml:space="preserve">3.6 Difference-in-Differences Identification</w:t>
      </w:r>
    </w:p>
    <w:p>
      <w:pPr>
        <w:pStyle w:val="FirstParagrap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keepNext/>
        <w:keepLines/>
        <w:jc w:val="center"/>
      </w:pPr>
      <w:r>
        <w:rPr>
          <w:rFonts w:ascii="Arial" w:hAnsi="Arial"/>
          <w:i/>
          <w:sz w:val="18"/>
        </w:rPr>
        <w:t>Figure 3. Event-study coefficients (Eq. 5) for the three phenometrics under raw and corrected pipelines, with k = −1 (2018) the omitted reference. Pre-treatment leads (k = −2) lie within ±2 d of zero, supporting no-anticipation. CR1-clustered 95% CIs shown.</w:t>
      </w:r>
    </w:p>
    <w:p>
      <w:pPr>
        <w:keepNext w:val="0"/>
        <w:keepLines/>
        <w:jc w:val="center"/>
      </w:pPr>
      <w:r>
        <w:drawing>
          <wp:inline>
            <wp:extent cx="5760000" cy="2729087"/>
            <wp:docPr id="4" name="Picture 4"/>
            <wp:cNvGraphicFramePr>
              <a:graphicFrameLocks noChangeAspect="1"/>
            </wp:cNvGraphicFramePr>
            <a:graphic>
              <a:graphicData uri="http://schemas.openxmlformats.org/drawingml/2006/picture">
                <pic:pic>
                  <pic:nvPicPr>
                    <pic:cNvPr id="0" name="fig3_event_study.png"/>
                    <pic:cNvPicPr/>
                  </pic:nvPicPr>
                  <pic:blipFill>
                    <a:blip r:embed="rId12"/>
                    <a:stretch>
                      <a:fillRect/>
                    </a:stretch>
                  </pic:blipFill>
                  <pic:spPr>
                    <a:xfrm>
                      <a:off x="0" y="0"/>
                      <a:ext cx="5760000" cy="2729087"/>
                    </a:xfrm>
                    <a:prstGeom prst="rect"/>
                  </pic:spPr>
                </pic:pic>
              </a:graphicData>
            </a:graphic>
          </wp:inline>
        </w:drawing>
      </w:r>
    </w:p>
    <w:p>
      <w:pPr>
        <w:pStyle w:val="BodyTex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pPr>
      <w:r>
        <w:rPr>
          <w:rFonts w:ascii="Arial" w:hAnsi="Arial"/>
        </w:rPr>
        <w:t xml:space="preserve">3.7 Robustness Suite</w:t>
      </w:r>
    </w:p>
    <w:p>
      <w:pPr>
        <w:pStyle w:val="FirstParagrap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pPr>
      <w:r>
        <w:rPr>
          <w:rFonts w:ascii="Arial" w:hAnsi="Arial"/>
        </w:rPr>
        <w:t xml:space="preserve">3.7.1 Wild-cluster restricted bootstrap (Module 05a, Table S4)</w:t>
      </w:r>
    </w:p>
    <w:p>
      <w:pPr>
        <w:pStyle w:val="FirstParagrap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pPr>
      <w:r>
        <w:rPr>
          <w:rFonts w:ascii="Arial" w:hAnsi="Arial"/>
        </w:rPr>
        <w:t xml:space="preserve">3.7.2 Out-of-sample transferability — Cyclone Bulbul (Module 05b, Table S3)</w:t>
      </w:r>
    </w:p>
    <w:p>
      <w:pPr>
        <w:pStyle w:val="FirstParagrap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pPr>
      <w:r>
        <w:rPr>
          <w:rFonts w:ascii="Arial" w:hAnsi="Arial"/>
        </w:rPr>
        <w:t xml:space="preserve">3.7.3 Leave-one-out jackknife sensitivity (Module 05d, Table S5)</w:t>
      </w:r>
    </w:p>
    <w:p>
      <w:pPr>
        <w:pStyle w:val="FirstParagrap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pPr>
      <w:r>
        <w:rPr>
          <w:rFonts w:ascii="Arial" w:hAnsi="Arial"/>
        </w:rPr>
        <w:t xml:space="preserve">3.7.4 Placebo / falsification tests (Module 05e, Table S7, Figure 6)</w:t>
      </w:r>
    </w:p>
    <w:p>
      <w:pPr>
        <w:pStyle w:val="FirstParagrap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real v2.1 panel the in-space permutation test (Table S7)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reassignments only for the EOS cells (raw/EOS and corrected/EOS at the design floor</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0.018</m:t>
        </m:r>
      </m:oMath>
      <w:r>
        <w:rPr>
          <w:rFonts w:ascii="Arial" w:hAnsi="Arial"/>
        </w:rPr>
        <w:t xml:space="preserve">); SOS and POS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and yield</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0.50</m:t>
        </m:r>
      </m:oMath>
      <w:r>
        <w:rPr>
          <w:rFonts w:ascii="Arial" w:hAnsi="Arial"/>
        </w:rPr>
        <w:t xml:space="preserve"> </w:t>
      </w:r>
      <w:r>
        <w:rPr>
          <w:rFonts w:ascii="Arial" w:hAnsi="Arial"/>
        </w:rPr>
        <w:t xml:space="preserve">(SOS) and 0.286 (POS), consistent with the small-G null result. The corrected/EOS cell — the smallest |</w:t>
      </w:r>
      <m:oMath>
        <m:acc>
          <m:accPr>
            <m:chr m:val="̂"/>
          </m:accPr>
          <m:e>
            <m:r>
              <m:t>τ</m:t>
            </m:r>
          </m:e>
        </m:acc>
      </m:oMath>
      <w:r>
        <w:rPr>
          <w:rFonts w:ascii="Arial" w:hAnsi="Arial"/>
        </w:rP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All six pseudo-coefficients lie within</w:t>
      </w:r>
      <w:r>
        <w:rPr>
          <w:rFonts w:ascii="Arial" w:hAnsi="Arial"/>
        </w:rPr>
        <w:t xml:space="preserve"> </w:t>
      </w:r>
      <m:oMath>
        <m:d>
          <m:dPr>
            <m:begChr m:val="["/>
            <m:endChr m:val="]"/>
            <m:sepChr m:val=""/>
            <m:grow/>
          </m:dPr>
          <m:e>
            <m:r>
              <m:rPr>
                <m:sty m:val="p"/>
              </m:rPr>
              <m:t>−</m:t>
            </m:r>
            <m:r>
              <m:t>1.52</m:t>
            </m:r>
            <m:r>
              <m:rPr>
                <m:sty m:val="p"/>
              </m:rPr>
              <m:t>,</m:t>
            </m:r>
            <m:r>
              <m:rPr>
                <m:sty m:val="p"/>
              </m:rPr>
              <m:t>+</m:t>
            </m:r>
            <m:r>
              <m:t>1.68</m:t>
            </m:r>
          </m:e>
        </m:d>
      </m:oMath>
      <w:r>
        <w:rPr>
          <w:rFonts w:ascii="Arial" w:hAnsi="Arial"/>
        </w:rPr>
        <w:t xml:space="preserve"> </w:t>
      </w:r>
      <w:r>
        <w:rPr>
          <w:rFonts w:ascii="Arial" w:hAnsi="Arial"/>
        </w:rPr>
        <w:t xml:space="preserve">d of zero on the synthetic-panel verification — the largest in absolute value (raw/SOS, +1.68 d) is less than one-third of the corresponding real coefficient (+5.66 d), consistent with the identifying assumption.</w:t>
      </w:r>
    </w:p>
    <w:bookmarkEnd w:id="40"/>
    <w:bookmarkStart w:id="41" w:name="Xb211285746cdb5a9eab16dd764ebbd3acc567c1"/>
    <w:p>
      <w:pPr>
        <w:pStyle w:val="Heading4"/>
      </w:pPr>
      <w:r>
        <w:rPr>
          <w:rFonts w:ascii="Arial" w:hAnsi="Arial"/>
        </w:rPr>
        <w:t xml:space="preserve">3.7.5 Post-hoc minimum detectable effect and power (Module 09, Table S6, Figure S1)</w:t>
      </w:r>
    </w:p>
    <w:p>
      <w:pPr>
        <w:pStyle w:val="FirstParagrap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real v2.1 panel, MDE₂-sided ranges from 0.55 d (corrected/EOS) to 56.5 d (raw/SOS), and</w:t>
      </w:r>
      <w:r>
        <w:rPr>
          <w:rFonts w:ascii="Arial" w:hAnsi="Arial"/>
        </w:rPr>
        <w:t xml:space="preserve"> </w:t>
      </w:r>
      <m:oMath>
        <m:d>
          <m:dPr>
            <m:begChr m:val="|"/>
            <m:endChr m:val="|"/>
            <m:sepChr m:val=""/>
            <m:grow/>
          </m:dPr>
          <m:e>
            <m:acc>
              <m:accPr>
                <m:chr m:val="̂"/>
              </m:accPr>
              <m:e>
                <m:r>
                  <m:t>τ</m:t>
                </m:r>
              </m:e>
            </m:acc>
          </m:e>
        </m:d>
        <m:r>
          <m:rPr>
            <m:sty m:val="p"/>
          </m:rPr>
          <m:t>/</m:t>
        </m:r>
      </m:oMath>
      <w:r>
        <w:rPr>
          <w:rFonts w:ascii="Arial" w:hAnsi="Arial"/>
        </w:rPr>
        <w:t xml:space="preserve">MDE ranges from 0.27 (raw/SOS) to 0.43 (corrected/EOS); none of the six observed effects exceeds its MDE at</w:t>
      </w:r>
      <w:r>
        <w:rPr>
          <w:rFonts w:ascii="Arial" w:hAnsi="Arial"/>
        </w:rPr>
        <w:t xml:space="preserve"> </w:t>
      </w:r>
      <m:oMath>
        <m:r>
          <m:t>α</m:t>
        </m:r>
        <m:r>
          <m:rPr>
            <m:sty m:val="p"/>
          </m:rPr>
          <m:t>=</m:t>
        </m:r>
        <m:r>
          <m:t>0.05</m:t>
        </m:r>
      </m:oMath>
      <w:r>
        <w:rPr>
          <w:rFonts w:ascii="Arial" w:hAnsi="Arial"/>
        </w:rP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bookmarkEnd w:id="41"/>
    <w:bookmarkEnd w:id="42"/>
    <w:bookmarkStart w:id="43" w:name="validation"/>
    <w:p>
      <w:pPr>
        <w:pStyle w:val="Heading3"/>
      </w:pPr>
      <w:r>
        <w:rPr>
          <w:rFonts w:ascii="Arial" w:hAnsi="Arial"/>
        </w:rPr>
        <w:t xml:space="preserve">3.8 Validation</w:t>
      </w:r>
    </w:p>
    <w:p>
      <w:pPr>
        <w:pStyle w:val="FirstParagrap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rFonts w:ascii="Arial" w:hAnsi="Arial"/>
          <w:b/>
          <w:bCs/>
        </w:rPr>
        <w:t xml:space="preserve">Secondary validation — saline-flood classifier:</w:t>
      </w:r>
      <w:r>
        <w:rPr>
          <w:rFonts w:ascii="Arial" w:hAnsi="Arial"/>
        </w:rPr>
        <w:t xml:space="preserve"> </w:t>
      </w:r>
      <w:r>
        <w:rPr>
          <w:rFonts w:ascii="Arial" w:hAnsi="Arial"/>
        </w:rP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rPr>
          <w:rFonts w:ascii="Arial" w:hAnsi="Arial"/>
        </w:rPr>
        <w:t xml:space="preserve">3.9 Software and Reproducibility</w:t>
      </w:r>
    </w:p>
    <w:p>
      <w:pPr>
        <w:pStyle w:val="FirstParagraph"/>
      </w:pPr>
      <w:r>
        <w:rPr>
          <w:rFonts w:ascii="Arial" w:hAnsi="Arial"/>
        </w:rP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rPr>
          <w:rFonts w:ascii="Arial" w:hAnsi="Arial"/>
        </w:rPr>
        <w:t xml:space="preserve"> </w:t>
      </w:r>
      <w:r>
        <w:rPr>
          <w:rStyle w:val="VerbatimChar"/>
          <w:rFonts w:ascii="Arial" w:hAnsi="Arial"/>
        </w:rPr>
        <w:t xml:space="preserve">numpy</w:t>
      </w:r>
      <w:r>
        <w:rPr>
          <w:rFonts w:ascii="Arial" w:hAnsi="Arial"/>
        </w:rPr>
        <w:t xml:space="preserve">,</w:t>
      </w:r>
      <w:r>
        <w:rPr>
          <w:rFonts w:ascii="Arial" w:hAnsi="Arial"/>
        </w:rPr>
        <w:t xml:space="preserve"> </w:t>
      </w:r>
      <w:r>
        <w:rPr>
          <w:rStyle w:val="VerbatimChar"/>
          <w:rFonts w:ascii="Arial" w:hAnsi="Arial"/>
        </w:rPr>
        <w:t xml:space="preserve">pandas</w:t>
      </w:r>
      <w:r>
        <w:rPr>
          <w:rFonts w:ascii="Arial" w:hAnsi="Arial"/>
        </w:rPr>
        <w:t xml:space="preserve">,</w:t>
      </w:r>
      <w:r>
        <w:rPr>
          <w:rFonts w:ascii="Arial" w:hAnsi="Arial"/>
        </w:rPr>
        <w:t xml:space="preserve"> </w:t>
      </w:r>
      <w:r>
        <w:rPr>
          <w:rStyle w:val="VerbatimChar"/>
          <w:rFonts w:ascii="Arial" w:hAnsi="Arial"/>
        </w:rPr>
        <w:t xml:space="preserve">scipy</w:t>
      </w:r>
      <w:r>
        <w:rPr>
          <w:rFonts w:ascii="Arial" w:hAnsi="Arial"/>
        </w:rPr>
        <w:t xml:space="preserve">,</w:t>
      </w:r>
      <w:r>
        <w:rPr>
          <w:rFonts w:ascii="Arial" w:hAnsi="Arial"/>
        </w:rPr>
        <w:t xml:space="preserve"> </w:t>
      </w:r>
      <w:r>
        <w:rPr>
          <w:rStyle w:val="VerbatimChar"/>
          <w:rFonts w:ascii="Arial" w:hAnsi="Arial"/>
        </w:rPr>
        <w:t xml:space="preserve">statsmodels</w:t>
      </w:r>
      <w:r>
        <w:rPr>
          <w:rFonts w:ascii="Arial" w:hAnsi="Arial"/>
        </w:rPr>
        <w:t xml:space="preserve">,</w:t>
      </w:r>
      <w:r>
        <w:rPr>
          <w:rFonts w:ascii="Arial" w:hAnsi="Arial"/>
        </w:rPr>
        <w:t xml:space="preserve"> </w:t>
      </w:r>
      <w:r>
        <w:rPr>
          <w:rStyle w:val="VerbatimChar"/>
          <w:rFonts w:ascii="Arial" w:hAnsi="Arial"/>
        </w:rPr>
        <w:t xml:space="preserve">matplotlib</w:t>
      </w:r>
      <w:r>
        <w:rPr>
          <w:rFonts w:ascii="Arial" w:hAnsi="Arial"/>
        </w:rPr>
        <w:t xml:space="preserve">, and</w:t>
      </w:r>
      <w:r>
        <w:rPr>
          <w:rFonts w:ascii="Arial" w:hAnsi="Arial"/>
        </w:rPr>
        <w:t xml:space="preserve"> </w:t>
      </w:r>
      <w:r>
        <w:rPr>
          <w:rStyle w:val="VerbatimChar"/>
          <w:rFonts w:ascii="Arial" w:hAnsi="Arial"/>
        </w:rPr>
        <w:t xml:space="preserve">python-docx</w:t>
      </w:r>
      <w:r>
        <w:rPr>
          <w:rFonts w:ascii="Arial" w:hAnsi="Arial"/>
        </w:rPr>
        <w:t xml:space="preserve"> </w:t>
      </w:r>
      <w:r>
        <w:rPr>
          <w:rFonts w:ascii="Arial" w:hAnsi="Arial"/>
        </w:rPr>
        <w:t xml:space="preserve">(versions pinned in</w:t>
      </w:r>
      <w:r>
        <w:rPr>
          <w:rFonts w:ascii="Arial" w:hAnsi="Arial"/>
        </w:rPr>
        <w:t xml:space="preserve"> </w:t>
      </w:r>
      <w:r>
        <w:rPr>
          <w:rStyle w:val="VerbatimChar"/>
          <w:rFonts w:ascii="Arial" w:hAnsi="Arial"/>
        </w:rPr>
        <w:t xml:space="preserve">requirements.txt</w:t>
      </w:r>
      <w:r>
        <w:rPr>
          <w:rFonts w:ascii="Arial" w:hAnsi="Arial"/>
        </w:rPr>
        <w:t xml:space="preserve">). The full analysis chain is orchestrated by a 10-stage shell harness (</w:t>
      </w:r>
      <w:r>
        <w:rPr>
          <w:rStyle w:val="VerbatimChar"/>
          <w:rFonts w:ascii="Arial" w:hAnsi="Arial"/>
        </w:rPr>
        <w:t xml:space="preserve">run_all.sh</w:t>
      </w:r>
      <w:r>
        <w:rPr>
          <w:rFonts w:ascii="Arial" w:hAnsi="Arial"/>
        </w:rPr>
        <w:t xml:space="preserve">) that reproduces every reported figure (including Figure 1B, Figure 3, Figure 6, Figure S1) and supplementary table (S1–S7) from a single command (</w:t>
      </w:r>
      <w:r>
        <w:rPr>
          <w:rStyle w:val="VerbatimChar"/>
          <w:rFonts w:ascii="Arial" w:hAnsi="Arial"/>
        </w:rPr>
        <w:t xml:space="preserve">bash run_all.sh --quick</w:t>
      </w:r>
      <w:r>
        <w:rPr>
          <w:rFonts w:ascii="Arial" w:hAnsi="Arial"/>
        </w:rPr>
        <w:t xml:space="preserve"> </w:t>
      </w:r>
      <w:r>
        <w:rPr>
          <w:rFonts w:ascii="Arial" w:hAnsi="Arial"/>
        </w:rPr>
        <w:t xml:space="preserve">for synthetic-panel verification in &lt;60 s;</w:t>
      </w:r>
      <w:r>
        <w:rPr>
          <w:rFonts w:ascii="Arial" w:hAnsi="Arial"/>
        </w:rPr>
        <w:t xml:space="preserve"> </w:t>
      </w:r>
      <w:r>
        <w:rPr>
          <w:rStyle w:val="VerbatimChar"/>
          <w:rFonts w:ascii="Arial" w:hAnsi="Arial"/>
        </w:rPr>
        <w:t xml:space="preserve">bash run_all.sh</w:t>
      </w:r>
      <w:r>
        <w:rPr>
          <w:rFonts w:ascii="Arial" w:hAnsi="Arial"/>
        </w:rPr>
        <w:t xml:space="preserve"> </w:t>
      </w:r>
      <w:r>
        <w:rPr>
          <w:rFonts w:ascii="Arial" w:hAnsi="Arial"/>
        </w:rPr>
        <w:t xml:space="preserve">for the full GEE-export run).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w:t>
      </w:r>
    </w:p>
    <w:p>
      <w:r>
        <w:rPr>
          <w:rFonts w:ascii="Arial" w:hAnsi="Arial"/>
        </w:rPr>
        <w:pict>
          <v:rect style="width:0;height:1.5pt" o:hralign="center" o:hrstd="t" o:hr="t"/>
        </w:pict>
      </w:r>
    </w:p>
    <w:bookmarkEnd w:id="45"/>
    <w:bookmarkEnd w:id="46"/>
    <w:bookmarkStart w:id="54" w:name="results"/>
    <w:p>
      <w:pPr>
        <w:pStyle w:val="Heading2"/>
      </w:pPr>
      <w:r>
        <w:rPr>
          <w:rFonts w:ascii="Arial" w:hAnsi="Arial"/>
        </w:rPr>
        <w:t xml:space="preserve">4. Results</w:t>
      </w:r>
    </w:p>
    <w:bookmarkStart w:id="47" w:name="saline-flood-classifier-performance"/>
    <w:p>
      <w:pPr>
        <w:pStyle w:val="Heading3"/>
      </w:pPr>
      <w:r>
        <w:rPr>
          <w:rFonts w:ascii="Arial" w:hAnsi="Arial"/>
        </w:rPr>
        <w:t xml:space="preserve">4.1 Saline-Flood Classifier Performance</w:t>
      </w:r>
    </w:p>
    <w:p>
      <w:pPr>
        <w:pStyle w:val="FirstParagraph"/>
      </w:pPr>
      <w:r>
        <w:rPr>
          <w:rFonts w:ascii="Arial" w:hAnsi="Arial"/>
        </w:rP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(Figures 3–4).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Figure 3c and Table S10.</w:t>
      </w:r>
    </w:p>
    <w:p>
      <w:pPr>
        <w:pStyle w:val="BodyText"/>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42.19 with continuity correction (</w:t>
      </w:r>
      <w:r>
        <w:rPr>
          <w:rFonts w:ascii="Arial" w:hAnsi="Arial"/>
          <w:i/>
          <w:iCs/>
        </w:rPr>
        <w:t xml:space="preserve">p</w:t>
      </w:r>
      <w:r>
        <w:rPr>
          <w:rFonts w:ascii="Arial" w:hAnsi="Arial"/>
        </w:rPr>
        <w:t xml:space="preserve"> </w:t>
      </w:r>
      <w:r>
        <w:rPr>
          <w:rFonts w:ascii="Arial" w:hAnsi="Arial"/>
        </w:rP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p>
      <w:pPr>
        <w:keepNext/>
        <w:keepLines/>
        <w:jc w:val="center"/>
      </w:pPr>
      <w:r>
        <w:rPr>
          <w:rFonts w:ascii="Arial" w:hAnsi="Arial"/>
          <w:i/>
          <w:sz w:val="18"/>
        </w:rPr>
        <w:t>Figure 4. Per-district SOS time-series (2017–2022) for the five coastal-treated districts and three inland-control districts under the v2.1-corrected pipeline. Treatment-year SOS shifts visible at Bhadrak (Yaas 2021) and Kendrapara (Amphan 2020).</w:t>
      </w:r>
    </w:p>
    <w:p>
      <w:pPr>
        <w:keepNext w:val="0"/>
        <w:keepLines/>
        <w:jc w:val="center"/>
      </w:pPr>
      <w:r>
        <w:drawing>
          <wp:inline>
            <wp:extent cx="5760000" cy="387431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760000" cy="3874318"/>
                    </a:xfrm>
                    <a:prstGeom prst="rect"/>
                  </pic:spPr>
                </pic:pic>
              </a:graphicData>
            </a:graphic>
          </wp:inline>
        </w:drawing>
      </w:r>
    </w:p>
    <w:bookmarkEnd w:id="47"/>
    <w:bookmarkStart w:id="48" w:name="backscatter-signature-comparison"/>
    <w:p>
      <w:pPr>
        <w:pStyle w:val="Heading3"/>
      </w:pPr>
      <w:r>
        <w:rPr>
          <w:rFonts w:ascii="Arial" w:hAnsi="Arial"/>
        </w:rPr>
        <w:t xml:space="preserve">4.2 Backscatter Signature Comparison</w:t>
      </w:r>
    </w:p>
    <w:p>
      <w:pPr>
        <w:pStyle w:val="FirstParagraph"/>
      </w:pPr>
      <w:r>
        <w:rPr>
          <w:rFonts w:ascii="Arial" w:hAnsi="Arial"/>
        </w:rPr>
        <w:t xml:space="preserve">Visual and quantitative comparison of the SAR backscatter temporal profiles for cyclone-flood and agronomic-flood pixels reveals the nature of the confound (Figure 3).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(the full per-label seasonal-minimum timing is provided in Supplementary Table S11, derived from the v0.3.0-classifier-tagged label set used in the v2.1 panel correction below).</w:t>
      </w:r>
    </w:p>
    <w:p>
      <w:pPr>
        <w:pStyle w:val="BodyText"/>
      </w:pPr>
      <w:r>
        <w:rPr>
          <w:rFonts w:ascii="Arial" w:hAnsi="Arial"/>
        </w:rP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8"/>
    <w:bookmarkStart w:id="49" w:name="raw-vs.-corrected-phenological-dates"/>
    <w:p>
      <w:pPr>
        <w:pStyle w:val="Heading3"/>
      </w:pPr>
      <w:r>
        <w:rPr>
          <w:rFonts w:ascii="Arial" w:hAnsi="Arial"/>
        </w:rPr>
        <w:t xml:space="preserve">4.3 Raw vs. Corrected Phenological Dates</w:t>
      </w:r>
    </w:p>
    <w:p>
      <w:pPr>
        <w:pStyle w:val="FirstParagraph"/>
      </w:pPr>
      <w:r>
        <w:rPr>
          <w:rFonts w:ascii="Arial" w:hAnsi="Arial"/>
        </w:rPr>
        <w:t xml:space="preserve">Comparison of the raw and corrected pipelines for each cyclone-affected district-year reveals systematic but bounded biases in the uncorrected SOS, POS, and EOS estimates (Figures 5–6; per-(district, year, metric) values in Table S13a). Across the 13 cyclone-affected district-year cells in the v2.1 correction summary (4 Fani 2019, 4 Amphan 2020, 5 Yaas 2021), the mean absolute difference between raw and corrected SOS dates was</w:t>
      </w:r>
      <w:r>
        <w:rPr>
          <w:rFonts w:ascii="Arial" w:hAnsi="Arial"/>
        </w:rPr>
        <w:t xml:space="preserve"> </w:t>
      </w:r>
      <w:r>
        <w:rPr>
          <w:rFonts w:ascii="Arial" w:hAnsi="Arial"/>
          <w:b/>
          <w:bCs/>
        </w:rPr>
        <w:t xml:space="preserve">0.245 ± 0.272 days</w:t>
      </w:r>
      <w:r>
        <w:rPr>
          <w:rFonts w:ascii="Arial" w:hAnsi="Arial"/>
        </w:rPr>
        <w:t xml:space="preserve"> </w:t>
      </w:r>
      <w:r>
        <w:rPr>
          <w:rFonts w:ascii="Arial" w:hAnsi="Arial"/>
        </w:rPr>
        <w:t xml:space="preserve">(range 0.04–1.01 d). The largest single correction was applied to</w:t>
      </w:r>
      <w:r>
        <w:rPr>
          <w:rFonts w:ascii="Arial" w:hAnsi="Arial"/>
        </w:rPr>
        <w:t xml:space="preserve"> </w:t>
      </w:r>
      <w:r>
        <w:rPr>
          <w:rFonts w:ascii="Arial" w:hAnsi="Arial"/>
          <w:b/>
          <w:bCs/>
        </w:rPr>
        <w:t xml:space="preserve">Bhadrak in 2021 (Cyclone Yaas), where the SOS date shifted by −1.01 days</w:t>
      </w:r>
      <w:r>
        <w:rPr>
          <w:rFonts w:ascii="Arial" w:hAnsi="Arial"/>
        </w:rP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pStyle w:val="BodyText"/>
      </w:pPr>
      <w:r>
        <w:rPr>
          <w:rFonts w:ascii="Arial" w:hAnsi="Arial"/>
        </w:rPr>
        <w:t xml:space="preserve">For POS dates, the mean raw–corrected difference in treatment years was</w:t>
      </w:r>
      <w:r>
        <w:rPr>
          <w:rFonts w:ascii="Arial" w:hAnsi="Arial"/>
        </w:rPr>
        <w:t xml:space="preserve"> </w:t>
      </w:r>
      <w:r>
        <w:rPr>
          <w:rFonts w:ascii="Arial" w:hAnsi="Arial"/>
          <w:b/>
          <w:bCs/>
        </w:rPr>
        <w:t xml:space="preserve">0.122 ± 0.134 days</w:t>
      </w:r>
      <w:r>
        <w:rPr>
          <w:rFonts w:ascii="Arial" w:hAnsi="Arial"/>
        </w:rPr>
        <w:t xml:space="preserve"> </w:t>
      </w:r>
      <w:r>
        <w:rPr>
          <w:rFonts w:ascii="Arial" w:hAnsi="Arial"/>
        </w:rP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rPr>
          <w:rFonts w:ascii="Arial" w:hAnsi="Arial"/>
        </w:rPr>
        <w:t xml:space="preserve"> </w:t>
      </w:r>
      <w:r>
        <w:rPr>
          <w:rFonts w:ascii="Arial" w:hAnsi="Arial"/>
          <w:b/>
          <w:bCs/>
        </w:rPr>
        <w:t xml:space="preserve">0.337 ± 0.462 days</w:t>
      </w:r>
      <w:r>
        <w:rPr>
          <w:rFonts w:ascii="Arial" w:hAnsi="Arial"/>
        </w:rPr>
        <w:t xml:space="preserve"> </w:t>
      </w:r>
      <w:r>
        <w:rPr>
          <w:rFonts w:ascii="Arial" w:hAnsi="Arial"/>
        </w:rP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3.6.1, Limitation 6).</w:t>
      </w:r>
    </w:p>
    <w:p>
      <w:pPr>
        <w:pStyle w:val="BodyText"/>
      </w:pPr>
      <w:r>
        <w:rPr>
          <w:rFonts w:ascii="Arial" w:hAnsi="Arial"/>
        </w:rP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pStyle w:val="BodyText"/>
      </w:pPr>
      <w:r>
        <w:rPr>
          <w:rFonts w:ascii="Arial" w:hAnsi="Arial"/>
        </w:rPr>
        <w:t xml:space="preserve">A quantitative summary of raw vs. corrected MAE and RMSE for SOS, POS, and EOS by district and cyclone is presented in Table S1 (real_v21 column) and Table S13a (per-cell pixel shares).</w:t>
      </w:r>
    </w:p>
    <w:bookmarkEnd w:id="49"/>
    <w:bookmarkStart w:id="50" w:name="Xe97dbb1d10983c991e2718182d2578c3e60d71d"/>
    <w:p>
      <w:pPr>
        <w:pStyle w:val="Heading3"/>
      </w:pPr>
      <w:r>
        <w:rPr>
          <w:rFonts w:ascii="Arial" w:hAnsi="Arial"/>
        </w:rPr>
        <w:t xml:space="preserve">4.4 Difference-in-Differences Estimates and Robustness</w:t>
      </w:r>
    </w:p>
    <w:p>
      <w:pPr>
        <w:pStyle w:val="FirstParagraph"/>
      </w:pPr>
      <w:r>
        <w:rPr>
          <w:rFonts w:ascii="Arial" w:hAnsi="Arial"/>
          <w:b/>
          <w:bCs/>
        </w:rPr>
        <w:t xml:space="preserve">Headline DiD coefficients.</w:t>
      </w:r>
      <w:r>
        <w:rPr>
          <w:rFonts w:ascii="Arial" w:hAnsi="Arial"/>
        </w:rPr>
        <w:t xml:space="preserve"> </w:t>
      </w:r>
      <w:r>
        <w:rPr>
          <w:rFonts w:ascii="Arial" w:hAnsi="Arial"/>
        </w:rPr>
        <w:t xml:space="preserve">The TWFE-DiD specification (Eq. 4) returns the average treatment effect on the treated,</w:t>
      </w:r>
      <w:r>
        <w:rPr>
          <w:rFonts w:ascii="Arial" w:hAnsi="Arial"/>
        </w:rPr>
        <w:t xml:space="preserve"> </w:t>
      </w:r>
      <m:oMath>
        <m:acc>
          <m:accPr>
            <m:chr m:val="̂"/>
          </m:accPr>
          <m:e>
            <m:r>
              <m:t>τ</m:t>
            </m:r>
          </m:e>
        </m:acc>
      </m:oMath>
      <w:r>
        <w:rPr>
          <w:rFonts w:ascii="Arial" w:hAnsi="Arial"/>
        </w:rPr>
        <w:t xml:space="preserve">, separately for each (pipeline × phenometric) cell (Table S1; Figure 2). For the raw pipeline,</w:t>
      </w:r>
      <w:r>
        <w:rPr>
          <w:rFonts w:ascii="Arial" w:hAnsi="Arial"/>
        </w:rPr>
        <w:t xml:space="preserve"> </w:t>
      </w:r>
      <m:oMath>
        <m:sSub>
          <m:e>
            <m:acc>
              <m:accPr>
                <m:chr m:val="̂"/>
              </m:accPr>
              <m:e>
                <m:r>
                  <m:t>τ</m:t>
                </m:r>
              </m:e>
            </m:acc>
          </m:e>
          <m:sub>
            <m:r>
              <m:rPr>
                <m:nor/>
                <m:sty m:val="p"/>
              </m:rPr>
              <m:t>raw,SOS</m:t>
            </m:r>
          </m:sub>
        </m:sSub>
      </m:oMath>
      <w:r>
        <w:rPr>
          <w:rFonts w:ascii="Arial" w:hAnsi="Arial"/>
        </w:rPr>
        <w:t xml:space="preserve"> </w:t>
      </w:r>
      <w:r>
        <w:rPr>
          <w:rFonts w:ascii="Arial" w:hAnsi="Arial"/>
        </w:rPr>
        <w:t xml:space="preserve">= +15.289 d, CR1 SE =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 CI [−54.02, +84.60], B = 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w:t>
      </w:r>
      <w:r>
        <w:rPr>
          <w:rFonts w:ascii="Arial" w:hAnsi="Arial"/>
        </w:rPr>
        <w:t xml:space="preserve"> </w:t>
      </w:r>
      <m:oMath>
        <m:sSub>
          <m:e>
            <m:acc>
              <m:accPr>
                <m:chr m:val="̂"/>
              </m:accPr>
              <m:e>
                <m:r>
                  <m:t>τ</m:t>
                </m:r>
              </m:e>
            </m:acc>
          </m:e>
          <m:sub>
            <m:r>
              <m:rPr>
                <m:nor/>
                <m:sty m:val="p"/>
              </m:rPr>
              <m:t>raw,POS</m:t>
            </m:r>
          </m:sub>
        </m:sSub>
      </m:oMath>
      <w:r>
        <w:rPr>
          <w:rFonts w:ascii="Arial" w:hAnsi="Arial"/>
        </w:rPr>
        <w:t xml:space="preserve"> </w:t>
      </w:r>
      <w:r>
        <w:rPr>
          <w:rFonts w:ascii="Arial" w:hAnsi="Arial"/>
        </w:rPr>
        <w:t xml:space="preserve">= −3.587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WCR 95 % CI [−15.11, +7.94]) and</w:t>
      </w:r>
      <w:r>
        <w:rPr>
          <w:rFonts w:ascii="Arial" w:hAnsi="Arial"/>
        </w:rPr>
        <w:t xml:space="preserve"> </w:t>
      </w:r>
      <m:oMath>
        <m:sSub>
          <m:e>
            <m:acc>
              <m:accPr>
                <m:chr m:val="̂"/>
              </m:accPr>
              <m:e>
                <m:r>
                  <m:t>τ</m:t>
                </m:r>
              </m:e>
            </m:acc>
          </m:e>
          <m:sub>
            <m:r>
              <m:rPr>
                <m:nor/>
                <m:sty m:val="p"/>
              </m:rPr>
              <m:t>raw,EOS</m:t>
            </m:r>
          </m:sub>
        </m:sSub>
      </m:oMath>
      <w:r>
        <w:rPr>
          <w:rFonts w:ascii="Arial" w:hAnsi="Arial"/>
        </w:rPr>
        <w:t xml:space="preserve"> </w:t>
      </w:r>
      <w:r>
        <w:rPr>
          <w:rFonts w:ascii="Arial" w:hAnsi="Arial"/>
        </w:rPr>
        <w:t xml:space="preserve">≈ 0 d (right-censored: 20 of the 64 district-year EOS cells fall in the post-cyclone window and are right-censored by the season-end harvest cutoff, leaving n = 44 estimable EOS rows;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In the v2.1 classifier-corrected pipeline the SOS coefficient attenuates to</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 </w:t>
      </w:r>
      <w:r>
        <w:rPr>
          <w:rFonts w:ascii="Arial" w:hAnsi="Arial"/>
        </w:rPr>
        <w:t xml:space="preserve">= +15.108 d (CR1 SE = 17.312,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a Δτ̂ = −0.181 d shift corresponding to a 1.2 % reduction in absolute magnitude relative to the raw pipeline — small but directionally consistent with the pre-registered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w:t>
      </w:r>
      <w:r>
        <w:rPr>
          <w:rFonts w:ascii="Arial" w:hAnsi="Arial"/>
        </w:rPr>
        <w:t xml:space="preserve">(§3.6, OSF c4mp8). The corrected/POS coefficient was −3.677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Δτ̂ = −0.090 d), and the corrected/EOS coefficient moved from the degenerate raw value to</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(CR1 SE =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consistent with the pre-registered prediction that the saline-surge correction is mechanism-specific to the early-season anchor while the end-of-season DiD coefficient remains statistically indistinguishable from zero.</w:t>
      </w:r>
    </w:p>
    <w:p>
      <w:pPr>
        <w:pStyle w:val="BodyText"/>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corrected/SOS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corrected/POS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corrected/EOS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this null result reflects the small-G regime (G = 8 clusters) discussed in the Provenance note, not a failure of the research design; (ii) the leave-one-out jackknife (Table S5) flags all six cells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under the published threshold (Bhadrak removal shifts raw/SOS τ̂ by 76.1 % and corrected/SOS τ̂ by 76.7 %; Cuttack removal shifts raw/POS τ̂ by 55.8 % and corrected/POS τ̂ by 54.7 %; Bhadrak removal shifts corrected/EOS τ̂ by 60.2 %), consistent with the n = 8 cluster geometry rather than with model misspecification;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(SOS) and 0.286 (POS),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after Bonferroni-correction across the six-cell family; (iv) the in-time pseudo-shifted placebo (§3.7.4) yields pseudo-coefficients within ±76.5 d of zero across all six cells — the largest in absolute value being raw/SOS at +1.68 d, less than one-third of the real coefficient; (v) the post-hoc minimum detectable effect analysis (Table S6) shows that</w:t>
      </w:r>
      <w:r>
        <w:rPr>
          <w:rFonts w:ascii="Arial" w:hAnsi="Arial"/>
        </w:rPr>
        <w:t xml:space="preserve"> </w:t>
      </w:r>
      <w:r>
        <w:rPr>
          <w:rFonts w:ascii="Arial" w:hAnsi="Arial"/>
          <w:i/>
          <w:iCs/>
        </w:rPr>
        <w:t xml:space="preserve">no</w:t>
      </w:r>
      <w:r>
        <w:rPr>
          <w:rFonts w:ascii="Arial" w:hAnsi="Arial"/>
        </w:rPr>
        <w:t xml:space="preserve"> </w:t>
      </w:r>
      <w:r>
        <w:rPr>
          <w:rFonts w:ascii="Arial" w:hAnsi="Arial"/>
        </w:rPr>
        <w:t xml:space="preserve">observed effect exceeds its MDE under the small-G regime (G = 8, df = 7,</w:t>
      </w:r>
      <w:r>
        <w:rPr>
          <w:rFonts w:ascii="Arial" w:hAnsi="Arial"/>
        </w:rPr>
        <w:t xml:space="preserve"> </w:t>
      </w:r>
      <m:oMath>
        <m:r>
          <m:t>α</m:t>
        </m:r>
      </m:oMath>
      <w:r>
        <w:rPr>
          <w:rFonts w:ascii="Arial" w:hAnsi="Arial"/>
        </w:rPr>
        <w:t xml:space="preserve"> </w:t>
      </w:r>
      <w:r>
        <w:rPr>
          <w:rFonts w:ascii="Arial" w:hAnsi="Arial"/>
        </w:rPr>
        <w:t xml:space="preserve">= 0.05, power = 0.80): MDE₂-sided ranges from 0.55 d (corrected/EOS) to 56.5 d (raw/SOS), and the largest |τ̂|/MDE ratio across the six cells is 0.43 (corrected/EOS) — i.e. every observed effect is smaller than the effect size the design can detect with 80 % power at α = 0.05. This is the formal small-G underpowering result that mirrors the WCR null conclusions in (i): the study is</w:t>
      </w:r>
      <w:r>
        <w:rPr>
          <w:rFonts w:ascii="Arial" w:hAnsi="Arial"/>
        </w:rPr>
        <w:t xml:space="preserve"> </w:t>
      </w:r>
      <w:r>
        <w:rPr>
          <w:rFonts w:ascii="Arial" w:hAnsi="Arial"/>
          <w:i/>
          <w:iCs/>
        </w:rPr>
        <w:t xml:space="preserve">underpowered to detect</w:t>
      </w:r>
      <w:r>
        <w:rPr>
          <w:rFonts w:ascii="Arial" w:hAnsi="Arial"/>
        </w:rPr>
        <w:t xml:space="preserve"> </w:t>
      </w:r>
      <w:r>
        <w:rPr>
          <w:rFonts w:ascii="Arial" w:hAnsi="Arial"/>
        </w:rPr>
        <w:t xml:space="preserve">any of the observed effects at conventional thresholds, not that the effects are absent. The corrected/EOS cell — the smallest |τ̂|/MDE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keepNext/>
        <w:keepLines/>
        <w:jc w:val="center"/>
      </w:pPr>
      <w:r>
        <w:rPr>
          <w:rFonts w:ascii="Arial" w:hAnsi="Arial"/>
          <w:i/>
          <w:sz w:val="18"/>
        </w:rPr>
        <w:t>Figure 6. In-space placebo distribution from donor-swap permutation (56 reassignments of treatment status to inland-control districts). Real τ̂ marked by red dashed line. Corrected/EOS cell hits the design-floor p_perm = 0.018 at G = 8.</w:t>
      </w:r>
    </w:p>
    <w:p>
      <w:pPr>
        <w:keepNext w:val="0"/>
        <w:keepLines/>
        <w:jc w:val="center"/>
      </w:pPr>
      <w:r>
        <w:drawing>
          <wp:inline>
            <wp:extent cx="5400000" cy="3205273"/>
            <wp:docPr id="6" name="Picture 6"/>
            <wp:cNvGraphicFramePr>
              <a:graphicFrameLocks noChangeAspect="1"/>
            </wp:cNvGraphicFramePr>
            <a:graphic>
              <a:graphicData uri="http://schemas.openxmlformats.org/drawingml/2006/picture">
                <pic:pic>
                  <pic:nvPicPr>
                    <pic:cNvPr id="0" name="fig6_placebo_distribution.png"/>
                    <pic:cNvPicPr/>
                  </pic:nvPicPr>
                  <pic:blipFill>
                    <a:blip r:embed="rId14"/>
                    <a:stretch>
                      <a:fillRect/>
                    </a:stretch>
                  </pic:blipFill>
                  <pic:spPr>
                    <a:xfrm>
                      <a:off x="0" y="0"/>
                      <a:ext cx="5400000" cy="3205273"/>
                    </a:xfrm>
                    <a:prstGeom prst="rect"/>
                  </pic:spPr>
                </pic:pic>
              </a:graphicData>
            </a:graphic>
          </wp:inline>
        </w:drawing>
      </w:r>
    </w:p>
    <w:p>
      <w:pPr>
        <w:pStyle w:val="BodyText"/>
      </w:pPr>
      <w:r>
        <w:rPr>
          <w:rFonts w:ascii="Arial" w:hAnsi="Arial"/>
          <w:b/>
          <w:bCs/>
        </w:rPr>
        <w:t xml:space="preserve">Out-of-sample transferability (Cyclone Bulbul; Table S3).</w:t>
      </w:r>
      <w:r>
        <w:rPr>
          <w:rFonts w:ascii="Arial" w:hAnsi="Arial"/>
        </w:rPr>
        <w:t xml:space="preserve"> </w:t>
      </w:r>
      <w:r>
        <w:rPr>
          <w:rFonts w:ascii="Arial" w:hAnsi="Arial"/>
        </w:rPr>
        <w:t xml:space="preserve">Applying the v0.3.0 classifier-corrected SOS DiD coefficient as a plug-in prediction to the six Bulbul-rainfall districts (West Bengal coast, November 2019) yields per-district residuals against the trained τ̂_corrected_SOS = +15.11 d that are predominantly negative (Boudh −2.09 d, Ganjam −5.85 d, Kandhamal −1.44 d, Khordha −3.02 d, Mayurbhanj −0.39 d, Nayagarh +1.34 d; mean residual −2.08 d; 5 of 6 districts &lt; 0). This pattern — directionally inconsistent with positive transfer — is itself a meaningful, falsifiable result: it indicates that the surge-trained v2.1 correction does not extrapolate to a post-monsoon rainfall-dominated event, providing evidence that the correction mechanism is</w:t>
      </w:r>
      <w:r>
        <w:rPr>
          <w:rFonts w:ascii="Arial" w:hAnsi="Arial"/>
        </w:rPr>
        <w:t xml:space="preserve"> </w:t>
      </w:r>
      <w:r>
        <w:rPr>
          <w:rFonts w:ascii="Arial" w:hAnsi="Arial"/>
          <w:i/>
          <w:iCs/>
        </w:rPr>
        <w:t xml:space="preserve">cyclone-class-specific</w:t>
      </w:r>
      <w:r>
        <w:rPr>
          <w:rFonts w:ascii="Arial" w:hAnsi="Arial"/>
        </w:rPr>
        <w:t xml:space="preserve"> </w:t>
      </w:r>
      <w:r>
        <w:rPr>
          <w:rFonts w:ascii="Arial" w:hAnsi="Arial"/>
        </w:rPr>
        <w:t xml:space="preserve">rather than a universal SAR-flood adjustment. The pixel-share weighting that drives the v2.1 correction depends on the trained classifier’s mask, which was learnt on summer-monsoon surge events; the Bulbul probe shows that this mask does not capture the spatial-temporal signature of post-monsoon freshwater rainfall. Bulbul never enters the panel that identifies</w:t>
      </w:r>
      <w:r>
        <w:rPr>
          <w:rFonts w:ascii="Arial" w:hAnsi="Arial"/>
        </w:rPr>
        <w:t xml:space="preserve"> </w:t>
      </w:r>
      <m:oMath>
        <m:acc>
          <m:accPr>
            <m:chr m:val="̂"/>
          </m:accPr>
          <m:e>
            <m:r>
              <m:t>τ</m:t>
            </m:r>
          </m:e>
        </m:acc>
      </m:oMath>
      <w:r>
        <w:rPr>
          <w:rFonts w:ascii="Arial" w:hAnsi="Arial"/>
        </w:rPr>
        <w:t xml:space="preserve">; this analysis is genuinely out-of-sample and is reported as a falsifiability check, not as support for blanket transferability.</w:t>
      </w:r>
    </w:p>
    <w:bookmarkEnd w:id="50"/>
    <w:bookmarkStart w:id="51" w:name="multi-source-validation"/>
    <w:p>
      <w:pPr>
        <w:pStyle w:val="Heading3"/>
      </w:pPr>
      <w:r>
        <w:rPr>
          <w:rFonts w:ascii="Arial" w:hAnsi="Arial"/>
        </w:rPr>
        <w:t xml:space="preserve">4.5 Multi-Source Validation</w:t>
      </w:r>
    </w:p>
    <w:p>
      <w:pPr>
        <w:pStyle w:val="FirstParagraph"/>
      </w:pPr>
      <w:r>
        <w:rPr>
          <w:rFonts w:ascii="Arial" w:hAnsi="Arial"/>
          <w:b/>
          <w:bCs/>
        </w:rPr>
        <w:t xml:space="preserve">Against MODIS MCD12Q2.</w:t>
      </w:r>
      <w:r>
        <w:rPr>
          <w:rFonts w:ascii="Arial" w:hAnsi="Arial"/>
        </w:rPr>
        <w:t xml:space="preserve"> </w:t>
      </w:r>
      <w:r>
        <w:rPr>
          <w:rFonts w:ascii="Arial" w:hAnsi="Arial"/>
        </w:rP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rFonts w:ascii="Arial" w:hAnsi="Arial"/>
          <w:b/>
          <w:bCs/>
        </w:rPr>
        <w:t xml:space="preserve">Against ICRISAT VDSA Bhadrak.</w:t>
      </w:r>
      <w:r>
        <w:rPr>
          <w:rFonts w:ascii="Arial" w:hAnsi="Arial"/>
        </w:rPr>
        <w:t xml:space="preserve"> </w:t>
      </w:r>
      <w:r>
        <w:rPr>
          <w:rFonts w:ascii="Arial" w:hAnsi="Arial"/>
        </w:rP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rFonts w:ascii="Arial" w:hAnsi="Arial"/>
          <w:b/>
          <w:bCs/>
        </w:rPr>
        <w:t xml:space="preserve">District yield-anomaly cross-check.</w:t>
      </w:r>
      <w:r>
        <w:rPr>
          <w:rFonts w:ascii="Arial" w:hAnsi="Arial"/>
        </w:rPr>
        <w:t xml:space="preserve"> </w:t>
      </w:r>
      <w:r>
        <w:rPr>
          <w:rFonts w:ascii="Arial" w:hAnsi="Arial"/>
        </w:rP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rPr>
          <w:rFonts w:ascii="Arial" w:hAnsi="Arial"/>
        </w:rPr>
        <w:t xml:space="preserve"> </w:t>
      </w:r>
      <w:r>
        <w:rPr>
          <w:rFonts w:ascii="Arial" w:hAnsi="Arial"/>
          <w:i/>
          <w:iCs/>
        </w:rPr>
        <w:t xml:space="preserve">strengthens</w:t>
      </w:r>
      <w:r>
        <w:rPr>
          <w:rFonts w:ascii="Arial" w:hAnsi="Arial"/>
        </w:rPr>
        <w:t xml:space="preserve"> </w:t>
      </w:r>
      <w:r>
        <w:rPr>
          <w:rFonts w:ascii="Arial" w:hAnsi="Arial"/>
        </w:rPr>
        <w:t xml:space="preserve">the yield-coupling correlation; rather, the v2.1 correction</w:t>
      </w:r>
      <w:r>
        <w:rPr>
          <w:rFonts w:ascii="Arial" w:hAnsi="Arial"/>
        </w:rPr>
        <w:t xml:space="preserve"> </w:t>
      </w:r>
      <w:r>
        <w:rPr>
          <w:rFonts w:ascii="Arial" w:hAnsi="Arial"/>
          <w:i/>
          <w:iCs/>
        </w:rPr>
        <w:t xml:space="preserve">does not damage</w:t>
      </w:r>
      <w:r>
        <w:rPr>
          <w:rFonts w:ascii="Arial" w:hAnsi="Arial"/>
        </w:rPr>
        <w:t xml:space="preserve"> </w:t>
      </w:r>
      <w:r>
        <w:rPr>
          <w:rFonts w:ascii="Arial" w:hAnsi="Arial"/>
        </w:rPr>
        <w:t xml:space="preserve">the v1 yield-coupling result — consistent with the small-correction empirical finding.</w:t>
      </w:r>
    </w:p>
    <w:bookmarkEnd w:id="51"/>
    <w:bookmarkStart w:id="52" w:name="transferability-to-andhra-pradesh"/>
    <w:p>
      <w:pPr>
        <w:pStyle w:val="Heading3"/>
      </w:pPr>
      <w:r>
        <w:rPr>
          <w:rFonts w:ascii="Arial" w:hAnsi="Arial"/>
        </w:rPr>
        <w:t xml:space="preserve">4.6 Transferability to Andhra Pradesh</w:t>
      </w:r>
    </w:p>
    <w:p>
      <w:pPr>
        <w:pStyle w:val="FirstParagraph"/>
      </w:pPr>
      <w:r>
        <w:rPr>
          <w:rFonts w:ascii="Arial" w:hAnsi="Arial"/>
        </w:rP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rPr>
          <w:rFonts w:ascii="Arial" w:hAnsi="Arial"/>
        </w:rPr>
        <w:t xml:space="preserve">4.7 Pixel-Level Uncertainty Maps</w:t>
      </w:r>
    </w:p>
    <w:p>
      <w:pPr>
        <w:pStyle w:val="FirstParagraph"/>
      </w:pPr>
      <w:r>
        <w:rPr>
          <w:rFonts w:ascii="Arial" w:hAnsi="Arial"/>
        </w:rPr>
        <w:t xml:space="preserve">Pixel-level bootstrap 95% confidence intervals for the corrected SOS dates (released as GeoTIFFs in the Mendeley deposit; per-district summary in Table S12)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 the quantitative comparison of v2.1-corrected vs. v1-raw CI half-widths is reported in Supplementary Table S12.</w:t>
      </w:r>
    </w:p>
    <w:p>
      <w:r>
        <w:rPr>
          <w:rFonts w:ascii="Arial" w:hAnsi="Arial"/>
        </w:rPr>
        <w:pict>
          <v:rect style="width:0;height:1.5pt" o:hralign="center" o:hrstd="t" o:hr="t"/>
        </w:pict>
      </w:r>
    </w:p>
    <w:bookmarkEnd w:id="53"/>
    <w:bookmarkEnd w:id="54"/>
    <w:bookmarkStart w:id="60" w:name="discussion"/>
    <w:p>
      <w:pPr>
        <w:pStyle w:val="Heading2"/>
      </w:pPr>
      <w:r>
        <w:rPr>
          <w:rFonts w:ascii="Arial" w:hAnsi="Arial"/>
        </w:rPr>
        <w:t xml:space="preserve">5. Discussion</w:t>
      </w:r>
    </w:p>
    <w:bookmarkStart w:id="55" w:name="X413039ce8929f692f4677f6755de7c428e81743"/>
    <w:p>
      <w:pPr>
        <w:pStyle w:val="Heading3"/>
      </w:pPr>
      <w:r>
        <w:rPr>
          <w:rFonts w:ascii="Arial" w:hAnsi="Arial"/>
        </w:rPr>
        <w:t xml:space="preserve">5.1 The Cyclone-Flood Confound is Real and Consequential</w:t>
      </w:r>
    </w:p>
    <w:p>
      <w:pPr>
        <w:pStyle w:val="FirstParagrap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(Δτ̂ =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rPr>
          <w:rFonts w:ascii="Arial" w:hAnsi="Arial"/>
        </w:rPr>
        <w:t xml:space="preserve">The v2.1 correction framework shifts the district-aggregated SOS DiD coefficient from +15.289 d (raw) to +15.108 d (corrected) — a Δτ̂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t>
      </w:r>
      <w:r>
        <w:rPr>
          <w:rFonts w:ascii="Arial" w:hAnsi="Arial"/>
        </w:rPr>
        <w:t xml:space="preserve">is directionally satisfied for SOS (15.289 &gt; 15.108 &gt; 0), and the corrected/EOS coefficient (−0.239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rPr>
          <w:rFonts w:ascii="Arial" w:hAnsi="Arial"/>
        </w:rPr>
        <w:t xml:space="preserve">5.2 Comparison with Prior SAR Rice Phenology Work</w:t>
      </w:r>
    </w:p>
    <w:p>
      <w:pPr>
        <w:pStyle w:val="FirstParagrap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rPr>
          <w:rFonts w:ascii="Arial" w:hAnsi="Arial"/>
        </w:rPr>
        <w:t xml:space="preserve">5.3 Implications for Climate-Vulnerability Assessment</w:t>
      </w:r>
    </w:p>
    <w:p>
      <w:pPr>
        <w:pStyle w:val="FirstParagrap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rPr>
          <w:rFonts w:ascii="Arial" w:hAnsi="Arial"/>
        </w:rPr>
        <w:t xml:space="preserve">5.4 Limitations</w:t>
      </w:r>
    </w:p>
    <w:p>
      <w:pPr>
        <w:pStyle w:val="FirstParagrap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rPr>
          <w:rFonts w:ascii="Arial" w:hAnsi="Arial"/>
        </w:rPr>
        <w:t xml:space="preserve">5.5 Future Work</w:t>
      </w:r>
    </w:p>
    <w:p>
      <w:pPr>
        <w:pStyle w:val="FirstParagrap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rPr>
          <w:rFonts w:ascii="Arial" w:hAnsi="Arial"/>
        </w:rPr>
        <w:pict>
          <v:rect style="width:0;height:1.5pt" o:hralign="center" o:hrstd="t" o:hr="t"/>
        </w:pict>
      </w:r>
    </w:p>
    <w:bookmarkEnd w:id="59"/>
    <w:bookmarkEnd w:id="60"/>
    <w:bookmarkStart w:id="61" w:name="conclusions"/>
    <w:p>
      <w:pPr>
        <w:pStyle w:val="Heading2"/>
      </w:pPr>
      <w:r>
        <w:rPr>
          <w:rFonts w:ascii="Arial" w:hAnsi="Arial"/>
        </w:rPr>
        <w:t xml:space="preserve">6. Conclusions</w:t>
      </w:r>
    </w:p>
    <w:p>
      <w:pPr>
        <w:pStyle w:val="FirstParagrap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rFonts w:ascii="Arial" w:hAnsi="Arial"/>
          <w:b/>
          <w:bCs/>
        </w:rPr>
        <w:t xml:space="preserve">Word count (Conclusions): 250 words</w:t>
      </w:r>
    </w:p>
    <w:p>
      <w:r>
        <w:rPr>
          <w:rFonts w:ascii="Arial" w:hAnsi="Arial"/>
        </w:rPr>
        <w:pict>
          <v:rect style="width:0;height:1.5pt" o:hralign="center" o:hrstd="t" o:hr="t"/>
        </w:pict>
      </w:r>
    </w:p>
    <w:bookmarkEnd w:id="61"/>
    <w:bookmarkStart w:id="62" w:name="credit-author-contribution-statement"/>
    <w:p>
      <w:pPr>
        <w:pStyle w:val="Heading2"/>
      </w:pPr>
      <w:r>
        <w:rPr>
          <w:rFonts w:ascii="Arial" w:hAnsi="Arial"/>
        </w:rP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rPr>
                <w:rFonts w:ascii="Arial" w:hAnsi="Arial"/>
                <w:sz w:val="18"/>
              </w:rPr>
              <w:t xml:space="preserve">Contribution (CRediT taxonomy)</w:t>
            </w:r>
          </w:p>
        </w:tc>
        <w:tc>
          <w:tcPr/>
          <w:p>
            <w:pPr>
              <w:pStyle w:val="Compact"/>
              <w:jc w:val="left"/>
            </w:pPr>
            <w:r>
              <w:rPr>
                <w:rFonts w:ascii="Arial" w:hAnsi="Arial"/>
                <w:sz w:val="18"/>
              </w:rPr>
              <w:t xml:space="preserve">Supranab Panda</w:t>
            </w:r>
          </w:p>
        </w:tc>
        <w:tc>
          <w:tcPr/>
          <w:p>
            <w:pPr>
              <w:pStyle w:val="Compact"/>
              <w:jc w:val="left"/>
            </w:pPr>
            <w:r>
              <w:rPr>
                <w:rFonts w:ascii="Arial" w:hAnsi="Arial"/>
                <w:sz w:val="18"/>
              </w:rPr>
              <w:t xml:space="preserve">Sarat Chandra Sahu</w:t>
            </w:r>
          </w:p>
        </w:tc>
      </w:tr>
      <w:tr>
        <w:tc>
          <w:tcPr/>
          <w:p>
            <w:pPr>
              <w:pStyle w:val="Compact"/>
              <w:jc w:val="left"/>
            </w:pPr>
            <w:r>
              <w:rPr>
                <w:rFonts w:ascii="Arial" w:hAnsi="Arial"/>
                <w:sz w:val="18"/>
              </w:rPr>
              <w:t xml:space="preserve">Conceptualisation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Methodology</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Software (GEE code, Python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Formal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Investigation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Resources</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Data curation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Writing — original draft</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Writing — review &amp; editing</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Visualisation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Supervision</w:t>
            </w:r>
          </w:p>
        </w:tc>
        <w:tc>
          <w:tcPr/>
          <w:p>
            <w:pPr>
              <w:pStyle w:val="Compact"/>
              <w:jc w:val="left"/>
            </w:pPr>
            <w:r>
              <w:rPr>
                <w:rFonts w:ascii="Arial" w:hAnsi="Arial"/>
                <w:sz w:val="18"/>
              </w:rPr>
              <w:t xml:space="preserve">—</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Project administration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Funding acquisition</w:t>
            </w:r>
          </w:p>
        </w:tc>
        <w:tc>
          <w:tcPr/>
          <w:p>
            <w:pPr>
              <w:pStyle w:val="Compact"/>
              <w:jc w:val="left"/>
            </w:pPr>
            <w:r>
              <w:rPr>
                <w:rFonts w:ascii="Arial" w:hAnsi="Arial"/>
                <w:sz w:val="18"/>
              </w:rPr>
              <w:t xml:space="preserve">—</w:t>
            </w:r>
          </w:p>
        </w:tc>
        <w:tc>
          <w:tcPr/>
          <w:p>
            <w:pPr>
              <w:pStyle w:val="Compact"/>
              <w:jc w:val="left"/>
            </w:pPr>
            <w:r>
              <w:rPr>
                <w:rFonts w:ascii="Arial" w:hAnsi="Arial"/>
                <w:sz w:val="18"/>
              </w:rPr>
              <w:t xml:space="preserve">Lead</w:t>
            </w:r>
          </w:p>
        </w:tc>
      </w:tr>
    </w:tbl>
    <w:p>
      <w:pPr>
        <w:pStyle w:val="BodyText"/>
      </w:pPr>
      <w:r>
        <w:rPr>
          <w:rFonts w:ascii="Arial" w:hAnsi="Arial"/>
          <w:i/>
          <w:iCs/>
        </w:rPr>
        <w:t xml:space="preserve">Author affiliations and full contact details are listed in the title block; additional contributors, if any, will be reflected in this matrix prior to journal submission.</w:t>
      </w:r>
    </w:p>
    <w:p>
      <w:r>
        <w:rPr>
          <w:rFonts w:ascii="Arial" w:hAnsi="Arial"/>
        </w:rPr>
        <w:pict>
          <v:rect style="width:0;height:1.5pt" o:hralign="center" o:hrstd="t" o:hr="t"/>
        </w:pict>
      </w:r>
    </w:p>
    <w:bookmarkEnd w:id="62"/>
    <w:bookmarkStart w:id="63" w:name="declaration-of-competing-interests"/>
    <w:p>
      <w:pPr>
        <w:pStyle w:val="Heading2"/>
      </w:pPr>
      <w:r>
        <w:rPr>
          <w:rFonts w:ascii="Arial" w:hAnsi="Arial"/>
        </w:rPr>
        <w:t xml:space="preserve">Declaration of Competing Interests</w:t>
      </w:r>
    </w:p>
    <w:p>
      <w:pPr>
        <w:pStyle w:val="FirstParagraph"/>
      </w:pPr>
      <w:r>
        <w:rPr>
          <w:rFonts w:ascii="Arial" w:hAnsi="Arial"/>
        </w:rPr>
        <w:t xml:space="preserve">The authors declare that they have no known competing financial interests or personal relationships that could have appeared to influence the work reported in this paper.</w:t>
      </w:r>
    </w:p>
    <w:p>
      <w:r>
        <w:rPr>
          <w:rFonts w:ascii="Arial" w:hAnsi="Arial"/>
        </w:rPr>
        <w:pict>
          <v:rect style="width:0;height:1.5pt" o:hralign="center" o:hrstd="t" o:hr="t"/>
        </w:pict>
      </w:r>
    </w:p>
    <w:bookmarkEnd w:id="63"/>
    <w:bookmarkStart w:id="64" w:name="X071796dd6bc546c91e96cca1cf5ff96599de61f"/>
    <w:p>
      <w:pPr>
        <w:pStyle w:val="Heading2"/>
      </w:pPr>
      <w:r>
        <w:rPr>
          <w:rFonts w:ascii="Arial" w:hAnsi="Arial"/>
        </w:rPr>
        <w:t xml:space="preserve">Declaration of Generative AI and AI-Assisted Technologies in the Writing Process</w:t>
      </w:r>
    </w:p>
    <w:p>
      <w:pPr>
        <w:pStyle w:val="FirstParagrap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rPr>
          <w:rFonts w:ascii="Arial" w:hAnsi="Arial"/>
        </w:rPr>
        <w:pict>
          <v:rect style="width:0;height:1.5pt" o:hralign="center" o:hrstd="t" o:hr="t"/>
        </w:pict>
      </w:r>
    </w:p>
    <w:bookmarkEnd w:id="64"/>
    <w:bookmarkStart w:id="65" w:name="funding"/>
    <w:p>
      <w:pPr>
        <w:pStyle w:val="Heading2"/>
      </w:pPr>
      <w:r>
        <w:rPr>
          <w:rFonts w:ascii="Arial" w:hAnsi="Arial"/>
        </w:rPr>
        <w:t xml:space="preserve">Funding</w:t>
      </w:r>
    </w:p>
    <w:p>
      <w:pPr>
        <w:pStyle w:val="FirstParagraph"/>
      </w:pPr>
      <w:r>
        <w:rPr>
          <w:rFonts w:ascii="Arial" w:hAnsi="Arial"/>
        </w:rPr>
        <w:t xml:space="preserve">This research did not receive any specific grant from funding agencies in the public, commercial, or not-for-profit sectors.</w:t>
      </w:r>
    </w:p>
    <w:p>
      <w:pPr>
        <w:pStyle w:val="BodyText"/>
      </w:pPr>
      <w:r>
        <w:rPr>
          <w:rFonts w:ascii="Arial" w:hAnsi="Arial"/>
          <w:i/>
          <w:iCs/>
        </w:rPr>
        <w:t xml:space="preserve">[Note to author: update this statement if funding is received. Standard Elsevier funder acknowledgement with grant numbers should be added here prior to submission.]</w:t>
      </w:r>
    </w:p>
    <w:p>
      <w:r>
        <w:rPr>
          <w:rFonts w:ascii="Arial" w:hAnsi="Arial"/>
        </w:rPr>
        <w:pict>
          <v:rect style="width:0;height:1.5pt" o:hralign="center" o:hrstd="t" o:hr="t"/>
        </w:pict>
      </w:r>
    </w:p>
    <w:bookmarkEnd w:id="65"/>
    <w:bookmarkStart w:id="72" w:name="data-availability-statement"/>
    <w:p>
      <w:pPr>
        <w:pStyle w:val="Heading2"/>
      </w:pPr>
      <w:r>
        <w:rPr>
          <w:rFonts w:ascii="Arial" w:hAnsi="Arial"/>
        </w:rPr>
        <w:t xml:space="preserve">Data Availability Statement</w:t>
      </w:r>
    </w:p>
    <w:p>
      <w:pPr>
        <w:pStyle w:val="FirstParagraph"/>
      </w:pPr>
      <w:r>
        <w:rPr>
          <w:rFonts w:ascii="Arial" w:hAnsi="Arial"/>
        </w:rPr>
        <w:t xml:space="preserve">The processed corrected and uncorrected Sentinel-1/2 Kharif rice phenological date rasters (SOS, POS, EOS, correction bias Δ</w:t>
      </w:r>
      <w:r>
        <w:rPr>
          <w:rFonts w:ascii="Arial" w:hAnsi="Arial"/>
          <w:i/>
          <w:iCs/>
        </w:rPr>
        <w:t xml:space="preserve">D</w:t>
      </w:r>
      <w:r>
        <w:rPr>
          <w:rFonts w:ascii="Arial" w:hAnsi="Arial"/>
        </w:rP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 All Google Earth Engine JavaScript processing code and Python statistical analysis scripts are publicly available at</w:t>
      </w:r>
      <w:r>
        <w:rPr>
          <w:rFonts w:ascii="Arial" w:hAnsi="Arial"/>
        </w:rPr>
        <w:t xml:space="preserve"> </w:t>
      </w:r>
      <w:hyperlink r:id="rId66">
        <w:r>
          <w:rPr>
            <w:rStyle w:val="Hyperlink"/>
          </w:rPr>
          <w:t xml:space="preserve">https://github.com/pandasupranab/RiceBaCI-GEE</w:t>
        </w:r>
      </w:hyperlink>
      <w:r>
        <w:rPr>
          <w:rFonts w:ascii="Arial" w:hAnsi="Arial"/>
        </w:rPr>
        <w:t xml:space="preserve"> </w:t>
      </w:r>
      <w:r>
        <w:rPr>
          <w:rFonts w:ascii="Arial" w:hAnsi="Arial"/>
        </w:rPr>
        <w:t xml:space="preserve">under an MIT licence; tagged source-code releases corresponding to the pre-registration (v0.1.0-prereg) and successive submission snapshots are permanently archived on Zenodo (concept DOI:</w:t>
      </w:r>
      <w:r>
        <w:rPr>
          <w:rFonts w:ascii="Arial" w:hAnsi="Arial"/>
        </w:rPr>
        <w:t xml:space="preserve"> </w:t>
      </w:r>
      <w:hyperlink r:id="rId67">
        <w:r>
          <w:rPr>
            <w:rStyle w:val="Hyperlink"/>
          </w:rPr>
          <w:t xml:space="preserve">10.5281/zenodo.20024578</w:t>
        </w:r>
      </w:hyperlink>
      <w:r>
        <w:rPr>
          <w:rFonts w:ascii="Arial" w:hAnsi="Arial"/>
        </w:rPr>
        <w:t xml:space="preserve">; v0.1.1-prereg DOI:</w:t>
      </w:r>
      <w:r>
        <w:rPr>
          <w:rFonts w:ascii="Arial" w:hAnsi="Arial"/>
        </w:rPr>
        <w:t xml:space="preserve"> </w:t>
      </w:r>
      <w:hyperlink r:id="rId68">
        <w:r>
          <w:rPr>
            <w:rStyle w:val="Hyperlink"/>
          </w:rPr>
          <w:t xml:space="preserve">10.5281/zenodo.20024579</w:t>
        </w:r>
      </w:hyperlink>
      <w:r>
        <w:rPr>
          <w:rFonts w:ascii="Arial" w:hAnsi="Arial"/>
        </w:rPr>
        <w:t xml:space="preserve">; v1.0.0-submission DOI:</w:t>
      </w:r>
      <w:r>
        <w:rPr>
          <w:rFonts w:ascii="Arial" w:hAnsi="Arial"/>
        </w:rPr>
        <w:t xml:space="preserve"> </w:t>
      </w:r>
      <w:hyperlink r:id="rId69">
        <w:r>
          <w:rPr>
            <w:rStyle w:val="Hyperlink"/>
          </w:rPr>
          <w:t xml:space="preserve">10.5281/zenodo.20585636</w:t>
        </w:r>
      </w:hyperlink>
      <w:r>
        <w:rPr>
          <w:rFonts w:ascii="Arial" w:hAnsi="Arial"/>
        </w:rPr>
        <w:t xml:space="preserve">; v1.0.1-submission DOI:</w:t>
      </w:r>
      <w:r>
        <w:rPr>
          <w:rFonts w:ascii="Arial" w:hAnsi="Arial"/>
        </w:rPr>
        <w:t xml:space="preserve"> </w:t>
      </w:r>
      <w:hyperlink r:id="rId70">
        <w:r>
          <w:rPr>
            <w:rStyle w:val="Hyperlink"/>
          </w:rPr>
          <w:t xml:space="preserve">10.5281/zenodo.20587316</w:t>
        </w:r>
      </w:hyperlink>
      <w:r>
        <w:rPr>
          <w:rFonts w:ascii="Arial" w:hAnsi="Arial"/>
        </w:rPr>
        <w:t xml:space="preserve">). The study pre-registration, including all pre-specified hypotheses, analysis decisions, and inference criteria, is available at</w:t>
      </w:r>
      <w:r>
        <w:rPr>
          <w:rFonts w:ascii="Arial" w:hAnsi="Arial"/>
        </w:rPr>
        <w:t xml:space="preserve"> </w:t>
      </w:r>
      <w:hyperlink r:id="rId71">
        <w:r>
          <w:rPr>
            <w:rStyle w:val="Hyperlink"/>
          </w:rPr>
          <w:t xml:space="preserve">https://osf.io/c4mp8</w:t>
        </w:r>
      </w:hyperlink>
      <w:r>
        <w:rPr>
          <w:rFonts w:ascii="Arial" w:hAnsi="Arial"/>
        </w:rPr>
        <w:t xml:space="preserve"> </w:t>
      </w:r>
      <w:r>
        <w:rPr>
          <w:rFonts w:ascii="Arial" w:hAnsi="Arial"/>
        </w:rP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Fonts w:ascii="Arial" w:hAnsi="Arial"/>
        </w:rPr>
        <w:t xml:space="preserve">labels_panel_n480.csv</w:t>
      </w:r>
      <w:r>
        <w:rPr>
          <w:rFonts w:ascii="Arial" w:hAnsi="Arial"/>
        </w:rPr>
        <w:t xml:space="preserve">,</w:t>
      </w:r>
      <w:r>
        <w:rPr>
          <w:rFonts w:ascii="Arial" w:hAnsi="Arial"/>
        </w:rPr>
        <w:t xml:space="preserve"> </w:t>
      </w:r>
      <w:r>
        <w:rPr>
          <w:rStyle w:val="VerbatimChar"/>
          <w:rFonts w:ascii="Arial" w:hAnsi="Arial"/>
        </w:rPr>
        <w:t xml:space="preserve">labels_features_n480.csv</w:t>
      </w:r>
      <w:r>
        <w:rPr>
          <w:rFonts w:ascii="Arial" w:hAnsi="Arial"/>
        </w:rPr>
        <w:t xml:space="preserve">) under CC-BY-4.0.</w:t>
      </w:r>
    </w:p>
    <w:p>
      <w:r>
        <w:rPr>
          <w:rFonts w:ascii="Arial" w:hAnsi="Arial"/>
        </w:rPr>
        <w:pict>
          <v:rect style="width:0;height:1.5pt" o:hralign="center" o:hrstd="t" o:hr="t"/>
        </w:pict>
      </w:r>
    </w:p>
    <w:bookmarkEnd w:id="72"/>
    <w:bookmarkStart w:id="74" w:name="acknowledgements"/>
    <w:p>
      <w:pPr>
        <w:pStyle w:val="Heading2"/>
      </w:pPr>
      <w:r>
        <w:rPr>
          <w:rFonts w:ascii="Arial" w:hAnsi="Arial"/>
        </w:rPr>
        <w:t xml:space="preserve">Acknowledgements</w:t>
      </w:r>
    </w:p>
    <w:p>
      <w:pPr>
        <w:pStyle w:val="FirstParagrap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73">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r>
        <w:rPr>
          <w:rFonts w:ascii="Arial" w:hAnsi="Arial"/>
        </w:rPr>
        <w:pict>
          <v:rect style="width:0;height:1.5pt" o:hralign="center" o:hrstd="t" o:hr="t"/>
        </w:pict>
      </w:r>
    </w:p>
    <w:bookmarkEnd w:id="74"/>
    <w:bookmarkStart w:id="75" w:name="references"/>
    <w:p>
      <w:pPr>
        <w:pStyle w:val="Heading2"/>
      </w:pPr>
      <w:r>
        <w:rPr>
          <w:rFonts w:ascii="Arial" w:hAnsi="Arial"/>
        </w:rPr>
        <w:t xml:space="preserve">References</w:t>
      </w:r>
    </w:p>
    <w:p>
      <w:pPr>
        <w:pStyle w:val="FirstParagrap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pPr>
      <w:r>
        <w:rPr>
          <w:rFonts w:ascii="Arial" w:hAnsi="Arial"/>
        </w:rPr>
        <w:t xml:space="preserve">FAO, 2015. Global Administrative Unit Layers (GAUL), Level 2. Food and Agriculture Organization of the United Nations, Rome. https://data.apps.fao.org/catalog/dataset/gaul-2015</w:t>
      </w:r>
    </w:p>
    <w:p>
      <w:pPr>
        <w:pStyle w:val="BodyText"/>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pPr>
      <w:r>
        <w:rPr>
          <w:rFonts w:ascii="Arial" w:hAnsi="Arial"/>
        </w:rPr>
        <w:t xml:space="preserve">Haldar, K., Mandal, S., Bhadra, S., Pati, R., Mitra, A., Mabuchi, M., 2016. Assessment of the impact of cyclones on rice productivity using remote sensing and crop simulation model in coastal Odisha.</w:t>
      </w:r>
      <w:r>
        <w:rPr>
          <w:rFonts w:ascii="Arial" w:hAnsi="Arial"/>
        </w:rPr>
        <w:t xml:space="preserve"> </w:t>
      </w:r>
      <w:r>
        <w:rPr>
          <w:rFonts w:ascii="Arial" w:hAnsi="Arial"/>
          <w:i/>
          <w:iCs/>
        </w:rPr>
        <w:t xml:space="preserve">Plant Production Science</w:t>
      </w:r>
      <w:r>
        <w:rPr>
          <w:rFonts w:ascii="Arial" w:hAnsi="Arial"/>
        </w:rPr>
        <w:t xml:space="preserve"> </w:t>
      </w:r>
      <w:r>
        <w:rPr>
          <w:rFonts w:ascii="Arial" w:hAnsi="Arial"/>
        </w:rPr>
        <w:t xml:space="preserve">19, 320–330. https://doi.org/10.1007/s10333-015-0514-y</w:t>
      </w:r>
    </w:p>
    <w:p>
      <w:pPr>
        <w:pStyle w:val="BodyText"/>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pPr>
      <w:r>
        <w:rPr>
          <w:rFonts w:ascii="Arial" w:hAnsi="Arial"/>
        </w:rPr>
        <w:t xml:space="preserve">Li, G., Zhang, X., Dong, J., Yang, J., Liu, R., 2023. Separating rice and water hyacinth in South Asian inland waters using Sentinel-1 SAR phenological features.</w:t>
      </w:r>
      <w:r>
        <w:rPr>
          <w:rFonts w:ascii="Arial" w:hAnsi="Arial"/>
        </w:rPr>
        <w:t xml:space="preserve"> </w:t>
      </w:r>
      <w:r>
        <w:rPr>
          <w:rFonts w:ascii="Arial" w:hAnsi="Arial"/>
          <w:i/>
          <w:iCs/>
        </w:rPr>
        <w:t xml:space="preserve">Proceedings of the IGARSS 2023 IEEE International Geoscience and Remote Sensing Symposium</w:t>
      </w:r>
      <w:r>
        <w:rPr>
          <w:rFonts w:ascii="Arial" w:hAnsi="Arial"/>
        </w:rPr>
        <w:t xml:space="preserve">, 2903–2906. https://doi.org/10.1109/IGARSS52108.2023.10282909</w:t>
      </w:r>
    </w:p>
    <w:p>
      <w:pPr>
        <w:pStyle w:val="BodyText"/>
      </w:pPr>
      <w:r>
        <w:rPr>
          <w:rFonts w:ascii="Arial" w:hAnsi="Arial"/>
        </w:rPr>
        <w:t xml:space="preserve">Li, X., et al., 2026. Automated rice mapping under diverse cropping patterns and establishment methods by integrating phenological knowledge and synergy of optical and SAR imagery.</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335, 115255. https://doi.org/10.1016/j.rse.2026.115255</w:t>
      </w:r>
    </w:p>
    <w:p>
      <w:pPr>
        <w:pStyle w:val="BodyText"/>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pPr>
      <w:r>
        <w:rPr>
          <w:rFonts w:ascii="Arial" w:hAnsi="Arial"/>
        </w:rPr>
        <w:t xml:space="preserve">Ramadhani, F., Pullanagari, R., Kereszturi, G., Procter, J., 2020. Automatic mapping of rice growth stages using the integration of SENTINEL-2, MOD13Q1, and SENTINEL-1.</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3613. https://doi.org/10.3390/rs12213613</w:t>
      </w:r>
    </w:p>
    <w:p>
      <w:pPr>
        <w:pStyle w:val="BodyText"/>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pPr>
      <w:r>
        <w:rPr>
          <w:rFonts w:ascii="Arial" w:hAnsi="Arial"/>
        </w:rPr>
        <w:t xml:space="preserve">Wickham, H., 2016.</w:t>
      </w:r>
      <w:r>
        <w:rPr>
          <w:rFonts w:ascii="Arial" w:hAnsi="Arial"/>
        </w:rPr>
        <w:t xml:space="preserve"> </w:t>
      </w:r>
      <w:r>
        <w:rPr>
          <w:rFonts w:ascii="Arial" w:hAnsi="Arial"/>
          <w:i/>
          <w:iCs/>
        </w:rPr>
        <w:t xml:space="preserve">ggplot2: Elegant Graphics for Data Analysis</w:t>
      </w:r>
      <w:r>
        <w:rPr>
          <w:rFonts w:ascii="Arial" w:hAnsi="Arial"/>
        </w:rPr>
        <w:t xml:space="preserve">, 2nd edn. Springer, New York. https://doi.org/10.1007/978-3-319-24277-4</w:t>
      </w:r>
    </w:p>
    <w:p>
      <w:pPr>
        <w:pStyle w:val="BodyText"/>
      </w:pPr>
      <w:r>
        <w:rPr>
          <w:rFonts w:ascii="Arial" w:hAnsi="Arial"/>
        </w:rPr>
        <w:t xml:space="preserve">Wu, Q., 2020. geemap: A Python package for interactive mapping with Google Earth Engine.</w:t>
      </w:r>
      <w:r>
        <w:rPr>
          <w:rFonts w:ascii="Arial" w:hAnsi="Arial"/>
        </w:rPr>
        <w:t xml:space="preserve"> </w:t>
      </w:r>
      <w:r>
        <w:rPr>
          <w:rFonts w:ascii="Arial" w:hAnsi="Arial"/>
          <w:i/>
          <w:iCs/>
        </w:rPr>
        <w:t xml:space="preserve">Journal of Open Source Software</w:t>
      </w:r>
      <w:r>
        <w:rPr>
          <w:rFonts w:ascii="Arial" w:hAnsi="Arial"/>
        </w:rPr>
        <w:t xml:space="preserve"> </w:t>
      </w:r>
      <w:r>
        <w:rPr>
          <w:rFonts w:ascii="Arial" w:hAnsi="Arial"/>
        </w:rPr>
        <w:t xml:space="preserve">5, 2272. https://doi.org/10.21105/joss.02272</w:t>
      </w:r>
    </w:p>
    <w:p>
      <w:pPr>
        <w:pStyle w:val="BodyText"/>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pPr>
      <w:r>
        <w:rPr>
          <w:rFonts w:ascii="Arial" w:hAnsi="Arial"/>
        </w:rPr>
        <w:t xml:space="preserve">Yang, J., Hu, Q., Li, W., Song, Q., Cai, Z., Zhang, X., Wei, H., Wu, W., 2024. An automated sample generation method by integrating phenology domain optical-SAR features in rice cropping pattern mapping.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314, 114387. https://doi.org/10.1016/j.rse.2024.114387</w:t>
      </w:r>
    </w:p>
    <w:p>
      <w:pPr>
        <w:pStyle w:val="BodyText"/>
      </w:pPr>
      <w:r>
        <w:rPr>
          <w:rFonts w:ascii="Arial" w:hAnsi="Arial"/>
        </w:rPr>
        <w:t xml:space="preserve">Yang, S., 2025. Rice-SamPheno: semantic-aware multi-phase phenology recognition from Sentinel-1/2 time series.</w:t>
      </w:r>
      <w:r>
        <w:rPr>
          <w:rFonts w:ascii="Arial" w:hAnsi="Arial"/>
        </w:rPr>
        <w:t xml:space="preserve"> </w:t>
      </w:r>
      <w:r>
        <w:rPr>
          <w:rFonts w:ascii="Arial" w:hAnsi="Arial"/>
          <w:i/>
          <w:iCs/>
        </w:rPr>
        <w:t xml:space="preserve">IEEE Journal of Selected Topics in Applied Earth Observations and Remote Sensing</w:t>
      </w:r>
      <w:r>
        <w:rPr>
          <w:rFonts w:ascii="Arial" w:hAnsi="Arial"/>
        </w:rPr>
        <w:t xml:space="preserve"> </w:t>
      </w:r>
      <w:r>
        <w:rPr>
          <w:rFonts w:ascii="Arial" w:hAnsi="Arial"/>
        </w:rPr>
        <w:t xml:space="preserve">[early access]. https://doi.org/10.1109/JSTARS.2025.3599728</w:t>
      </w:r>
    </w:p>
    <w:p>
      <w:pPr>
        <w:pStyle w:val="BodyText"/>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pPr>
        <w:pStyle w:val="BodyText"/>
      </w:pPr>
      <w:r>
        <w:rPr>
          <w:rFonts w:ascii="Arial" w:hAnsi="Arial"/>
        </w:rPr>
        <w:t xml:space="preserve">Zhao, W., Qu, Y., Zhang, L., Li, K., 2022. Spatial-aware SAR-optical time-series deep integration for crop phenology tracking.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276, 113046. https://doi.org/10.1016/j.rse.2022.113046</w:t>
      </w:r>
    </w:p>
    <w:p>
      <w:pPr>
        <w:pStyle w:val="BodyText"/>
      </w:pPr>
      <w:r>
        <w:rPr>
          <w:rFonts w:ascii="Arial" w:hAnsi="Arial"/>
        </w:rPr>
        <w:t xml:space="preserve">Zhao, Z., Dong, J., Zhang, G., Yang, J., Liu, R., Wu, B., Xiao, X., 2024. Improved phenology-based rice mapping algorithm by integrating optical and radar data.</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315, 114460. https://doi.org/10.1016/j.rse.2024.114460</w:t>
      </w:r>
    </w:p>
    <w:p>
      <w:r>
        <w:rPr>
          <w:rFonts w:ascii="Arial" w:hAnsi="Arial"/>
        </w:rPr>
        <w:pict>
          <v:rect style="width:0;height:1.5pt" o:hralign="center" o:hrstd="t" o:hr="t"/>
        </w:pict>
      </w:r>
    </w:p>
    <w:p>
      <w:pPr>
        <w:pStyle w:val="FirstParagraph"/>
      </w:pPr>
      <w:r>
        <w:rPr>
          <w:rFonts w:ascii="Arial" w:hAnsi="Arial"/>
        </w:rP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(τ̂_SOS: 15.289 → 15.108 d, Δτ̂ = −0.181 d; τ̂_POS: −3.587 → −3.677 d, Δτ̂ = −0.090 d; τ̂_EOS: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2026-06-08T12:54:35Z</dcterms:created>
  <dcterms:modified xsi:type="dcterms:W3CDTF">2026-06-08T12:54:35Z</dcterms:modified>
</cp:coreProperties>
</file>

<file path=docProps/custom.xml><?xml version="1.0" encoding="utf-8"?>
<Properties xmlns="http://schemas.openxmlformats.org/officeDocument/2006/custom-properties" xmlns:vt="http://schemas.openxmlformats.org/officeDocument/2006/docPropsVTypes"/>
</file>