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5588" w:name="provenance"/>
      <w:r>
        <w:rPr>
          <w:rFonts w:ascii="Arial" w:hAnsi="Arial"/>
          <w:b/>
          <w:color w:val="A12C7B"/>
          <w:sz w:val="32"/>
        </w:rPr>
        <w:t>Data provenance declaration</w:t>
      </w:r>
      <w:bookmarkEnd w:id="5588"/>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7172" w:name="toc"/>
      <w:r>
        <w:rPr>
          <w:rFonts w:ascii="Arial" w:hAnsi="Arial"/>
          <w:b/>
          <w:color w:val="141414"/>
          <w:sz w:val="32"/>
        </w:rPr>
        <w:t>Contents</w:t>
      </w:r>
      <w:bookmarkEnd w:id="47172"/>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14484" w:name="note_s1"/>
      <w:r>
        <w:rPr>
          <w:rFonts w:ascii="Arial" w:hAnsi="Arial"/>
          <w:b/>
          <w:color w:val="1F3A5F"/>
          <w:sz w:val="32"/>
        </w:rPr>
        <w:t>Note S1 — Bulbul (2019) transferability probe</w:t>
      </w:r>
      <w:bookmarkEnd w:id="14484"/>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pP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pP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22474" w:name="note_s2"/>
      <w:r>
        <w:rPr>
          <w:rFonts w:ascii="Arial" w:hAnsi="Arial"/>
          <w:b/>
          <w:color w:val="1F3A5F"/>
          <w:sz w:val="32"/>
        </w:rPr>
        <w:t>Note S2 — Pre-Kharif Bay-of-Bengal cyclone climatology</w:t>
      </w:r>
      <w:bookmarkEnd w:id="22474"/>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94896" w:name="note_s3"/>
      <w:r>
        <w:rPr>
          <w:rFonts w:ascii="Arial" w:hAnsi="Arial"/>
          <w:b/>
          <w:color w:val="1F3A5F"/>
          <w:sz w:val="32"/>
        </w:rPr>
        <w:t>Note S3 — Sentinel-1 dual-polarisation backscatter signatures</w:t>
      </w:r>
      <w:bookmarkEnd w:id="94896"/>
    </w:p>
    <w:bookmarkStart w:id="29" w:name="Xce1958d78618fb7c3de38bca5f65ef8f24e51a2"/>
    <w:p>
      <w:pPr>
        <w:pStyle w:val="Heading1"/>
      </w:pPr>
      <w:r>
        <w:rPr>
          <w:rFonts w:ascii="Arial" w:hAnsi="Arial"/>
        </w:rPr>
        <w:t xml:space="preserve">Supplementary Note S3 — Sentinel-1 dual-polarisation backscatter signatures</w:t>
      </w:r>
    </w:p>
    <w:p>
      <w:pPr>
        <w:pStyle w:val="FirstParagraph"/>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Style w:val="VerbatimCha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Style w:val="VerbatimCha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pStyle w:val="FirstParagraph"/>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Compact"/>
        <w:numPr>
          <w:ilvl w:val="0"/>
          <w:numId w:val="1001"/>
        </w:numPr>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Compact"/>
        <w:numPr>
          <w:ilvl w:val="0"/>
          <w:numId w:val="1001"/>
        </w:numPr>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Compact"/>
        <w:numPr>
          <w:ilvl w:val="0"/>
          <w:numId w:val="1001"/>
        </w:numPr>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pStyle w:val="FirstParagraph"/>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pStyle w:val="FirstParagraph"/>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Style w:val="VerbatimCha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Style w:val="VerbatimCha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Style w:val="VerbatimCha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Style w:val="VerbatimCha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DOY range</w:t>
            </w:r>
          </w:p>
        </w:tc>
        <w:tc>
          <w:tcPr/>
          <w:p>
            <w:pPr>
              <w:pStyle w:val="Compact"/>
              <w:jc w:val="left"/>
            </w:pPr>
            <w:r>
              <w:rPr>
                <w:rFonts w:ascii="Arial" w:hAnsi="Arial"/>
                <w:sz w:val="18"/>
              </w:rPr>
              <w:t xml:space="preserve">Calendar</w:t>
            </w:r>
          </w:p>
        </w:tc>
        <w:tc>
          <w:tcPr/>
          <w:p>
            <w:pPr>
              <w:pStyle w:val="Compact"/>
              <w:jc w:val="left"/>
            </w:pPr>
            <w:r>
              <w:rPr>
                <w:rFonts w:ascii="Arial" w:hAnsi="Arial"/>
                <w:sz w:val="18"/>
              </w:rPr>
              <w:t xml:space="preserve">n_dekads per district</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121–160</w:t>
            </w:r>
          </w:p>
        </w:tc>
        <w:tc>
          <w:tcPr/>
          <w:p>
            <w:pPr>
              <w:pStyle w:val="Compact"/>
              <w:jc w:val="left"/>
            </w:pPr>
            <w:r>
              <w:rPr>
                <w:rFonts w:ascii="Arial" w:hAnsi="Arial"/>
                <w:sz w:val="18"/>
              </w:rPr>
              <w:t xml:space="preserve">1 May – 9 Jun</w:t>
            </w:r>
          </w:p>
        </w:tc>
        <w:tc>
          <w:tcPr/>
          <w:p>
            <w:pPr>
              <w:pStyle w:val="Compact"/>
              <w:jc w:val="left"/>
            </w:pPr>
            <w:r>
              <w:rPr>
                <w:rFonts w:ascii="Arial" w:hAnsi="Arial"/>
                <w:sz w:val="18"/>
              </w:rPr>
              <w:t xml:space="preserve">1–4</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171–220</w:t>
            </w:r>
          </w:p>
        </w:tc>
        <w:tc>
          <w:tcPr/>
          <w:p>
            <w:pPr>
              <w:pStyle w:val="Compact"/>
              <w:jc w:val="left"/>
            </w:pPr>
            <w:r>
              <w:rPr>
                <w:rFonts w:ascii="Arial" w:hAnsi="Arial"/>
                <w:sz w:val="18"/>
              </w:rPr>
              <w:t xml:space="preserve">20 Jun – 8 Aug</w:t>
            </w:r>
          </w:p>
        </w:tc>
        <w:tc>
          <w:tcPr/>
          <w:p>
            <w:pPr>
              <w:pStyle w:val="Compact"/>
              <w:jc w:val="left"/>
            </w:pPr>
            <w:r>
              <w:rPr>
                <w:rFonts w:ascii="Arial" w:hAnsi="Arial"/>
                <w:sz w:val="18"/>
              </w:rPr>
              <w:t xml:space="preserve">4–5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230–270</w:t>
            </w:r>
          </w:p>
        </w:tc>
        <w:tc>
          <w:tcPr/>
          <w:p>
            <w:pPr>
              <w:pStyle w:val="Compact"/>
              <w:jc w:val="left"/>
            </w:pPr>
            <w:r>
              <w:rPr>
                <w:rFonts w:ascii="Arial" w:hAnsi="Arial"/>
                <w:sz w:val="18"/>
              </w:rPr>
              <w:t xml:space="preserve">18 Aug – 27 Sep</w:t>
            </w:r>
          </w:p>
        </w:tc>
        <w:tc>
          <w:tcPr/>
          <w:p>
            <w:pPr>
              <w:pStyle w:val="Compact"/>
              <w:jc w:val="left"/>
            </w:pPr>
            <w:r>
              <w:rPr>
                <w:rFonts w:ascii="Arial" w:hAnsi="Arial"/>
                <w:sz w:val="18"/>
              </w:rPr>
              <w:t xml:space="preserve">3–4</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305–325</w:t>
            </w:r>
          </w:p>
        </w:tc>
        <w:tc>
          <w:tcPr/>
          <w:p>
            <w:pPr>
              <w:pStyle w:val="Compact"/>
              <w:jc w:val="left"/>
            </w:pPr>
            <w:r>
              <w:rPr>
                <w:rFonts w:ascii="Arial" w:hAnsi="Arial"/>
                <w:sz w:val="18"/>
              </w:rPr>
              <w:t xml:space="preserve">1 Nov – 21 Nov (landfall 9 Nov)</w:t>
            </w:r>
          </w:p>
        </w:tc>
        <w:tc>
          <w:tcPr/>
          <w:p>
            <w:pPr>
              <w:pStyle w:val="Compac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pStyle w:val="FirstParagraph"/>
      </w:pPr>
      <w:r>
        <w:rPr>
          <w:rFonts w:ascii="Arial" w:hAnsi="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Mean VH (dB)</w:t>
            </w:r>
          </w:p>
        </w:tc>
        <w:tc>
          <w:tcPr/>
          <w:p>
            <w:pPr>
              <w:pStyle w:val="Compact"/>
              <w:jc w:val="left"/>
            </w:pPr>
            <w:r>
              <w:rPr>
                <w:rFonts w:ascii="Arial" w:hAnsi="Arial"/>
                <w:sz w:val="18"/>
              </w:rPr>
              <w:t xml:space="preserve">Mean VV (dB)</w:t>
            </w:r>
          </w:p>
        </w:tc>
        <w:tc>
          <w:tcPr/>
          <w:p>
            <w:pPr>
              <w:pStyle w:val="Compact"/>
              <w:jc w:val="left"/>
            </w:pPr>
            <w:r>
              <w:rPr>
                <w:rFonts w:ascii="Arial" w:hAnsi="Arial"/>
                <w:sz w:val="18"/>
              </w:rPr>
              <w:t xml:space="preserve">Mean CR</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−14.32</w:t>
            </w:r>
          </w:p>
        </w:tc>
        <w:tc>
          <w:tcPr/>
          <w:p>
            <w:pPr>
              <w:pStyle w:val="Compact"/>
              <w:jc w:val="left"/>
            </w:pPr>
            <w:r>
              <w:rPr>
                <w:rFonts w:ascii="Arial" w:hAnsi="Arial"/>
                <w:sz w:val="18"/>
              </w:rPr>
              <w:t xml:space="preserve">−7.96</w:t>
            </w:r>
          </w:p>
        </w:tc>
        <w:tc>
          <w:tcPr/>
          <w:p>
            <w:pPr>
              <w:pStyle w:val="Compact"/>
              <w:jc w:val="left"/>
            </w:pPr>
            <w:r>
              <w:rPr>
                <w:rFonts w:ascii="Arial" w:hAnsi="Arial"/>
                <w:sz w:val="18"/>
              </w:rPr>
              <w:t xml:space="preserve">0.239</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−13.80</w:t>
            </w:r>
          </w:p>
        </w:tc>
        <w:tc>
          <w:tcPr/>
          <w:p>
            <w:pPr>
              <w:pStyle w:val="Compact"/>
              <w:jc w:val="left"/>
            </w:pPr>
            <w:r>
              <w:rPr>
                <w:rFonts w:ascii="Arial" w:hAnsi="Arial"/>
                <w:sz w:val="18"/>
              </w:rPr>
              <w:t xml:space="preserve">−7.14</w:t>
            </w:r>
          </w:p>
        </w:tc>
        <w:tc>
          <w:tcPr/>
          <w:p>
            <w:pPr>
              <w:pStyle w:val="Compact"/>
              <w:jc w:val="left"/>
            </w:pPr>
            <w:r>
              <w:rPr>
                <w:rFonts w:ascii="Arial" w:hAnsi="Arial"/>
                <w:sz w:val="18"/>
              </w:rPr>
              <w:t xml:space="preserve">0.225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−13.78</w:t>
            </w:r>
          </w:p>
        </w:tc>
        <w:tc>
          <w:tcPr/>
          <w:p>
            <w:pPr>
              <w:pStyle w:val="Compact"/>
              <w:jc w:val="left"/>
            </w:pPr>
            <w:r>
              <w:rPr>
                <w:rFonts w:ascii="Arial" w:hAnsi="Arial"/>
                <w:sz w:val="18"/>
              </w:rPr>
              <w:t xml:space="preserve">−6.82</w:t>
            </w:r>
          </w:p>
        </w:tc>
        <w:tc>
          <w:tcPr/>
          <w:p>
            <w:pPr>
              <w:pStyle w:val="Compact"/>
              <w:jc w:val="left"/>
            </w:pPr>
            <w:r>
              <w:rPr>
                <w:rFonts w:ascii="Arial" w:hAnsi="Arial"/>
                <w:sz w:val="18"/>
              </w:rPr>
              <w:t xml:space="preserve">0.212</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−13.49</w:t>
            </w:r>
          </w:p>
        </w:tc>
        <w:tc>
          <w:tcPr/>
          <w:p>
            <w:pPr>
              <w:pStyle w:val="Compact"/>
              <w:jc w:val="left"/>
            </w:pPr>
            <w:r>
              <w:rPr>
                <w:rFonts w:ascii="Arial" w:hAnsi="Arial"/>
                <w:sz w:val="18"/>
              </w:rPr>
              <w:t xml:space="preserve">−7.27</w:t>
            </w:r>
          </w:p>
        </w:tc>
        <w:tc>
          <w:tcPr/>
          <w:p>
            <w:pPr>
              <w:pStyle w:val="Compac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ΔVH (dB)</w:t>
            </w:r>
          </w:p>
        </w:tc>
        <w:tc>
          <w:tcPr/>
          <w:p>
            <w:pPr>
              <w:pStyle w:val="Compact"/>
              <w:jc w:val="left"/>
            </w:pPr>
            <w:r>
              <w:rPr>
                <w:rFonts w:ascii="Arial" w:hAnsi="Arial"/>
                <w:sz w:val="18"/>
              </w:rPr>
              <w:t xml:space="preserve">ΔVV (dB)</w:t>
            </w:r>
          </w:p>
        </w:tc>
        <w:tc>
          <w:tcPr/>
          <w:p>
            <w:pPr>
              <w:pStyle w:val="Compact"/>
              <w:jc w:val="left"/>
            </w:pPr>
            <w:r>
              <w:rPr>
                <w:rFonts w:ascii="Arial" w:hAnsi="Arial"/>
                <w:sz w:val="18"/>
              </w:rPr>
              <w:t xml:space="preserve">ΔCR</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+0.52</w:t>
            </w:r>
          </w:p>
        </w:tc>
        <w:tc>
          <w:tcPr/>
          <w:p>
            <w:pPr>
              <w:pStyle w:val="Compact"/>
              <w:jc w:val="left"/>
            </w:pPr>
            <w:r>
              <w:rPr>
                <w:rFonts w:ascii="Arial" w:hAnsi="Arial"/>
                <w:sz w:val="18"/>
              </w:rPr>
              <w:t xml:space="preserve">+0.82</w:t>
            </w:r>
          </w:p>
        </w:tc>
        <w:tc>
          <w:tcPr/>
          <w:p>
            <w:pPr>
              <w:pStyle w:val="Compact"/>
              <w:jc w:val="left"/>
            </w:pPr>
            <w:r>
              <w:rPr>
                <w:rFonts w:ascii="Arial" w:hAnsi="Arial"/>
                <w:sz w:val="18"/>
              </w:rPr>
              <w:t xml:space="preserve">−0.014</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+0.54</w:t>
            </w:r>
          </w:p>
        </w:tc>
        <w:tc>
          <w:tcPr/>
          <w:p>
            <w:pPr>
              <w:pStyle w:val="Compact"/>
              <w:jc w:val="left"/>
            </w:pPr>
            <w:r>
              <w:rPr>
                <w:rFonts w:ascii="Arial" w:hAnsi="Arial"/>
                <w:sz w:val="18"/>
              </w:rPr>
              <w:t xml:space="preserve">+1.14</w:t>
            </w:r>
          </w:p>
        </w:tc>
        <w:tc>
          <w:tcPr/>
          <w:p>
            <w:pPr>
              <w:pStyle w:val="Compact"/>
              <w:jc w:val="left"/>
            </w:pPr>
            <w:r>
              <w:rPr>
                <w:rFonts w:ascii="Arial" w:hAnsi="Arial"/>
                <w:sz w:val="18"/>
              </w:rPr>
              <w:t xml:space="preserve">−0.027</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+0.83</w:t>
            </w:r>
          </w:p>
        </w:tc>
        <w:tc>
          <w:tcPr/>
          <w:p>
            <w:pPr>
              <w:pStyle w:val="Compact"/>
              <w:jc w:val="left"/>
            </w:pPr>
            <w:r>
              <w:rPr>
                <w:rFonts w:ascii="Arial" w:hAnsi="Arial"/>
                <w:sz w:val="18"/>
              </w:rPr>
              <w:t xml:space="preserve">+0.69</w:t>
            </w:r>
          </w:p>
        </w:tc>
        <w:tc>
          <w:tcPr/>
          <w:p>
            <w:pPr>
              <w:pStyle w:val="Compac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pStyle w:val="FirstParagraph"/>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pStyle w:val="FirstParagraph"/>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Compact"/>
        <w:numPr>
          <w:ilvl w:val="0"/>
          <w:numId w:val="1002"/>
        </w:numPr>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Compact"/>
        <w:numPr>
          <w:ilvl w:val="0"/>
          <w:numId w:val="1002"/>
        </w:numPr>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Compact"/>
        <w:numPr>
          <w:ilvl w:val="0"/>
          <w:numId w:val="1002"/>
        </w:numPr>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Compact"/>
        <w:numPr>
          <w:ilvl w:val="0"/>
          <w:numId w:val="1002"/>
        </w:numPr>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pStyle w:val="FirstParagraph"/>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pStyle w:val="FirstParagraph"/>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pStyle w:val="SourceCode"/>
      </w:pPr>
      <w:r>
        <w:rPr>
          <w:rStyle w:val="VerbatimChar"/>
          <w:rFonts w:ascii="Arial" w:hAnsi="Arial"/>
          <w:sz w:val="20"/>
        </w:rPr>
        <w:t xml:space="preserve">pip install pystac-client planetary-computer odc-stac rioxarray rasterio</w:t>
      </w:r>
      <w:r>
        <w:rPr>
          <w:rFonts w:ascii="Arial" w:hAnsi="Arial"/>
          <w:sz w:val="20"/>
        </w:rPr>
        <w:br/>
      </w:r>
      <w:r>
        <w:rPr>
          <w:rStyle w:val="VerbatimChar"/>
          <w:rFonts w:ascii="Arial" w:hAnsi="Arial"/>
          <w:sz w:val="20"/>
        </w:rPr>
        <w:t xml:space="preserve">python analysis/18_real_s1_backscatter_signatures.py   # extracts 85 dekads</w:t>
      </w:r>
      <w:r>
        <w:rPr>
          <w:rFonts w:ascii="Arial" w:hAnsi="Arial"/>
          <w:sz w:val="20"/>
        </w:rPr>
        <w:br/>
      </w:r>
      <w:r>
        <w:rPr>
          <w:rStyle w:val="VerbatimChar"/>
          <w:rFonts w:ascii="Arial" w:hAnsi="Arial"/>
          <w:sz w:val="20"/>
        </w:rPr>
        <w:t xml:space="preserve">python analysis/20_build_table_s9_fig_s2_real.py        # builds DOCX + PDF</w:t>
      </w:r>
    </w:p>
    <w:p>
      <w:pPr>
        <w:pStyle w:val="FirstParagraph"/>
      </w:pPr>
      <w:r>
        <w:rPr>
          <w:rFonts w:ascii="Arial" w:hAnsi="Arial"/>
          <w:sz w:val="20"/>
        </w:rPr>
        <w:t xml:space="preserve">Intermediate artefacts (in</w:t>
      </w:r>
      <w:r>
        <w:rPr>
          <w:rFonts w:ascii="Arial" w:hAnsi="Arial"/>
          <w:sz w:val="20"/>
        </w:rPr>
        <w:t xml:space="preserve"> </w:t>
      </w:r>
      <w:r>
        <w:rPr>
          <w:rStyle w:val="VerbatimChar"/>
          <w:rFonts w:ascii="Arial" w:hAnsi="Arial"/>
          <w:sz w:val="20"/>
        </w:rPr>
        <w:t xml:space="preserve">analysis/results/real_v21/</w:t>
      </w:r>
      <w:r>
        <w:rPr>
          <w:rFonts w:ascii="Arial" w:hAnsi="Arial"/>
          <w:sz w:val="20"/>
        </w:rPr>
        <w:t xml:space="preserve">):</w:t>
      </w:r>
    </w:p>
    <w:p>
      <w:pPr>
        <w:pStyle w:val="Compact"/>
        <w:numPr>
          <w:ilvl w:val="0"/>
          <w:numId w:val="1003"/>
        </w:numPr>
      </w:pPr>
      <w:r>
        <w:rPr>
          <w:rStyle w:val="VerbatimCha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Compact"/>
        <w:numPr>
          <w:ilvl w:val="0"/>
          <w:numId w:val="1003"/>
        </w:numPr>
      </w:pPr>
      <w:r>
        <w:rPr>
          <w:rStyle w:val="VerbatimCha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Compact"/>
        <w:numPr>
          <w:ilvl w:val="0"/>
          <w:numId w:val="1003"/>
        </w:numPr>
      </w:pPr>
      <w:r>
        <w:rPr>
          <w:rStyle w:val="VerbatimCha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Compact"/>
        <w:numPr>
          <w:ilvl w:val="0"/>
          <w:numId w:val="1003"/>
        </w:numPr>
      </w:pPr>
      <w:r>
        <w:rPr>
          <w:rStyle w:val="VerbatimCha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Compact"/>
        <w:numPr>
          <w:ilvl w:val="0"/>
          <w:numId w:val="1004"/>
        </w:numPr>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Compact"/>
        <w:numPr>
          <w:ilvl w:val="0"/>
          <w:numId w:val="1004"/>
        </w:numPr>
      </w:pPr>
      <w:r>
        <w:rPr>
          <w:rFonts w:ascii="Arial" w:hAnsi="Arial"/>
          <w:sz w:val="20"/>
        </w:rPr>
        <w:t xml:space="preserve">Hoshikawa, K., Nagano, T., Kotera, A., et al. (2023). Quantifying</w:t>
      </w:r>
      <w:r>
        <w:rPr>
          <w:rFonts w:ascii="Arial" w:hAnsi="Arial"/>
          <w:sz w:val="20"/>
        </w:rPr>
        <w:t xml:space="preserve"> </w:t>
      </w:r>
      <w:r>
        <w:rPr>
          <w:rFonts w:ascii="Arial" w:hAnsi="Arial"/>
          <w:sz w:val="20"/>
        </w:rPr>
        <w:t xml:space="preserve">flood-induced rice loss in the Mekong Delta using SAR.</w:t>
      </w:r>
      <w:r>
        <w:rPr>
          <w:rFonts w:ascii="Arial" w:hAnsi="Arial"/>
          <w:sz w:val="20"/>
        </w:rPr>
        <w:t xml:space="preserve"> </w:t>
      </w:r>
      <w:r>
        <w:rPr>
          <w:rFonts w:ascii="Arial" w:hAnsi="Arial"/>
          <w:i/>
          <w:iCs/>
          <w:sz w:val="20"/>
        </w:rPr>
        <w:t xml:space="preserve">Remote</w:t>
      </w:r>
      <w:r>
        <w:rPr>
          <w:rFonts w:ascii="Arial" w:hAnsi="Arial"/>
          <w:i/>
          <w:iCs/>
          <w:sz w:val="20"/>
        </w:rPr>
        <w:t xml:space="preserve"> </w:t>
      </w:r>
      <w:r>
        <w:rPr>
          <w:rFonts w:ascii="Arial" w:hAnsi="Arial"/>
          <w:i/>
          <w:iCs/>
          <w:sz w:val="20"/>
        </w:rPr>
        <w:t xml:space="preserve">Sensing</w:t>
      </w:r>
      <w:r>
        <w:rPr>
          <w:rFonts w:ascii="Arial" w:hAnsi="Arial"/>
          <w:sz w:val="20"/>
        </w:rPr>
        <w:t xml:space="preserve"> </w:t>
      </w:r>
      <w:r>
        <w:rPr>
          <w:rFonts w:ascii="Arial" w:hAnsi="Arial"/>
          <w:sz w:val="20"/>
        </w:rPr>
        <w:t xml:space="preserve">15(8):2102.</w:t>
      </w:r>
    </w:p>
    <w:p>
      <w:pPr>
        <w:pStyle w:val="Compact"/>
        <w:numPr>
          <w:ilvl w:val="0"/>
          <w:numId w:val="1004"/>
        </w:numPr>
      </w:pPr>
      <w:r>
        <w:rPr>
          <w:rFonts w:ascii="Arial" w:hAnsi="Arial"/>
          <w:sz w:val="20"/>
        </w:rPr>
        <w:t xml:space="preserve">Konkathi, P., Vasundhara, R., Anandh, K., et al. (2024). Sentinel-1</w:t>
      </w:r>
      <w:r>
        <w:rPr>
          <w:rFonts w:ascii="Arial" w:hAnsi="Arial"/>
          <w:sz w:val="20"/>
        </w:rPr>
        <w:t xml:space="preserve"> </w:t>
      </w:r>
      <w:r>
        <w:rPr>
          <w:rFonts w:ascii="Arial" w:hAnsi="Arial"/>
          <w:sz w:val="20"/>
        </w:rPr>
        <w:t xml:space="preserve">C-band SAR for cyclone-induced inundation mapping over Indian east</w:t>
      </w:r>
      <w:r>
        <w:rPr>
          <w:rFonts w:ascii="Arial" w:hAnsi="Arial"/>
          <w:sz w:val="20"/>
        </w:rPr>
        <w:t xml:space="preserve"> </w:t>
      </w:r>
      <w:r>
        <w:rPr>
          <w:rFonts w:ascii="Arial" w:hAnsi="Arial"/>
          <w:sz w:val="20"/>
        </w:rPr>
        <w:t xml:space="preserve">coast.</w:t>
      </w:r>
      <w:r>
        <w:rPr>
          <w:rFonts w:ascii="Arial" w:hAnsi="Arial"/>
          <w:sz w:val="20"/>
        </w:rPr>
        <w:t xml:space="preserve"> </w:t>
      </w:r>
      <w:r>
        <w:rPr>
          <w:rFonts w:ascii="Arial" w:hAnsi="Arial"/>
          <w:i/>
          <w:iCs/>
          <w:sz w:val="20"/>
        </w:rPr>
        <w:t xml:space="preserve">International Journal of Remote Sensing</w:t>
      </w:r>
      <w:r>
        <w:rPr>
          <w:rFonts w:ascii="Arial" w:hAnsi="Arial"/>
          <w:sz w:val="20"/>
        </w:rPr>
        <w:t xml:space="preserve"> </w:t>
      </w:r>
      <w:r>
        <w:rPr>
          <w:rFonts w:ascii="Arial" w:hAnsi="Arial"/>
          <w:sz w:val="20"/>
        </w:rPr>
        <w:t xml:space="preserve">45(3):947–971.</w:t>
      </w:r>
    </w:p>
    <w:p>
      <w:pPr>
        <w:pStyle w:val="Compact"/>
        <w:numPr>
          <w:ilvl w:val="0"/>
          <w:numId w:val="1004"/>
        </w:numPr>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Compact"/>
        <w:numPr>
          <w:ilvl w:val="0"/>
          <w:numId w:val="1004"/>
        </w:numPr>
      </w:pPr>
      <w:r>
        <w:rPr>
          <w:rFonts w:ascii="Arial" w:hAnsi="Arial"/>
          <w:sz w:val="20"/>
        </w:rPr>
        <w:t xml:space="preserve">Wali, E., Jain, M., Mondal, P. (2020). Detecting flooded rice with</w:t>
      </w:r>
      <w:r>
        <w:rPr>
          <w:rFonts w:ascii="Arial" w:hAnsi="Arial"/>
          <w:sz w:val="20"/>
        </w:rPr>
        <w:t xml:space="preserve"> </w:t>
      </w:r>
      <w:r>
        <w:rPr>
          <w:rFonts w:ascii="Arial" w:hAnsi="Arial"/>
          <w:sz w:val="20"/>
        </w:rPr>
        <w:t xml:space="preserve">synthetic aperture radar in cyclone-affected coastal Bangladesh.</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251:112063.</w:t>
      </w:r>
    </w:p>
    <w:bookmarkEnd w:id="28"/>
    <w:bookmarkEnd w:id="29"/>
    <w:p>
      <w:r>
        <w:rPr>
          <w:rFonts w:ascii="Arial" w:hAnsi="Arial"/>
          <w:sz w:val="20"/>
        </w:rPr>
        <w:br w:type="page"/>
      </w:r>
    </w:p>
    <w:p>
      <w:pPr>
        <w:keepNext/>
        <w:spacing w:before="240" w:after="120"/>
      </w:pPr>
      <w:bookmarkStart w:id="1349" w:name="table_s1"/>
      <w:r>
        <w:rPr>
          <w:rFonts w:ascii="Arial" w:hAnsi="Arial"/>
          <w:b/>
          <w:color w:val="1F3A5F"/>
          <w:sz w:val="32"/>
        </w:rPr>
        <w:t>Table S1 — Static TWFE-DiD point estimates</w:t>
      </w:r>
      <w:bookmarkEnd w:id="1349"/>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51163" w:name="table_s2"/>
      <w:r>
        <w:rPr>
          <w:rFonts w:ascii="Arial" w:hAnsi="Arial"/>
          <w:b/>
          <w:color w:val="1F3A5F"/>
          <w:sz w:val="32"/>
        </w:rPr>
        <w:t>Table S2 — Pre-trend tests</w:t>
      </w:r>
      <w:bookmarkEnd w:id="51163"/>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88767" w:name="table_s3"/>
      <w:r>
        <w:rPr>
          <w:rFonts w:ascii="Arial" w:hAnsi="Arial"/>
          <w:b/>
          <w:color w:val="1F3A5F"/>
          <w:sz w:val="32"/>
        </w:rPr>
        <w:t>Table S3 — Bulbul transferability residuals</w:t>
      </w:r>
      <w:bookmarkEnd w:id="88767"/>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9"/>
              </w:rPr>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9"/>
              </w:rPr>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9"/>
              </w:rPr>
            </w:r>
          </w:p>
        </w:tc>
        <w:tc>
          <w:tcPr>
            <w:tcW w:type="dxa" w:w="1108"/>
          </w:tcPr>
          <w:p>
            <w:r>
              <w:rPr>
                <w:rFonts w:ascii="Arial" w:hAnsi="Arial"/>
                <w:b/>
                <w:sz w:val="19"/>
              </w:rPr>
              <w:t>-8.11 – +22.49</w:t>
            </w:r>
          </w:p>
        </w:tc>
        <w:tc>
          <w:tcPr>
            <w:tcW w:type="dxa" w:w="1108"/>
          </w:tcPr>
          <w:p>
            <w:r>
              <w:rPr>
                <w:rFonts w:ascii="Arial" w:hAnsi="Arial"/>
                <w:b/>
                <w:sz w:val="19"/>
              </w:rPr>
            </w:r>
          </w:p>
        </w:tc>
        <w:tc>
          <w:tcPr>
            <w:tcW w:type="dxa" w:w="1108"/>
          </w:tcPr>
          <w:p>
            <w:r>
              <w:rPr>
                <w:rFonts w:ascii="Arial" w:hAnsi="Arial"/>
                <w:b/>
                <w:sz w:val="19"/>
              </w:rPr>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29373" w:name="table_s4"/>
      <w:r>
        <w:rPr>
          <w:rFonts w:ascii="Arial" w:hAnsi="Arial"/>
          <w:b/>
          <w:color w:val="1F3A5F"/>
          <w:sz w:val="32"/>
        </w:rPr>
        <w:t>Table S4 — Wild-cluster bootstrap (G = 8)</w:t>
      </w:r>
      <w:bookmarkEnd w:id="29373"/>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86728" w:name="table_s5"/>
      <w:r>
        <w:rPr>
          <w:rFonts w:ascii="Arial" w:hAnsi="Arial"/>
          <w:b/>
          <w:color w:val="1F3A5F"/>
          <w:sz w:val="32"/>
        </w:rPr>
        <w:t>Table S5 — Jackknife leave-one-out</w:t>
      </w:r>
      <w:bookmarkEnd w:id="86728"/>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77061" w:name="table_s6"/>
      <w:r>
        <w:rPr>
          <w:rFonts w:ascii="Arial" w:hAnsi="Arial"/>
          <w:b/>
          <w:color w:val="1F3A5F"/>
          <w:sz w:val="32"/>
        </w:rPr>
        <w:t>Table S6 — MDE / power</w:t>
      </w:r>
      <w:bookmarkEnd w:id="77061"/>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92289" w:name="table_s7"/>
      <w:r>
        <w:rPr>
          <w:rFonts w:ascii="Arial" w:hAnsi="Arial"/>
          <w:b/>
          <w:color w:val="1F3A5F"/>
          <w:sz w:val="32"/>
        </w:rPr>
        <w:t>Table S7 — Placebo / falsification</w:t>
      </w:r>
      <w:bookmarkEnd w:id="92289"/>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42761" w:name="table_s8"/>
      <w:r>
        <w:rPr>
          <w:rFonts w:ascii="Arial" w:hAnsi="Arial"/>
          <w:b/>
          <w:color w:val="1F3A5F"/>
          <w:sz w:val="32"/>
        </w:rPr>
        <w:t>Table S8 — Pre-Kharif cyclone climatology</w:t>
      </w:r>
      <w:bookmarkEnd w:id="42761"/>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62800" w:name="table_s9"/>
      <w:r>
        <w:rPr>
          <w:rFonts w:ascii="Arial" w:hAnsi="Arial"/>
          <w:b/>
          <w:color w:val="1F3A5F"/>
          <w:sz w:val="32"/>
        </w:rPr>
        <w:t>Table S9 — Canonical S1 dual-pol features</w:t>
      </w:r>
      <w:bookmarkEnd w:id="62800"/>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16319" w:name="figure_s1"/>
      <w:r>
        <w:rPr>
          <w:rFonts w:ascii="Arial" w:hAnsi="Arial"/>
          <w:b/>
          <w:color w:val="1F3A5F"/>
          <w:sz w:val="32"/>
        </w:rPr>
        <w:t>Figure S1 — Pre-Kharif cyclone climatology</w:t>
      </w:r>
      <w:bookmarkEnd w:id="16319"/>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50092" w:name="figure_s2"/>
      <w:r>
        <w:rPr>
          <w:rFonts w:ascii="Arial" w:hAnsi="Arial"/>
          <w:b/>
          <w:color w:val="1F3A5F"/>
          <w:sz w:val="32"/>
        </w:rPr>
        <w:t>Figure S2 — Canonical Sentinel-1 backscatter signatures</w:t>
      </w:r>
      <w:bookmarkEnd w:id="50092"/>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