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任务</w:t>
            </w:r>
          </w:p>
        </w:tc>
        <w:tc>
          <w:p>
            <w:r>
              <w:t>负责人</w:t>
            </w:r>
          </w:p>
        </w:tc>
        <w:tc>
          <w:p>
            <w:r>
              <w:t>截止</w:t>
            </w:r>
          </w:p>
        </w:tc>
      </w:t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  <w:tr>
        <w:tc>
          <w:p>
            <w:r>
              <w:t>容量评估</w:t>
            </w:r>
          </w:p>
        </w:tc>
        <w:tc>
          <w:p>
            <w:r>
              <w:t>赵六</w:t>
            </w:r>
          </w:p>
        </w:tc>
        <w:tc>
          <w:p>
            <w:r>
              <w:t>2026-09-15</w:t>
            </w:r>
          </w:p>
        </w:tc>
      </w:tr>
      <w:tr>
        <w:tc>
          <w:p>
            <w:r>
              <w:t>回滚预案</w:t>
            </w:r>
          </w:p>
        </w:tc>
        <w:tc>
          <w:p>
            <w:r>
              <w:t>李雷</w:t>
            </w:r>
          </w:p>
        </w:tc>
        <w:tc>
          <w:p>
            <w:r>
              <w:t>2026-09-18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