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Times New Roman" w:cs="Times New Roman" w:eastAsia="Times New Roman" w:hAnsi="Times New Roman"/>
          <w:b/>
          <w:bCs/>
          <w:sz w:val="44"/>
          <w:szCs w:val="44"/>
        </w:rPr>
        <w:t xml:space="preserve">RecoverIT</w:t>
      </w:r>
    </w:p>
    <w:p>
      <w:pPr>
        <w:spacing w:after="200"/>
        <w:jc w:val="center"/>
      </w:pPr>
      <w:r>
        <w:rPr>
          <w:rFonts w:ascii="Times New Roman" w:cs="Times New Roman" w:eastAsia="Times New Roman" w:hAnsi="Times New Roman"/>
          <w:b/>
          <w:bCs/>
          <w:sz w:val="30"/>
          <w:szCs w:val="30"/>
        </w:rPr>
        <w:t xml:space="preserve">Autonomous CI/CD Incident Triager and Self-Healer</w:t>
      </w:r>
    </w:p>
    <w:p>
      <w:pPr>
        <w:spacing w:after="200"/>
        <w:jc w:val="center"/>
      </w:pPr>
      <w:r>
        <w:rPr>
          <w:rFonts w:ascii="Times New Roman" w:cs="Times New Roman" w:eastAsia="Times New Roman" w:hAnsi="Times New Roman"/>
          <w:sz w:val="26"/>
          <w:szCs w:val="26"/>
        </w:rPr>
        <w:t xml:space="preserve">Project Report II</w:t>
      </w:r>
    </w:p>
    <w:p>
      <w:pPr>
        <w:spacing w:after="200"/>
        <w:jc w:val="center"/>
      </w:pPr>
      <w:r>
        <w:rPr>
          <w:rFonts w:ascii="Times New Roman" w:cs="Times New Roman" w:eastAsia="Times New Roman" w:hAnsi="Times New Roman"/>
          <w:sz w:val="24"/>
          <w:szCs w:val="24"/>
        </w:rPr>
        <w:t xml:space="preserve">Submitted as part of the requirements for BCSE497J</w:t>
      </w:r>
    </w:p>
    <w:p>
      <w:pPr>
        <w:spacing w:after="200"/>
        <w:jc w:val="center"/>
      </w:pPr>
      <w:r>
        <w:rPr>
          <w:rFonts w:ascii="Times New Roman" w:cs="Times New Roman" w:eastAsia="Times New Roman" w:hAnsi="Times New Roman"/>
          <w:sz w:val="24"/>
          <w:szCs w:val="24"/>
        </w:rPr>
        <w:t xml:space="preserve">Team members: ____________________</w:t>
      </w:r>
    </w:p>
    <w:p>
      <w:pPr>
        <w:spacing w:after="200"/>
        <w:jc w:val="center"/>
      </w:pPr>
      <w:r>
        <w:rPr>
          <w:rFonts w:ascii="Times New Roman" w:cs="Times New Roman" w:eastAsia="Times New Roman" w:hAnsi="Times New Roman"/>
          <w:sz w:val="24"/>
          <w:szCs w:val="24"/>
        </w:rPr>
        <w:t xml:space="preserve">Guide: ____________________</w:t>
      </w:r>
    </w:p>
    <w:p>
      <w:r>
        <w:br w:type="page"/>
      </w:r>
    </w:p>
    <w:p>
      <w:pPr>
        <w:spacing w:after="240"/>
        <w:jc w:val="center"/>
      </w:pPr>
      <w:r>
        <w:rPr>
          <w:rFonts w:ascii="Times New Roman" w:cs="Times New Roman" w:eastAsia="Times New Roman" w:hAnsi="Times New Roman"/>
          <w:b/>
          <w:bCs/>
          <w:sz w:val="28"/>
          <w:szCs w:val="28"/>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300"/>
        <w:jc w:val="center"/>
      </w:pPr>
      <w:r>
        <w:rPr>
          <w:rFonts w:ascii="Times New Roman" w:cs="Times New Roman" w:eastAsia="Times New Roman" w:hAnsi="Times New Roman"/>
          <w:b/>
          <w:bCs/>
          <w:sz w:val="30"/>
          <w:szCs w:val="30"/>
        </w:rPr>
        <w:t xml:space="preserve">CHAPTER 1 – INTRODUCTION</w:t>
      </w:r>
    </w:p>
    <w:p>
      <w:pPr>
        <w:pStyle w:val="Heading2"/>
        <w:keepNext/>
        <w:spacing w:after="120" w:before="240"/>
      </w:pPr>
      <w:r>
        <w:rPr>
          <w:rFonts w:ascii="Times New Roman" w:cs="Times New Roman" w:eastAsia="Times New Roman" w:hAnsi="Times New Roman"/>
          <w:b/>
          <w:bCs/>
          <w:sz w:val="26"/>
          <w:szCs w:val="26"/>
        </w:rPr>
        <w:t xml:space="preserve">1.1 Background and Motivation</w:t>
      </w:r>
    </w:p>
    <w:p>
      <w:pPr>
        <w:spacing w:after="160" w:line="360"/>
        <w:jc w:val="both"/>
      </w:pPr>
      <w:r>
        <w:rPr>
          <w:rFonts w:ascii="Times New Roman" w:cs="Times New Roman" w:eastAsia="Times New Roman" w:hAnsi="Times New Roman"/>
          <w:sz w:val="24"/>
          <w:szCs w:val="24"/>
        </w:rPr>
        <w:t xml:space="preserve">CI/CD shortens the time between a code change and its effect on a running service. That speed has a cost: when something breaks, there is far more material to look through. We have to read pipeline output, release metadata, Git history, and the logs and health checks that show the symptom, and each of these usually lives in a different tool. The person troubleshooting has to pick the relevant events, line up their timestamps, and separate a change that merely happened nearby from one that actually caused the problem.</w:t>
      </w:r>
    </w:p>
    <w:p>
      <w:pPr>
        <w:spacing w:after="160" w:line="360"/>
        <w:jc w:val="both"/>
      </w:pPr>
      <w:r>
        <w:rPr>
          <w:rFonts w:ascii="Times New Roman" w:cs="Times New Roman" w:eastAsia="Times New Roman" w:hAnsi="Times New Roman"/>
          <w:sz w:val="24"/>
          <w:szCs w:val="24"/>
        </w:rPr>
        <w:t xml:space="preserve">An incident starts with a symptom, not a known cause. A failing health check could mean an application exception, an unavailable dependency, a failed deployment or a configuration change. A single log line shows that something failed but not why. We therefore saw the real difficulty as choosing which evidence matters, ordering it in time, weighing competing explanations and deciding when enough is known, rather than simply finding data.</w:t>
      </w:r>
    </w:p>
    <w:p>
      <w:pPr>
        <w:spacing w:after="160" w:line="360"/>
        <w:jc w:val="both"/>
      </w:pPr>
      <w:r>
        <w:rPr>
          <w:rFonts w:ascii="Times New Roman" w:cs="Times New Roman" w:eastAsia="Times New Roman" w:hAnsi="Times New Roman"/>
          <w:sz w:val="24"/>
          <w:szCs w:val="24"/>
        </w:rPr>
        <w:t xml:space="preserve">We built RecoverIT to support that sequence. It reads from source systems without ever writing to them, represents what it observes through typed contracts, assembles a bounded incident context, and presents ranked hypotheses with traceable evidence. We treat the language model's output as advice only. Deterministic rules check evidence references, compute scores and validate the final recommendation, so an operator can inspect the result and the model's free-form text never becomes a command.</w:t>
      </w:r>
    </w:p>
    <w:p>
      <w:pPr>
        <w:pStyle w:val="Heading2"/>
        <w:keepNext/>
        <w:spacing w:after="120" w:before="240"/>
      </w:pPr>
      <w:r>
        <w:rPr>
          <w:rFonts w:ascii="Times New Roman" w:cs="Times New Roman" w:eastAsia="Times New Roman" w:hAnsi="Times New Roman"/>
          <w:b/>
          <w:bCs/>
          <w:sz w:val="26"/>
          <w:szCs w:val="26"/>
        </w:rPr>
        <w:t xml:space="preserve">1.2 Problem Statement</w:t>
      </w:r>
    </w:p>
    <w:p>
      <w:pPr>
        <w:spacing w:after="160" w:line="360"/>
        <w:jc w:val="both"/>
      </w:pPr>
      <w:r>
        <w:rPr>
          <w:rFonts w:ascii="Times New Roman" w:cs="Times New Roman" w:eastAsia="Times New Roman" w:hAnsi="Times New Roman"/>
          <w:sz w:val="24"/>
          <w:szCs w:val="24"/>
        </w:rPr>
        <w:t xml:space="preserve">In most teams, engineers correlate CI/CD and production evidence by hand, under time pressure. We wanted an assistant that gathers relevant evidence, keeps track of where each item came from, builds a timeline, weighs several possible causes and says so when the evidence runs out. Any suggested action also has to stay reviewable by a person. RecoverIT addresses this bounded investigation-and-recommendation problem. It does not currently perform autonomous recovery.</w:t>
      </w:r>
    </w:p>
    <w:p>
      <w:pPr>
        <w:pStyle w:val="Heading2"/>
        <w:keepNext/>
        <w:spacing w:after="120" w:before="240"/>
      </w:pPr>
      <w:r>
        <w:rPr>
          <w:rFonts w:ascii="Times New Roman" w:cs="Times New Roman" w:eastAsia="Times New Roman" w:hAnsi="Times New Roman"/>
          <w:b/>
          <w:bCs/>
          <w:sz w:val="26"/>
          <w:szCs w:val="26"/>
        </w:rPr>
        <w:t xml:space="preserve">1.3 Objectives</w:t>
      </w:r>
    </w:p>
    <w:p>
      <w:pPr>
        <w:keepNext/>
        <w:spacing w:after="80" w:before="120"/>
        <w:jc w:val="center"/>
      </w:pPr>
      <w:r>
        <w:rPr>
          <w:rFonts w:ascii="Times New Roman" w:cs="Times New Roman" w:eastAsia="Times New Roman" w:hAnsi="Times New Roman"/>
          <w:i/>
          <w:iCs/>
          <w:sz w:val="22"/>
          <w:szCs w:val="22"/>
        </w:rPr>
        <w:t xml:space="preserve">Table 1.1 Project objectives and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Objective</w:t>
            </w:r>
          </w:p>
        </w:tc>
        <w:tc>
          <w:tcPr>
            <w:tcW w:type="dxa" w:w="5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Implementation evidence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Unify incident inputs</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Typed incident and evidence contracts; configurable source registry</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Preserve source provenance</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Normalization, source identifiers, timestamps and evidence records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Construct context</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Timeline, relationship and context services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Rank causes</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Hypothesis service, deterministic ranking engine and stopping rules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Control operational risk</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Read-only adapters and remediation policy validation</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Provide usable output</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CLI report, HTTP API and web interface</w:t>
            </w:r>
          </w:p>
        </w:tc>
      </w:tr>
    </w:tbl>
    <w:p>
      <w:pPr>
        <w:spacing w:after="200"/>
      </w:pPr>
    </w:p>
    <w:p>
      <w:pPr>
        <w:spacing w:after="160" w:line="360"/>
        <w:jc w:val="both"/>
      </w:pPr>
      <w:r>
        <w:rPr>
          <w:rFonts w:ascii="Times New Roman" w:cs="Times New Roman" w:eastAsia="Times New Roman" w:hAnsi="Times New Roman"/>
          <w:sz w:val="24"/>
          <w:szCs w:val="24"/>
        </w:rPr>
        <w:t xml:space="preserve">Our first objective was a clear intake and source boundary. A canonical incident seed records the affected service and time context. Each adapter declares what it can supply, so the graph only asks for supported data. When a collection fails, we record it as a source outcome. It is not turned into evidence, and it does not stop the investigation.</w:t>
      </w:r>
    </w:p>
    <w:p>
      <w:pPr>
        <w:spacing w:after="160" w:line="360"/>
        <w:jc w:val="both"/>
      </w:pPr>
      <w:r>
        <w:rPr>
          <w:rFonts w:ascii="Times New Roman" w:cs="Times New Roman" w:eastAsia="Times New Roman" w:hAnsi="Times New Roman"/>
          <w:sz w:val="24"/>
          <w:szCs w:val="24"/>
        </w:rPr>
        <w:t xml:space="preserve">Our second objective was to keep every piece of evidence identifiable and of known quality. We normalize data into one format but keep the original identifiers and timestamps. Redaction and quality checks run before anything reaches the reasoning stage, and we merge duplicate observations so that one repeated event is not counted as corroboration.</w:t>
      </w:r>
    </w:p>
    <w:p>
      <w:pPr>
        <w:spacing w:after="160" w:line="360"/>
        <w:jc w:val="both"/>
      </w:pPr>
      <w:r>
        <w:rPr>
          <w:rFonts w:ascii="Times New Roman" w:cs="Times New Roman" w:eastAsia="Times New Roman" w:hAnsi="Times New Roman"/>
          <w:sz w:val="24"/>
          <w:szCs w:val="24"/>
        </w:rPr>
        <w:t xml:space="preserve">Our third objective was a bounded, inspectable diagnosis. The investigation graph can request more information, collect it, update the context and compare hypotheses. A deterministic ranking stage scores each hypothesis on independent sources, symptom coverage, temporal and change consistency, specificity, predictions, contradictions and missing causal evidence. Stopping rules allow either a completed or an inconclusive outcome.</w:t>
      </w:r>
    </w:p>
    <w:p>
      <w:pPr>
        <w:spacing w:after="160" w:line="360"/>
        <w:jc w:val="both"/>
      </w:pPr>
      <w:r>
        <w:rPr>
          <w:rFonts w:ascii="Times New Roman" w:cs="Times New Roman" w:eastAsia="Times New Roman" w:hAnsi="Times New Roman"/>
          <w:sz w:val="24"/>
          <w:szCs w:val="24"/>
        </w:rPr>
        <w:t xml:space="preserve">Our fourth objective was responsible operator guidance. A remediation plan is a description, with prerequisites, verification and reversal steps. Policy checks block unsupported changes. The current system has no write-capable executor, and we make no claim that a service recovered after any action.</w:t>
      </w:r>
    </w:p>
    <w:p>
      <w:pPr>
        <w:pStyle w:val="Heading2"/>
        <w:keepNext/>
        <w:spacing w:after="120" w:before="240"/>
      </w:pPr>
      <w:r>
        <w:rPr>
          <w:rFonts w:ascii="Times New Roman" w:cs="Times New Roman" w:eastAsia="Times New Roman" w:hAnsi="Times New Roman"/>
          <w:b/>
          <w:bCs/>
          <w:sz w:val="26"/>
          <w:szCs w:val="26"/>
        </w:rPr>
        <w:t xml:space="preserve">1.4 Scope and Constraints</w:t>
      </w:r>
    </w:p>
    <w:p>
      <w:pPr>
        <w:spacing w:after="160" w:line="360"/>
        <w:jc w:val="both"/>
      </w:pPr>
      <w:r>
        <w:rPr>
          <w:rFonts w:ascii="Times New Roman" w:cs="Times New Roman" w:eastAsia="Times New Roman" w:hAnsi="Times New Roman"/>
          <w:sz w:val="24"/>
          <w:szCs w:val="24"/>
        </w:rPr>
        <w:t xml:space="preserve">The implemented scope covers a configured live runtime with real read-only adapters, a provider-neutral reasoning layer, a LangGraph investigation workflow, checkpoint persistence, ranked hypotheses, a report format and optional recommendation-only remediation. It is useful for CI/CD-related incidents, and for any incident whose sources hold relevant records. How well it works depends on how much data those sources provide.</w:t>
      </w:r>
    </w:p>
    <w:p>
      <w:pPr>
        <w:spacing w:after="160" w:line="360"/>
        <w:jc w:val="both"/>
      </w:pPr>
      <w:r>
        <w:rPr>
          <w:rFonts w:ascii="Times New Roman" w:cs="Times New Roman" w:eastAsia="Times New Roman" w:hAnsi="Times New Roman"/>
          <w:sz w:val="24"/>
          <w:szCs w:val="24"/>
        </w:rPr>
        <w:t xml:space="preserve">We do not claim production accuracy, a reduction in mean time to resolution, or self-healing. Our earlier designs did propose self-healing, but we deliberately stopped before any write operation. Rollbacks, restarts, scaling and validation of executed actions are left for later versions.</w:t>
      </w:r>
    </w:p>
    <w:p>
      <w:pPr>
        <w:spacing w:after="160" w:line="360"/>
        <w:jc w:val="both"/>
      </w:pPr>
      <w:r>
        <w:rPr>
          <w:rFonts w:ascii="Times New Roman" w:cs="Times New Roman" w:eastAsia="Times New Roman" w:hAnsi="Times New Roman"/>
          <w:sz w:val="24"/>
          <w:szCs w:val="24"/>
        </w:rPr>
        <w:t xml:space="preserve">Our work is limited by provider availability and credentials, adapter coverage, finite investigation budgets and the reliability of external records. The model may produce an incorrect candidate explanation. For that reason schema validation, provenance checks, deterministic ranking and abstention are part of the design, not optional extras.</w:t>
      </w:r>
    </w:p>
    <w:p>
      <w:pPr>
        <w:pStyle w:val="Heading2"/>
        <w:keepNext/>
        <w:spacing w:after="120" w:before="240"/>
      </w:pPr>
      <w:r>
        <w:rPr>
          <w:rFonts w:ascii="Times New Roman" w:cs="Times New Roman" w:eastAsia="Times New Roman" w:hAnsi="Times New Roman"/>
          <w:b/>
          <w:bCs/>
          <w:sz w:val="26"/>
          <w:szCs w:val="26"/>
        </w:rPr>
        <w:t xml:space="preserve">1.5 Expected Outcomes and Report Organisation</w:t>
      </w:r>
    </w:p>
    <w:p>
      <w:pPr>
        <w:spacing w:after="160" w:line="360"/>
        <w:jc w:val="both"/>
      </w:pPr>
      <w:r>
        <w:rPr>
          <w:rFonts w:ascii="Times New Roman" w:cs="Times New Roman" w:eastAsia="Times New Roman" w:hAnsi="Times New Roman"/>
          <w:sz w:val="24"/>
          <w:szCs w:val="24"/>
        </w:rPr>
        <w:t xml:space="preserve">The outcome we expected from Project I was a working investigation application, backed by a repository that shows the path from a canonical incident to an evidence-linked hypothesis and safe advice. Chapter 2 reviews the literature that shaped our design. Chapter 3 describes the architecture and methods. Chapter 4 reports what we implemented and what we directly observed during verification. Chapter 5 gives our conclusions and future work. The appendices list the interfaces, contracts, tests and individual contributions.</w:t>
      </w:r>
    </w:p>
    <w:p>
      <w:pPr>
        <w:pStyle w:val="Heading1"/>
        <w:pageBreakBefore/>
        <w:spacing w:after="300"/>
        <w:jc w:val="center"/>
      </w:pPr>
      <w:r>
        <w:rPr>
          <w:rFonts w:ascii="Times New Roman" w:cs="Times New Roman" w:eastAsia="Times New Roman" w:hAnsi="Times New Roman"/>
          <w:b/>
          <w:bCs/>
          <w:sz w:val="30"/>
          <w:szCs w:val="30"/>
        </w:rPr>
        <w:t xml:space="preserve">CHAPTER 2 – LITERATURE REVIEW</w:t>
      </w:r>
    </w:p>
    <w:p>
      <w:pPr>
        <w:pStyle w:val="Heading2"/>
        <w:keepNext/>
        <w:spacing w:after="120" w:before="240"/>
      </w:pPr>
      <w:r>
        <w:rPr>
          <w:rFonts w:ascii="Times New Roman" w:cs="Times New Roman" w:eastAsia="Times New Roman" w:hAnsi="Times New Roman"/>
          <w:b/>
          <w:bCs/>
          <w:sz w:val="26"/>
          <w:szCs w:val="26"/>
        </w:rPr>
        <w:t xml:space="preserve">2.1 Review Approach</w:t>
      </w:r>
    </w:p>
    <w:p>
      <w:pPr>
        <w:spacing w:after="160" w:line="360"/>
        <w:jc w:val="both"/>
      </w:pPr>
      <w:r>
        <w:rPr>
          <w:rFonts w:ascii="Times New Roman" w:cs="Times New Roman" w:eastAsia="Times New Roman" w:hAnsi="Times New Roman"/>
          <w:sz w:val="24"/>
          <w:szCs w:val="24"/>
        </w:rPr>
        <w:t xml:space="preserve">We surveyed sixteen papers covering autonomous SRE, language-model agents, root cause analysis (RCA) of microservices, CI/CD failure diagnosis, observability and self-healing. For each paper we looked at its method, the evidence it needs, its limits and its relevance to RecoverIT. The figures quoted below belong to the cited papers, not to our project. We did this review before our scope was final, so where a paper describes automated repair we treat it as motivation only.</w:t>
      </w:r>
    </w:p>
    <w:p>
      <w:pPr>
        <w:pStyle w:val="Heading2"/>
        <w:keepNext/>
        <w:spacing w:after="120" w:before="240"/>
      </w:pPr>
      <w:r>
        <w:rPr>
          <w:rFonts w:ascii="Times New Roman" w:cs="Times New Roman" w:eastAsia="Times New Roman" w:hAnsi="Times New Roman"/>
          <w:b/>
          <w:bCs/>
          <w:sz w:val="26"/>
          <w:szCs w:val="26"/>
        </w:rPr>
        <w:t xml:space="preserve">2.2 Multi-Agent Self-Healing</w:t>
      </w:r>
    </w:p>
    <w:p>
      <w:pPr>
        <w:spacing w:after="160" w:line="360"/>
        <w:jc w:val="both"/>
      </w:pPr>
      <w:r>
        <w:rPr>
          <w:rFonts w:ascii="Times New Roman" w:cs="Times New Roman" w:eastAsia="Times New Roman" w:hAnsi="Times New Roman"/>
          <w:sz w:val="24"/>
          <w:szCs w:val="24"/>
        </w:rPr>
        <w:t xml:space="preserve">Manohar, Shukla and Abi [1] describe a multi-agent system for SRE built with CrewAI and several LLMs, including DeepSeek-R1, GPT-4o and Gemini 2.5 Flash. It runs on Kubernetes and connects to Middleware.io for monitoring, Jira Service Management for tickets, GitHub for code and Langfuse for tracing. Four agents share the work: an Incident Resolution Manager that coordinates, a Jira Manager that handles tickets, a Root Cause Analyzer that correlates logs, cluster state and source code, and a Code Fix Generator that opens pull requests. A human reviews each pull request before merging.</w:t>
      </w:r>
    </w:p>
    <w:p>
      <w:pPr>
        <w:spacing w:after="160" w:line="360"/>
        <w:jc w:val="both"/>
      </w:pPr>
      <w:r>
        <w:rPr>
          <w:rFonts w:ascii="Times New Roman" w:cs="Times New Roman" w:eastAsia="Times New Roman" w:hAnsi="Times New Roman"/>
          <w:sz w:val="24"/>
          <w:szCs w:val="24"/>
        </w:rPr>
        <w:t xml:space="preserve">The authors tested the system on a deliberately faulty web application and used Gemini 2.5 Pro as an independent judge. They report 71% correctness in task delegation, 68% precision in identifying actionable root causes (up to 96% for simpler cases), valid pull requests in 73% of tested cases, and an average end-to-end time of 27.48 minutes. Langfuse captured every run. Effectiveness dropped as problems became more complex. For us, the paper is a useful example of combining multi-agent orchestration, source-code inspection, human approval and auditability. It also names CI/CD integration and correlation with recent code changes as future work, which is the direction RecoverIT takes.</w:t>
      </w:r>
    </w:p>
    <w:p>
      <w:pPr>
        <w:pStyle w:val="Heading2"/>
        <w:keepNext/>
        <w:spacing w:after="120" w:before="240"/>
      </w:pPr>
      <w:r>
        <w:rPr>
          <w:rFonts w:ascii="Times New Roman" w:cs="Times New Roman" w:eastAsia="Times New Roman" w:hAnsi="Times New Roman"/>
          <w:b/>
          <w:bCs/>
          <w:sz w:val="26"/>
          <w:szCs w:val="26"/>
        </w:rPr>
        <w:t xml:space="preserve">2.3 LLM-Based RCA Agents</w:t>
      </w:r>
    </w:p>
    <w:p>
      <w:pPr>
        <w:spacing w:after="160" w:line="360"/>
        <w:jc w:val="both"/>
      </w:pPr>
      <w:r>
        <w:rPr>
          <w:rFonts w:ascii="Times New Roman" w:cs="Times New Roman" w:eastAsia="Times New Roman" w:hAnsi="Times New Roman"/>
          <w:sz w:val="24"/>
          <w:szCs w:val="24"/>
        </w:rPr>
        <w:t xml:space="preserve">Roy et al. [2] study ReAct-style agents, in which an LLM alternates between reasoning and tool calls, for cloud incident RCA. Their agent is not limited to the incident report; it can fetch further information the way an on-call engineer would. They capped the loop at 20 iterations and evaluated on a large internal dataset of about 107,000 incidents, using GPT-4 as the main model. They compared the agent with retrieval and chain-of-thought baselines using BLEU, METEOR, ROUGE-L and BERTScore, and added manual labels such as hallucinated, lack of evidence and reasoning error, because overlap metrics do not measure factual correctness.</w:t>
      </w:r>
    </w:p>
    <w:p>
      <w:pPr>
        <w:spacing w:after="160" w:line="360"/>
        <w:jc w:val="both"/>
      </w:pPr>
      <w:r>
        <w:rPr>
          <w:rFonts w:ascii="Times New Roman" w:cs="Times New Roman" w:eastAsia="Times New Roman" w:hAnsi="Times New Roman"/>
          <w:sz w:val="24"/>
          <w:szCs w:val="24"/>
        </w:rPr>
        <w:t xml:space="preserve">The ReAct agent hallucinated less than the retrieval-only baseline, but it sometimes could not name a cause when the available information was too thin. In a case study with the Azure Fundamental Team, they gave the agent team-specific tools such as a database query tool and a knowledge-base question-answering tool. This supports two of our decisions: collection should be tool-driven, and an investigator needs a way to say that the evidence is insufficient.</w:t>
      </w:r>
    </w:p>
    <w:p>
      <w:pPr>
        <w:pStyle w:val="Heading2"/>
        <w:keepNext/>
        <w:spacing w:after="120" w:before="240"/>
      </w:pPr>
      <w:r>
        <w:rPr>
          <w:rFonts w:ascii="Times New Roman" w:cs="Times New Roman" w:eastAsia="Times New Roman" w:hAnsi="Times New Roman"/>
          <w:b/>
          <w:bCs/>
          <w:sz w:val="26"/>
          <w:szCs w:val="26"/>
        </w:rPr>
        <w:t xml:space="preserve">2.4 Log-Based RCA</w:t>
      </w:r>
    </w:p>
    <w:p>
      <w:pPr>
        <w:spacing w:after="160" w:line="360"/>
        <w:jc w:val="both"/>
      </w:pPr>
      <w:r>
        <w:rPr>
          <w:rFonts w:ascii="Times New Roman" w:cs="Times New Roman" w:eastAsia="Times New Roman" w:hAnsi="Times New Roman"/>
          <w:sz w:val="24"/>
          <w:szCs w:val="24"/>
        </w:rPr>
        <w:t xml:space="preserve">LogRCA [3] treats logs as the main evidence for RCA in distributed services, where only a small share of the log volume helps explain a failure. It shows why we select evidence before reasoning instead of passing every log to a model. It also reminds us that in a service-based system the visible error may sit downstream of the real fault, so a log has to be read against the whole incident timeline. We take from it that logs suggest symptoms and candidate causes, while Git history, pipeline results, deployments, metrics and health status must confirm or reject them. For example, a database connection error should be checked against the database's actual health, recent configuration changes and the time of the last deployment.</w:t>
      </w:r>
    </w:p>
    <w:p>
      <w:pPr>
        <w:pStyle w:val="Heading2"/>
        <w:keepNext/>
        <w:spacing w:after="120" w:before="240"/>
      </w:pPr>
      <w:r>
        <w:rPr>
          <w:rFonts w:ascii="Times New Roman" w:cs="Times New Roman" w:eastAsia="Times New Roman" w:hAnsi="Times New Roman"/>
          <w:b/>
          <w:bCs/>
          <w:sz w:val="26"/>
          <w:szCs w:val="26"/>
        </w:rPr>
        <w:t xml:space="preserve">2.5 Microservice RCA Survey</w:t>
      </w:r>
    </w:p>
    <w:p>
      <w:pPr>
        <w:spacing w:after="160" w:line="360"/>
        <w:jc w:val="both"/>
      </w:pPr>
      <w:r>
        <w:rPr>
          <w:rFonts w:ascii="Times New Roman" w:cs="Times New Roman" w:eastAsia="Times New Roman" w:hAnsi="Times New Roman"/>
          <w:sz w:val="24"/>
          <w:szCs w:val="24"/>
        </w:rPr>
        <w:t xml:space="preserve">Wang and Qi [4] survey RCA in microservices by data type: metrics, traces, logs, multi-modal approaches and LLM-based methods. They describe RCA as data collection, analysis and then formulation and validation of root-cause candidates, which matches our own sequence. They also point to the challenges we designed around: complex dependencies, failure propagation, noisy and heterogeneous data, and difficulty localizing the original fault. We extend their multi-source idea past runtime telemetry to include Git changes, pipeline results, deployment history and configuration changes.</w:t>
      </w:r>
    </w:p>
    <w:p>
      <w:pPr>
        <w:pStyle w:val="Heading2"/>
        <w:keepNext/>
        <w:spacing w:after="120" w:before="240"/>
      </w:pPr>
      <w:r>
        <w:rPr>
          <w:rFonts w:ascii="Times New Roman" w:cs="Times New Roman" w:eastAsia="Times New Roman" w:hAnsi="Times New Roman"/>
          <w:b/>
          <w:bCs/>
          <w:sz w:val="26"/>
          <w:szCs w:val="26"/>
        </w:rPr>
        <w:t xml:space="preserve">2.6 Causal Microservice RCA</w:t>
      </w:r>
    </w:p>
    <w:p>
      <w:pPr>
        <w:spacing w:after="160" w:line="360"/>
        <w:jc w:val="both"/>
      </w:pPr>
      <w:r>
        <w:rPr>
          <w:rFonts w:ascii="Times New Roman" w:cs="Times New Roman" w:eastAsia="Times New Roman" w:hAnsi="Times New Roman"/>
          <w:sz w:val="24"/>
          <w:szCs w:val="24"/>
        </w:rPr>
        <w:t xml:space="preserve">Pham et al. [5] examine causal inference methods for microservice RCA. The key lesson for us is that the component showing abnormal behaviour is not always the one that started the incident, and that correlation does not prove causation. A wrong configuration released in one service can show up as failures in its database or dependants. The paper also finds that no single causal method works well for every failure type. This is why we keep several hypotheses alive, order events on a timeline, and avoid claiming causation from sequence alone.</w:t>
      </w:r>
    </w:p>
    <w:p>
      <w:pPr>
        <w:pStyle w:val="Heading2"/>
        <w:keepNext/>
        <w:spacing w:after="120" w:before="240"/>
      </w:pPr>
      <w:r>
        <w:rPr>
          <w:rFonts w:ascii="Times New Roman" w:cs="Times New Roman" w:eastAsia="Times New Roman" w:hAnsi="Times New Roman"/>
          <w:b/>
          <w:bCs/>
          <w:sz w:val="26"/>
          <w:szCs w:val="26"/>
        </w:rPr>
        <w:t xml:space="preserve">2.7 RCA Benchmarking</w:t>
      </w:r>
    </w:p>
    <w:p>
      <w:pPr>
        <w:spacing w:after="160" w:line="360"/>
        <w:jc w:val="both"/>
      </w:pPr>
      <w:r>
        <w:rPr>
          <w:rFonts w:ascii="Times New Roman" w:cs="Times New Roman" w:eastAsia="Times New Roman" w:hAnsi="Times New Roman"/>
          <w:sz w:val="24"/>
          <w:szCs w:val="24"/>
        </w:rPr>
        <w:t xml:space="preserve">RCAEval [6] is an open benchmark of 735 failure cases from three microservice systems (Online Boutique, Sock Shop and Train Ticket), with metrics, logs and traces. Its RE1, RE2 and RE3 datasets cover metric-based, multi-source and code-level failures respectively, and fifteen baselines are provided. It matters to us for three reasons. It shows the value of correlating heterogeneous evidence. It offers an evaluation model in which faults are injected and predictions are compared with ground truth, which we plan to follow. And its sheer volume, including millions of log lines and traces, supports our principle of not sending all data to an LLM. Its code-level faults also confirm that production symptoms often trace back to source changes, so telemetry should be correlated with commits, pull requests and deployments.</w:t>
      </w:r>
    </w:p>
    <w:p>
      <w:pPr>
        <w:pStyle w:val="Heading2"/>
        <w:keepNext/>
        <w:spacing w:after="120" w:before="240"/>
      </w:pPr>
      <w:r>
        <w:rPr>
          <w:rFonts w:ascii="Times New Roman" w:cs="Times New Roman" w:eastAsia="Times New Roman" w:hAnsi="Times New Roman"/>
          <w:b/>
          <w:bCs/>
          <w:sz w:val="26"/>
          <w:szCs w:val="26"/>
        </w:rPr>
        <w:t xml:space="preserve">2.8 Autonomous Cloud Evaluation</w:t>
      </w:r>
    </w:p>
    <w:p>
      <w:pPr>
        <w:spacing w:after="160" w:line="360"/>
        <w:jc w:val="both"/>
      </w:pPr>
      <w:r>
        <w:rPr>
          <w:rFonts w:ascii="Times New Roman" w:cs="Times New Roman" w:eastAsia="Times New Roman" w:hAnsi="Times New Roman"/>
          <w:sz w:val="24"/>
          <w:szCs w:val="24"/>
        </w:rPr>
        <w:t xml:space="preserve">AIOpsLab [7] provides an interactive environment where agents observe a live system, investigate faults, act and are scored against an expected result. Its task levels are detection, localization, RCA and mitigation, and it measures time to detect, time to mitigate, number of steps and token use in addition to accuracy. The authors report that RCA and mitigation were the hardest tasks, that no agent did well across all four, and that extra steps eventually stopped improving accuracy while token use kept rising. They also saw false positives on no-fault scenarios. These findings support our bounded investigation budget and our use of a controlled interface between the model and the infrastructure.</w:t>
      </w:r>
    </w:p>
    <w:p>
      <w:pPr>
        <w:pStyle w:val="Heading2"/>
        <w:keepNext/>
        <w:spacing w:after="120" w:before="240"/>
      </w:pPr>
      <w:r>
        <w:rPr>
          <w:rFonts w:ascii="Times New Roman" w:cs="Times New Roman" w:eastAsia="Times New Roman" w:hAnsi="Times New Roman"/>
          <w:b/>
          <w:bCs/>
          <w:sz w:val="26"/>
          <w:szCs w:val="26"/>
        </w:rPr>
        <w:t xml:space="preserve">2.9 SOP-Guided RCA</w:t>
      </w:r>
    </w:p>
    <w:p>
      <w:pPr>
        <w:spacing w:after="160" w:line="360"/>
        <w:jc w:val="both"/>
      </w:pPr>
      <w:r>
        <w:rPr>
          <w:rFonts w:ascii="Times New Roman" w:cs="Times New Roman" w:eastAsia="Times New Roman" w:hAnsi="Times New Roman"/>
          <w:sz w:val="24"/>
          <w:szCs w:val="24"/>
        </w:rPr>
        <w:t xml:space="preserve">Flow-of-Action [8] addresses unconstrained LLM agents, which can hallucinate, pick irrelevant tools and become overloaded by observations. It encodes expert procedures as standard operating procedures (SOPs) that guide the investigation as a soft constraint, introduces a thought-action-set-action-observation loop to cut ineffective tool calls, and splits work among a main agent, a code agent, a judge agent, an observation agent and an action agent. The authors report 64.01% RCA accuracy against 35.50% for a ReAct baseline, and they limit the number of steps to prevent endless loops. We draw on its ideas of structured procedures, bounded tool use, explicit stopping criteria and condensing observations before the main reasoning step.</w:t>
      </w:r>
    </w:p>
    <w:p>
      <w:pPr>
        <w:pStyle w:val="Heading2"/>
        <w:keepNext/>
        <w:spacing w:after="120" w:before="240"/>
      </w:pPr>
      <w:r>
        <w:rPr>
          <w:rFonts w:ascii="Times New Roman" w:cs="Times New Roman" w:eastAsia="Times New Roman" w:hAnsi="Times New Roman"/>
          <w:b/>
          <w:bCs/>
          <w:sz w:val="26"/>
          <w:szCs w:val="26"/>
        </w:rPr>
        <w:t xml:space="preserve">2.10 Intelligent Fault Detection</w:t>
      </w:r>
    </w:p>
    <w:p>
      <w:pPr>
        <w:spacing w:after="160" w:line="360"/>
        <w:jc w:val="both"/>
      </w:pPr>
      <w:r>
        <w:rPr>
          <w:rFonts w:ascii="Times New Roman" w:cs="Times New Roman" w:eastAsia="Times New Roman" w:hAnsi="Times New Roman"/>
          <w:sz w:val="24"/>
          <w:szCs w:val="24"/>
        </w:rPr>
        <w:t xml:space="preserve">Ji and Luo [9] combine an LLM, which interprets logs and error reports, with machine-learning models for fault classification and anomaly detection, and then trigger self-healing. They compare Transformer, graph neural network and deep reinforcement learning approaches. Their point that fault management is not a single-model problem fits our separation of detection, evidence gathering, RCA and recommendation. Where they connect detection directly to automatic recovery, we deliberately place a hypothesis-ranking and human-review stage in between.</w:t>
      </w:r>
    </w:p>
    <w:p>
      <w:pPr>
        <w:pStyle w:val="Heading2"/>
        <w:keepNext/>
        <w:spacing w:after="120" w:before="240"/>
      </w:pPr>
      <w:r>
        <w:rPr>
          <w:rFonts w:ascii="Times New Roman" w:cs="Times New Roman" w:eastAsia="Times New Roman" w:hAnsi="Times New Roman"/>
          <w:b/>
          <w:bCs/>
          <w:sz w:val="26"/>
          <w:szCs w:val="26"/>
        </w:rPr>
        <w:t xml:space="preserve">2.11 Agent-Based Microservice RCA</w:t>
      </w:r>
    </w:p>
    <w:p>
      <w:pPr>
        <w:spacing w:after="160" w:line="360"/>
        <w:jc w:val="both"/>
      </w:pPr>
      <w:r>
        <w:rPr>
          <w:rFonts w:ascii="Times New Roman" w:cs="Times New Roman" w:eastAsia="Times New Roman" w:hAnsi="Times New Roman"/>
          <w:sz w:val="24"/>
          <w:szCs w:val="24"/>
        </w:rPr>
        <w:t xml:space="preserve">MicroRCA-Agent [10] shows that LLM-based RCA depends on the quality, compression and alignment of the evidence it receives, not only on the model. It preprocesses each modality (parsing and filtering logs, statistical filtering of metrics, summarising traces) before a multimodal reasoning step that outputs the faulty component, a description and a reasoning trace. Its ablation study shows strong synergy between logs and metrics, and it also reports cases where the LLM still hallucinated. This supports our hybrid design, in which deterministic code reduces and structures data and the model is used only where semantic reasoning is needed. It also suggests an evaluation plan for later work: compare logs only, logs plus metrics, and the full CI/CD-aware evidence set.</w:t>
      </w:r>
    </w:p>
    <w:p>
      <w:pPr>
        <w:pStyle w:val="Heading2"/>
        <w:keepNext/>
        <w:spacing w:after="120" w:before="240"/>
      </w:pPr>
      <w:r>
        <w:rPr>
          <w:rFonts w:ascii="Times New Roman" w:cs="Times New Roman" w:eastAsia="Times New Roman" w:hAnsi="Times New Roman"/>
          <w:b/>
          <w:bCs/>
          <w:sz w:val="26"/>
          <w:szCs w:val="26"/>
        </w:rPr>
        <w:t xml:space="preserve">2.12 Multi-Agent RCA Search</w:t>
      </w:r>
    </w:p>
    <w:p>
      <w:pPr>
        <w:spacing w:after="160" w:line="360"/>
        <w:jc w:val="both"/>
      </w:pPr>
      <w:r>
        <w:rPr>
          <w:rFonts w:ascii="Times New Roman" w:cs="Times New Roman" w:eastAsia="Times New Roman" w:hAnsi="Times New Roman"/>
          <w:sz w:val="24"/>
          <w:szCs w:val="24"/>
        </w:rPr>
        <w:t xml:space="preserve">LATS-RCA [11] frames RCA as a tree search, combining LLM reflection with Monte Carlo Tree Search so that competing hypotheses are explored in parallel instead of along one chain of reasoning. On the LO2 benchmark it reaches 91.3% accuracy, against 39.8% for single-agent ReAct and 57.4% for multi-agent ReAct, but at a much higher cost: an average of 53.1 API calls, 156K tokens and 9.1 minutes per investigation, with about 18.9 hypotheses explored. On 37 real incidents in a polyglot production environment its accuracy fell to roughly 60-70%. Two lessons follow for us: exploring multiple hypotheses pays off, and the investigation needs hard limits on calls, tokens and time. The drop in production also supports normalizing evidence before reasoning.</w:t>
      </w:r>
    </w:p>
    <w:p>
      <w:pPr>
        <w:pStyle w:val="Heading2"/>
        <w:keepNext/>
        <w:spacing w:after="120" w:before="240"/>
      </w:pPr>
      <w:r>
        <w:rPr>
          <w:rFonts w:ascii="Times New Roman" w:cs="Times New Roman" w:eastAsia="Times New Roman" w:hAnsi="Times New Roman"/>
          <w:b/>
          <w:bCs/>
          <w:sz w:val="26"/>
          <w:szCs w:val="26"/>
        </w:rPr>
        <w:t xml:space="preserve">2.13 Graph-Augmented RCA</w:t>
      </w:r>
    </w:p>
    <w:p>
      <w:pPr>
        <w:spacing w:after="160" w:line="360"/>
        <w:jc w:val="both"/>
      </w:pPr>
      <w:r>
        <w:rPr>
          <w:rFonts w:ascii="Times New Roman" w:cs="Times New Roman" w:eastAsia="Times New Roman" w:hAnsi="Times New Roman"/>
          <w:sz w:val="24"/>
          <w:szCs w:val="24"/>
        </w:rPr>
        <w:t xml:space="preserve">GALA [12] uses service dependency graphs built from traces, together with metrics, logs and agentic investigation. Its four phases generate early hypotheses, build compact pod-level diagnostic packages, run graph-guided investigation and summarise the result into a diagnosis and action items. It reports AC@1 of 74.44% on Online Boutique and 73.33% on Train Ticket, more than 25 points ahead of the strongest LLM baselines, and it evaluates the incident report itself using SURE-Score. The graph acts as a constraint on the search rather than only a retrieval structure. We borrow the idea of compact evidence packages, of following likely propagation paths, and of judging the usefulness of the final report as well as the ranking.</w:t>
      </w:r>
    </w:p>
    <w:p>
      <w:pPr>
        <w:pStyle w:val="Heading2"/>
        <w:keepNext/>
        <w:spacing w:after="120" w:before="240"/>
      </w:pPr>
      <w:r>
        <w:rPr>
          <w:rFonts w:ascii="Times New Roman" w:cs="Times New Roman" w:eastAsia="Times New Roman" w:hAnsi="Times New Roman"/>
          <w:b/>
          <w:bCs/>
          <w:sz w:val="26"/>
          <w:szCs w:val="26"/>
        </w:rPr>
        <w:t xml:space="preserve">2.14 Exception-Based RCA</w:t>
      </w:r>
    </w:p>
    <w:p>
      <w:pPr>
        <w:spacing w:after="160" w:line="360"/>
        <w:jc w:val="both"/>
      </w:pPr>
      <w:r>
        <w:rPr>
          <w:rFonts w:ascii="Times New Roman" w:cs="Times New Roman" w:eastAsia="Times New Roman" w:hAnsi="Times New Roman"/>
          <w:sz w:val="24"/>
          <w:szCs w:val="24"/>
        </w:rPr>
        <w:t xml:space="preserve">Mhatre and Shaikh [13] route microservice exceptions through Kafka to a classifier that separates business from runtime exceptions, and send only runtime exceptions to a fine-tuned LLM (CodeLlama and Mistral) that reads stack traces with code context. They report over 90% precision on business exceptions, 89.6% recall on runtime exceptions and under one second per RCA. We take two things from this: simple classifiers can filter events before an LLM sees them, and linking a runtime symptom to the code that changed is what turns classification into a cause.</w:t>
      </w:r>
    </w:p>
    <w:p>
      <w:pPr>
        <w:pStyle w:val="Heading2"/>
        <w:keepNext/>
        <w:spacing w:after="120" w:before="240"/>
      </w:pPr>
      <w:r>
        <w:rPr>
          <w:rFonts w:ascii="Times New Roman" w:cs="Times New Roman" w:eastAsia="Times New Roman" w:hAnsi="Times New Roman"/>
          <w:b/>
          <w:bCs/>
          <w:sz w:val="26"/>
          <w:szCs w:val="26"/>
        </w:rPr>
        <w:t xml:space="preserve">2.15 Health-Probe Remediation</w:t>
      </w:r>
    </w:p>
    <w:p>
      <w:pPr>
        <w:spacing w:after="160" w:line="360"/>
        <w:jc w:val="both"/>
      </w:pPr>
      <w:r>
        <w:rPr>
          <w:rFonts w:ascii="Times New Roman" w:cs="Times New Roman" w:eastAsia="Times New Roman" w:hAnsi="Times New Roman"/>
          <w:sz w:val="24"/>
          <w:szCs w:val="24"/>
        </w:rPr>
        <w:t xml:space="preserve">Kalakoti [14] describes a loop of Kubernetes health probes, AI diagnosis, predefined remediation playbooks and re-evaluation. Playbooks give a controlled action space, and low-risk actions can be automatic while riskier ones need approval. The paper also shows that an LLM's claim of success is not proof of recovery; objective signals such as availability, error rate and latency are needed. Those ideas matter for our future work on execution and verification. For this project we used them only to shape the wording and structure of recommendations, since RecoverIT does not execute any action.</w:t>
      </w:r>
    </w:p>
    <w:p>
      <w:pPr>
        <w:pStyle w:val="Heading2"/>
        <w:keepNext/>
        <w:spacing w:after="120" w:before="240"/>
      </w:pPr>
      <w:r>
        <w:rPr>
          <w:rFonts w:ascii="Times New Roman" w:cs="Times New Roman" w:eastAsia="Times New Roman" w:hAnsi="Times New Roman"/>
          <w:b/>
          <w:bCs/>
          <w:sz w:val="26"/>
          <w:szCs w:val="26"/>
        </w:rPr>
        <w:t xml:space="preserve">2.16 CI/CD Failure Remediation</w:t>
      </w:r>
    </w:p>
    <w:p>
      <w:pPr>
        <w:spacing w:after="160" w:line="360"/>
        <w:jc w:val="both"/>
      </w:pPr>
      <w:r>
        <w:rPr>
          <w:rFonts w:ascii="Times New Roman" w:cs="Times New Roman" w:eastAsia="Times New Roman" w:hAnsi="Times New Roman"/>
          <w:sz w:val="24"/>
          <w:szCs w:val="24"/>
        </w:rPr>
        <w:t xml:space="preserve">LogSage [15] targets failures in CI/CD pipelines. It filters long, noisy pipeline logs before the LLM reads them, performs RCA, and then uses retrieval-augmented generation and tool calling to produce a fix. It reports about 98% precision with near-perfect recall for RCA, and over 88% end-to-end precision across more than 1.07 million executions in an industrial deployment over a year. It is the closest work to ours in setting. The gap we address is that LogSage concentrates on pipeline failures, while we want to connect delivery events (commits, configuration changes, deployments) with production symptoms, and to weigh several candidate causes instead of accepting the first diagnosis.</w:t>
      </w:r>
    </w:p>
    <w:p>
      <w:pPr>
        <w:pStyle w:val="Heading2"/>
        <w:keepNext/>
        <w:spacing w:after="120" w:before="240"/>
      </w:pPr>
      <w:r>
        <w:rPr>
          <w:rFonts w:ascii="Times New Roman" w:cs="Times New Roman" w:eastAsia="Times New Roman" w:hAnsi="Times New Roman"/>
          <w:b/>
          <w:bCs/>
          <w:sz w:val="26"/>
          <w:szCs w:val="26"/>
        </w:rPr>
        <w:t xml:space="preserve">2.17 Cloud Observability RCA</w:t>
      </w:r>
    </w:p>
    <w:p>
      <w:pPr>
        <w:spacing w:after="160" w:line="360"/>
        <w:jc w:val="both"/>
      </w:pPr>
      <w:r>
        <w:rPr>
          <w:rFonts w:ascii="Times New Roman" w:cs="Times New Roman" w:eastAsia="Times New Roman" w:hAnsi="Times New Roman"/>
          <w:sz w:val="24"/>
          <w:szCs w:val="24"/>
        </w:rPr>
        <w:t xml:space="preserve">Wang et al. [16] combine OpenTelemetry-based collection, machine-learning anomaly detection and a domain-adapted LLM for RCA and remediation, with safety measures and a feedback loop to monitoring. They report about 95% F1 for anomaly detection, an 84.2% reduction in mean time to resolution against rule-based approaches and roughly 91% automation for common incidents. Like the other papers, it looks at runtime telemetry. We add software-delivery context: what changed in the new release, how it differs from the last healthy version, and what the pipeline reported.</w:t>
      </w:r>
    </w:p>
    <w:p>
      <w:pPr>
        <w:pStyle w:val="Heading2"/>
        <w:keepNext/>
        <w:spacing w:after="120" w:before="240"/>
      </w:pPr>
      <w:r>
        <w:rPr>
          <w:rFonts w:ascii="Times New Roman" w:cs="Times New Roman" w:eastAsia="Times New Roman" w:hAnsi="Times New Roman"/>
          <w:b/>
          <w:bCs/>
          <w:sz w:val="26"/>
          <w:szCs w:val="26"/>
        </w:rPr>
        <w:t xml:space="preserve">2.18 Comparison and Research Gap</w:t>
      </w:r>
    </w:p>
    <w:p>
      <w:pPr>
        <w:keepNext/>
        <w:spacing w:after="80" w:before="120"/>
        <w:jc w:val="center"/>
      </w:pPr>
      <w:r>
        <w:rPr>
          <w:rFonts w:ascii="Times New Roman" w:cs="Times New Roman" w:eastAsia="Times New Roman" w:hAnsi="Times New Roman"/>
          <w:i/>
          <w:iCs/>
          <w:sz w:val="22"/>
          <w:szCs w:val="22"/>
        </w:rPr>
        <w:t xml:space="preserve">Table 2.1 Literature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Research strand</w:t>
            </w:r>
          </w:p>
        </w:tc>
        <w:tc>
          <w:tcPr>
            <w:tcW w:type="dxa" w:w="3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Contribution</w:t>
            </w:r>
          </w:p>
        </w:tc>
        <w:tc>
          <w:tcPr>
            <w:tcW w:type="dxa" w:w="3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Remaining gap for this project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LLM agents</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Iterative tool use and evidence retrieval</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Need bounded cost and structured provenance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Log-focused RCA</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Filters high-value log evidence</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Need to join software delivery with runtime context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Microservice RCA</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Causal and multimodal reasoning</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Need source identity, timeline and abstention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CI/CD failure analysis</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Pipeline-specific diagnosis</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Need production incident correlation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Self-healing systems</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Recovery procedures and monitoring</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Need approval and execution safety before deployment</w:t>
            </w:r>
          </w:p>
        </w:tc>
      </w:tr>
    </w:tbl>
    <w:p>
      <w:pPr>
        <w:spacing w:after="200"/>
      </w:pPr>
    </w:p>
    <w:p>
      <w:pPr>
        <w:spacing w:after="160" w:line="360"/>
        <w:jc w:val="both"/>
      </w:pPr>
      <w:r>
        <w:rPr>
          <w:rFonts w:ascii="Times New Roman" w:cs="Times New Roman" w:eastAsia="Times New Roman" w:hAnsi="Times New Roman"/>
          <w:sz w:val="24"/>
          <w:szCs w:val="24"/>
        </w:rPr>
        <w:t xml:space="preserve">The gap common to these strands is the lack of a single evidence trail that joins delivery events with runtime observations while keeping conclusions and proposed actions accountable. RecoverIT addresses that gap at the investigation and recommendation layers. We do not claim to exceed any published accuracy or efficiency result, because a comparable labelled incident benchmark and a production evaluation are not part of our verified results.</w:t>
      </w:r>
    </w:p>
    <w:p>
      <w:pPr>
        <w:pStyle w:val="Heading1"/>
        <w:pageBreakBefore/>
        <w:spacing w:after="300"/>
        <w:jc w:val="center"/>
      </w:pPr>
      <w:r>
        <w:rPr>
          <w:rFonts w:ascii="Times New Roman" w:cs="Times New Roman" w:eastAsia="Times New Roman" w:hAnsi="Times New Roman"/>
          <w:b/>
          <w:bCs/>
          <w:sz w:val="30"/>
          <w:szCs w:val="30"/>
        </w:rPr>
        <w:t xml:space="preserve">CHAPTER 3 – METHODOLOGY AND SYSTEM DESIGN</w:t>
      </w:r>
    </w:p>
    <w:p>
      <w:pPr>
        <w:pStyle w:val="Heading2"/>
        <w:keepNext/>
        <w:spacing w:after="120" w:before="240"/>
      </w:pPr>
      <w:r>
        <w:rPr>
          <w:rFonts w:ascii="Times New Roman" w:cs="Times New Roman" w:eastAsia="Times New Roman" w:hAnsi="Times New Roman"/>
          <w:b/>
          <w:bCs/>
          <w:sz w:val="26"/>
          <w:szCs w:val="26"/>
        </w:rPr>
        <w:t xml:space="preserve">3.1 Design Principles</w:t>
      </w:r>
    </w:p>
    <w:p>
      <w:pPr>
        <w:spacing w:after="160" w:line="360"/>
        <w:jc w:val="both"/>
      </w:pPr>
      <w:r>
        <w:rPr>
          <w:rFonts w:ascii="Times New Roman" w:cs="Times New Roman" w:eastAsia="Times New Roman" w:hAnsi="Times New Roman"/>
          <w:sz w:val="24"/>
          <w:szCs w:val="24"/>
        </w:rPr>
        <w:t xml:space="preserve">Observation comes before inference. Every observation keeps its origin, identifier and time context, so a hypothesis can cite a concrete record. The model is never the authority on whether a cited record exists. We apply this principle in typed source batches, normalized evidence, context construction and the final policy checks.</w:t>
      </w:r>
    </w:p>
    <w:p>
      <w:pPr>
        <w:spacing w:after="160" w:line="360"/>
        <w:jc w:val="both"/>
      </w:pPr>
      <w:r>
        <w:rPr>
          <w:rFonts w:ascii="Times New Roman" w:cs="Times New Roman" w:eastAsia="Times New Roman" w:hAnsi="Times New Roman"/>
          <w:sz w:val="24"/>
          <w:szCs w:val="24"/>
        </w:rPr>
        <w:t xml:space="preserve">The runtime is configured explicitly. A settings file chooses the reasoning provider, model, source adapters, concurrency, timeouts and checkpoint location. Automatic live composition requires a real provider, and test doubles are injected only by tests, which prevents accidental production runs over canned scenarios.</w:t>
      </w:r>
    </w:p>
    <w:p>
      <w:pPr>
        <w:spacing w:after="160" w:line="360"/>
        <w:jc w:val="both"/>
      </w:pPr>
      <w:r>
        <w:rPr>
          <w:rFonts w:ascii="Times New Roman" w:cs="Times New Roman" w:eastAsia="Times New Roman" w:hAnsi="Times New Roman"/>
          <w:sz w:val="24"/>
          <w:szCs w:val="24"/>
        </w:rPr>
        <w:t xml:space="preserve">Investigations are bounded. The graph controls collection rounds through an investigation budget and stopping logic. A plausible claim from the model does not complete an investigation by itself. If the evidence is not enough, the system returns an inconclusive result with its unfinished criteria.</w:t>
      </w:r>
    </w:p>
    <w:p>
      <w:pPr>
        <w:pStyle w:val="Heading2"/>
        <w:keepNext/>
        <w:spacing w:after="120" w:before="240"/>
      </w:pPr>
      <w:r>
        <w:rPr>
          <w:rFonts w:ascii="Times New Roman" w:cs="Times New Roman" w:eastAsia="Times New Roman" w:hAnsi="Times New Roman"/>
          <w:b/>
          <w:bCs/>
          <w:sz w:val="26"/>
          <w:szCs w:val="26"/>
        </w:rPr>
        <w:t xml:space="preserve">3.2 System Architecture</w:t>
      </w:r>
    </w:p>
    <w:p>
      <w:pPr>
        <w:spacing w:after="160" w:line="360"/>
        <w:jc w:val="both"/>
      </w:pPr>
      <w:r>
        <w:rPr>
          <w:rFonts w:ascii="Times New Roman" w:cs="Times New Roman" w:eastAsia="Times New Roman" w:hAnsi="Times New Roman"/>
          <w:sz w:val="24"/>
          <w:szCs w:val="24"/>
        </w:rPr>
        <w:t xml:space="preserve">The application has three layers. The boundary layer loads a canonical incident and discovers the capabilities of configured sources. The evidence layer collects, validates, normalizes, stores and combines records into a timeline and a context snapshot. The reasoning layer assesses gaps, proposes queries and hypotheses, evaluates stopping criteria, ranks supported hypotheses and optionally prepares an advisory remediation plan. A runner turns graph state into a stable result for the CLI and HTTP clients.</w:t>
      </w:r>
    </w:p>
    <w:p>
      <w:pPr>
        <w:spacing w:after="160" w:line="360"/>
        <w:jc w:val="both"/>
      </w:pPr>
      <w:r>
        <w:rPr>
          <w:rFonts w:ascii="Times New Roman" w:cs="Times New Roman" w:eastAsia="Times New Roman" w:hAnsi="Times New Roman"/>
          <w:sz w:val="24"/>
          <w:szCs w:val="24"/>
        </w:rPr>
        <w:t xml:space="preserve">We kept the LangGraph state to serializable data only. Service instances stay outside the state and are injected into nodes, so checkpoints can hold investigation progress without trying to serialize live HTTP clients, callbacks or repositories. Live runs use a SQLite checkpointer, and tests can use in-memory state.</w:t>
      </w:r>
    </w:p>
    <w:p>
      <w:pPr>
        <w:spacing w:after="160" w:line="360"/>
        <w:jc w:val="both"/>
      </w:pPr>
      <w:r>
        <w:rPr>
          <w:rFonts w:ascii="Times New Roman" w:cs="Times New Roman" w:eastAsia="Times New Roman" w:hAnsi="Times New Roman"/>
          <w:sz w:val="24"/>
          <w:szCs w:val="24"/>
        </w:rPr>
        <w:t xml:space="preserve">All source adapters are read-only. This lets us investigate across operational systems while limiting what the runtime is allowed to do. Each adapter states what it can query and returns a typed result with source status, records and warnings. An unavailable source is shown as a gap and is never turned into invented negative evidence.</w:t>
      </w:r>
    </w:p>
    <w:p>
      <w:pPr>
        <w:pBdr>
          <w:top w:val="dashed" w:color="999999" w:sz="4" w:space="8"/>
          <w:bottom w:val="dashed" w:color="999999" w:sz="4" w:space="8"/>
          <w:left w:val="dashed" w:color="999999" w:sz="4" w:space="8"/>
          <w:right w:val="dashed" w:color="999999" w:sz="4" w:space="8"/>
        </w:pBdr>
        <w:spacing w:after="60" w:before="120"/>
        <w:jc w:val="center"/>
      </w:pPr>
      <w:r>
        <w:rPr>
          <w:rFonts w:ascii="Times New Roman" w:cs="Times New Roman" w:eastAsia="Times New Roman" w:hAnsi="Times New Roman"/>
          <w:i/>
          <w:iCs/>
          <w:color w:val="777777"/>
          <w:sz w:val="22"/>
          <w:szCs w:val="22"/>
        </w:rPr>
        <w:t xml:space="preserve">[Insert figure here]</w:t>
      </w:r>
    </w:p>
    <w:p>
      <w:pPr>
        <w:spacing w:after="240"/>
        <w:jc w:val="center"/>
      </w:pPr>
      <w:r>
        <w:rPr>
          <w:rFonts w:ascii="Times New Roman" w:cs="Times New Roman" w:eastAsia="Times New Roman" w:hAnsi="Times New Roman"/>
          <w:i/>
          <w:iCs/>
          <w:sz w:val="22"/>
          <w:szCs w:val="22"/>
        </w:rPr>
        <w:t xml:space="preserve">Figure 3.1 RecoverIT investigation workflow</w:t>
      </w:r>
    </w:p>
    <w:p>
      <w:pPr>
        <w:pStyle w:val="Heading2"/>
        <w:keepNext/>
        <w:spacing w:after="120" w:before="240"/>
      </w:pPr>
      <w:r>
        <w:rPr>
          <w:rFonts w:ascii="Times New Roman" w:cs="Times New Roman" w:eastAsia="Times New Roman" w:hAnsi="Times New Roman"/>
          <w:b/>
          <w:bCs/>
          <w:sz w:val="26"/>
          <w:szCs w:val="26"/>
        </w:rPr>
        <w:t xml:space="preserve">3.3 Incident Intake and Contracts</w:t>
      </w:r>
    </w:p>
    <w:p>
      <w:pPr>
        <w:spacing w:after="160" w:line="360"/>
        <w:jc w:val="both"/>
      </w:pPr>
      <w:r>
        <w:rPr>
          <w:rFonts w:ascii="Times New Roman" w:cs="Times New Roman" w:eastAsia="Times New Roman" w:hAnsi="Times New Roman"/>
          <w:sz w:val="24"/>
          <w:szCs w:val="24"/>
        </w:rPr>
        <w:t xml:space="preserve">A canonical IncidentSeed carries the incident identifier, affected service, environment, severity, detection and receipt times, and a summary. Pydantic contracts validate data at every module boundary, and schema versioning with canonical JSON reduces ambiguity between collection, evidence, timeline and reasoning.</w:t>
      </w:r>
    </w:p>
    <w:p>
      <w:pPr>
        <w:spacing w:after="160" w:line="360"/>
        <w:jc w:val="both"/>
      </w:pPr>
      <w:r>
        <w:rPr>
          <w:rFonts w:ascii="Times New Roman" w:cs="Times New Roman" w:eastAsia="Times New Roman" w:hAnsi="Times New Roman"/>
          <w:sz w:val="24"/>
          <w:szCs w:val="24"/>
        </w:rPr>
        <w:t xml:space="preserve">The source capability catalogue describes what each adapter can supply. A query plan requests chosen fields and time windows. The collection service dispatches supported queries with bounded concurrency and timeouts, and reports successes and failures separately. A failed adapter is therefore discussed as missing coverage and is not mistaken for a clean result.</w:t>
      </w:r>
    </w:p>
    <w:p>
      <w:pPr>
        <w:spacing w:after="160" w:line="360"/>
        <w:jc w:val="both"/>
      </w:pPr>
      <w:r>
        <w:rPr>
          <w:rFonts w:ascii="Times New Roman" w:cs="Times New Roman" w:eastAsia="Times New Roman" w:hAnsi="Times New Roman"/>
          <w:sz w:val="24"/>
          <w:szCs w:val="24"/>
        </w:rPr>
        <w:t xml:space="preserve">The contract boundary matters most because the system is AI-assisted. We shape the model's free-form output to fit the required schema, and identifiers, time fields, evidence references and status values are validated early. Invalid data becomes an explicit failure or a blocked recommendation instead of quietly entering the final report.</w:t>
      </w:r>
    </w:p>
    <w:p>
      <w:pPr>
        <w:pStyle w:val="Heading2"/>
        <w:keepNext/>
        <w:spacing w:after="120" w:before="240"/>
      </w:pPr>
      <w:r>
        <w:rPr>
          <w:rFonts w:ascii="Times New Roman" w:cs="Times New Roman" w:eastAsia="Times New Roman" w:hAnsi="Times New Roman"/>
          <w:b/>
          <w:bCs/>
          <w:sz w:val="26"/>
          <w:szCs w:val="26"/>
        </w:rPr>
        <w:t xml:space="preserve">3.4 Source Collection</w:t>
      </w:r>
    </w:p>
    <w:p>
      <w:pPr>
        <w:spacing w:after="160" w:line="360"/>
        <w:jc w:val="both"/>
      </w:pPr>
      <w:r>
        <w:rPr>
          <w:rFonts w:ascii="Times New Roman" w:cs="Times New Roman" w:eastAsia="Times New Roman" w:hAnsi="Times New Roman"/>
          <w:sz w:val="24"/>
          <w:szCs w:val="24"/>
        </w:rPr>
        <w:t xml:space="preserve">Configured adapters give read-only access to separate source categories: logs, metrics, Git changes, deployments, pipeline records and health signals, where configured. The live runtime builds only the adapters named in its trusted settings, and capabilities let the query planner adapt to a deployment instead of assuming every source exists.</w:t>
      </w:r>
    </w:p>
    <w:p>
      <w:pPr>
        <w:spacing w:after="160" w:line="360"/>
        <w:jc w:val="both"/>
      </w:pPr>
      <w:r>
        <w:rPr>
          <w:rFonts w:ascii="Times New Roman" w:cs="Times New Roman" w:eastAsia="Times New Roman" w:hAnsi="Times New Roman"/>
          <w:sz w:val="24"/>
          <w:szCs w:val="24"/>
        </w:rPr>
        <w:t xml:space="preserve">Collection and interpretation are kept apart. Adapters return original record IDs and timestamps and do not decide a root cause. The collection service aggregates results, keeps any partial failure and stops one timed-out source from crashing the analysis, so later stages can reason about how much evidence they actually have.</w:t>
      </w:r>
    </w:p>
    <w:p>
      <w:pPr>
        <w:spacing w:after="160" w:line="360"/>
        <w:jc w:val="both"/>
      </w:pPr>
      <w:r>
        <w:rPr>
          <w:rFonts w:ascii="Times New Roman" w:cs="Times New Roman" w:eastAsia="Times New Roman" w:hAnsi="Times New Roman"/>
          <w:sz w:val="24"/>
          <w:szCs w:val="24"/>
        </w:rPr>
        <w:t xml:space="preserve">Source endpoints and credentials exist only in server-side configuration. We treat operational content as untrusted data, never as instructions to the graph. Records are validated and redacted before the context reaches the model, because logs and configuration payloads may contain secrets or adversarial text.</w:t>
      </w:r>
    </w:p>
    <w:p>
      <w:pPr>
        <w:pStyle w:val="Heading2"/>
        <w:keepNext/>
        <w:spacing w:after="120" w:before="240"/>
      </w:pPr>
      <w:r>
        <w:rPr>
          <w:rFonts w:ascii="Times New Roman" w:cs="Times New Roman" w:eastAsia="Times New Roman" w:hAnsi="Times New Roman"/>
          <w:b/>
          <w:bCs/>
          <w:sz w:val="26"/>
          <w:szCs w:val="26"/>
        </w:rPr>
        <w:t xml:space="preserve">3.5 Evidence Processing and Provenance</w:t>
      </w:r>
    </w:p>
    <w:p>
      <w:pPr>
        <w:spacing w:after="160" w:line="360"/>
        <w:jc w:val="both"/>
      </w:pPr>
      <w:r>
        <w:rPr>
          <w:rFonts w:ascii="Times New Roman" w:cs="Times New Roman" w:eastAsia="Times New Roman" w:hAnsi="Times New Roman"/>
          <w:sz w:val="24"/>
          <w:szCs w:val="24"/>
        </w:rPr>
        <w:t xml:space="preserve">The evidence layer normalizes timestamps to UTC while keeping both the source event time and the observation time. It assigns stable identities to records, classifies their type and derives a quality assessment. Original source IDs stay available for traceability, so we can compare heterogeneous systems without losing where the data came from.</w:t>
      </w:r>
    </w:p>
    <w:p>
      <w:pPr>
        <w:spacing w:after="160" w:line="360"/>
        <w:jc w:val="both"/>
      </w:pPr>
      <w:r>
        <w:rPr>
          <w:rFonts w:ascii="Times New Roman" w:cs="Times New Roman" w:eastAsia="Times New Roman" w:hAnsi="Times New Roman"/>
          <w:sz w:val="24"/>
          <w:szCs w:val="24"/>
        </w:rPr>
        <w:t xml:space="preserve">Deduplication removes repeated observations of the same underlying event, so a repeated log line does not become several independent votes for one hypothesis. The evidence repository stores normalized items and supports deterministic filtering, ordering and pagination, which makes repeated investigations more reproducible.</w:t>
      </w:r>
    </w:p>
    <w:p>
      <w:pPr>
        <w:spacing w:after="160" w:line="360"/>
        <w:jc w:val="both"/>
      </w:pPr>
      <w:r>
        <w:rPr>
          <w:rFonts w:ascii="Times New Roman" w:cs="Times New Roman" w:eastAsia="Times New Roman" w:hAnsi="Times New Roman"/>
          <w:sz w:val="24"/>
          <w:szCs w:val="24"/>
        </w:rPr>
        <w:t xml:space="preserve">We redact before summaries become available to reasoning, so raw secrets and tokens are not copied into a prompt or a final recommendation. The incident context contains evidence summaries and source coverage, which lets the hypothesis stage explain what is supported and what is still missing.</w:t>
      </w:r>
    </w:p>
    <w:p>
      <w:pPr>
        <w:pStyle w:val="Heading2"/>
        <w:keepNext/>
        <w:spacing w:after="120" w:before="240"/>
      </w:pPr>
      <w:r>
        <w:rPr>
          <w:rFonts w:ascii="Times New Roman" w:cs="Times New Roman" w:eastAsia="Times New Roman" w:hAnsi="Times New Roman"/>
          <w:b/>
          <w:bCs/>
          <w:sz w:val="26"/>
          <w:szCs w:val="26"/>
        </w:rPr>
        <w:t xml:space="preserve">3.6 Timeline and Context Construction</w:t>
      </w:r>
    </w:p>
    <w:p>
      <w:pPr>
        <w:spacing w:after="160" w:line="360"/>
        <w:jc w:val="both"/>
      </w:pPr>
      <w:r>
        <w:rPr>
          <w:rFonts w:ascii="Times New Roman" w:cs="Times New Roman" w:eastAsia="Times New Roman" w:hAnsi="Times New Roman"/>
          <w:sz w:val="24"/>
          <w:szCs w:val="24"/>
        </w:rPr>
        <w:t xml:space="preserve">To build the timeline we map normalized evidence to typed events and sort them by event time with deterministic tie-breaking. Temporal relationships express order and association without asserting causality. This distinction matters: a deployment that precedes an error is useful evidence, but order alone does not prove cause.</w:t>
      </w:r>
    </w:p>
    <w:p>
      <w:pPr>
        <w:spacing w:after="160" w:line="360"/>
        <w:jc w:val="both"/>
      </w:pPr>
      <w:r>
        <w:rPr>
          <w:rFonts w:ascii="Times New Roman" w:cs="Times New Roman" w:eastAsia="Times New Roman" w:hAnsi="Times New Roman"/>
          <w:sz w:val="24"/>
          <w:szCs w:val="24"/>
        </w:rPr>
        <w:t xml:space="preserve">Context construction combines the incident seed, source coverage, evidence summaries, timeline events and relationships into one snapshot. This is the only information the reasoning services consume, and once it is published they cannot reach back into raw adapters at will.</w:t>
      </w:r>
    </w:p>
    <w:p>
      <w:pPr>
        <w:spacing w:after="160" w:line="360"/>
        <w:jc w:val="both"/>
      </w:pPr>
      <w:r>
        <w:rPr>
          <w:rFonts w:ascii="Times New Roman" w:cs="Times New Roman" w:eastAsia="Times New Roman" w:hAnsi="Times New Roman"/>
          <w:sz w:val="24"/>
          <w:szCs w:val="24"/>
        </w:rPr>
        <w:t xml:space="preserve">The context has to be selective without being too thin. Too little leads to a guess, and too much buries the causal evidence. The graph therefore begins by assessing missing information and planning focused queries, and after each collection round it updates the context and decides whether another round would be informative.</w:t>
      </w:r>
    </w:p>
    <w:p>
      <w:pPr>
        <w:pStyle w:val="Heading2"/>
        <w:keepNext/>
        <w:spacing w:after="120" w:before="240"/>
      </w:pPr>
      <w:r>
        <w:rPr>
          <w:rFonts w:ascii="Times New Roman" w:cs="Times New Roman" w:eastAsia="Times New Roman" w:hAnsi="Times New Roman"/>
          <w:b/>
          <w:bCs/>
          <w:sz w:val="26"/>
          <w:szCs w:val="26"/>
        </w:rPr>
        <w:t xml:space="preserve">3.7 Investigation Graph and State</w:t>
      </w:r>
    </w:p>
    <w:p>
      <w:pPr>
        <w:spacing w:after="160" w:line="360"/>
        <w:jc w:val="both"/>
      </w:pPr>
      <w:r>
        <w:rPr>
          <w:rFonts w:ascii="Times New Roman" w:cs="Times New Roman" w:eastAsia="Times New Roman" w:hAnsi="Times New Roman"/>
          <w:sz w:val="24"/>
          <w:szCs w:val="24"/>
        </w:rPr>
        <w:t xml:space="preserve">The compiled graph contains nodes for initialization, gap assessment, query planning, evidence collection, context building, hypothesis generation, stopping evaluation, ranking and inconclusive completion. When a remediation planning service is available, both completed and inconclusive paths reach a final plan node. An inconclusive path produces escalation and verification guidance without recommending a production change.</w:t>
      </w:r>
    </w:p>
    <w:p>
      <w:pPr>
        <w:spacing w:after="160" w:line="360"/>
        <w:jc w:val="both"/>
      </w:pPr>
      <w:r>
        <w:rPr>
          <w:rFonts w:ascii="Times New Roman" w:cs="Times New Roman" w:eastAsia="Times New Roman" w:hAnsi="Times New Roman"/>
          <w:sz w:val="24"/>
          <w:szCs w:val="24"/>
        </w:rPr>
        <w:t xml:space="preserve">Conditional edges route the flow after query planning and after stopping evaluation. The graph can revisit collection while budget remains, or finish with the best-supported output. Checkpoints are keyed by incident ID, and the runner supports both a new run and resumption from saved state.</w:t>
      </w:r>
    </w:p>
    <w:p>
      <w:pPr>
        <w:spacing w:after="160" w:line="360"/>
        <w:jc w:val="both"/>
      </w:pPr>
      <w:r>
        <w:rPr>
          <w:rFonts w:ascii="Times New Roman" w:cs="Times New Roman" w:eastAsia="Times New Roman" w:hAnsi="Times New Roman"/>
          <w:sz w:val="24"/>
          <w:szCs w:val="24"/>
        </w:rPr>
        <w:t xml:space="preserve">Progress events are sent through a task-local callback binding rather than stored in graph state, so concurrent investigations do not send one incident's events to another client. The runner converts graph output into a stable result holding status, hypotheses, timeline, evidence, budget usage and remediation guidance.</w:t>
      </w:r>
    </w:p>
    <w:p>
      <w:pPr>
        <w:pStyle w:val="Heading2"/>
        <w:keepNext/>
        <w:spacing w:after="120" w:before="240"/>
      </w:pPr>
      <w:r>
        <w:rPr>
          <w:rFonts w:ascii="Times New Roman" w:cs="Times New Roman" w:eastAsia="Times New Roman" w:hAnsi="Times New Roman"/>
          <w:b/>
          <w:bCs/>
          <w:sz w:val="26"/>
          <w:szCs w:val="26"/>
        </w:rPr>
        <w:t xml:space="preserve">3.8 Hypothesis Ranking and Stopping</w:t>
      </w:r>
    </w:p>
    <w:p>
      <w:pPr>
        <w:spacing w:after="160" w:line="360"/>
        <w:jc w:val="both"/>
      </w:pPr>
      <w:r>
        <w:rPr>
          <w:rFonts w:ascii="Times New Roman" w:cs="Times New Roman" w:eastAsia="Times New Roman" w:hAnsi="Times New Roman"/>
          <w:sz w:val="24"/>
          <w:szCs w:val="24"/>
        </w:rPr>
        <w:t xml:space="preserve">A candidate hypothesis names a suspected cause, an affected component, supporting and contradicting evidence, and unresolved questions. The ranking engine computes a reproducible score from positive factors and penalties. Source independence prevents duplicates from counting as corroboration, symptom coverage checks whether the cause explains the reported failure, temporal consistency checks event order, and change consistency considers direct delivery evidence.</w:t>
      </w:r>
    </w:p>
    <w:p>
      <w:pPr>
        <w:spacing w:after="160" w:line="360"/>
        <w:jc w:val="both"/>
      </w:pPr>
      <w:r>
        <w:rPr>
          <w:rFonts w:ascii="Times New Roman" w:cs="Times New Roman" w:eastAsia="Times New Roman" w:hAnsi="Times New Roman"/>
          <w:sz w:val="24"/>
          <w:szCs w:val="24"/>
        </w:rPr>
        <w:t xml:space="preserve">Contradictions and missing causal evidence lower confidence. Because strong symptom correlation does not guarantee a cause, our report separates symptom confidence from causal confidence. Ranking is only useful if the evidence references stay inspectable, so the final output records the score breakdown.</w:t>
      </w:r>
    </w:p>
    <w:p>
      <w:pPr>
        <w:spacing w:after="160" w:line="360"/>
        <w:jc w:val="both"/>
      </w:pPr>
      <w:r>
        <w:rPr>
          <w:rFonts w:ascii="Times New Roman" w:cs="Times New Roman" w:eastAsia="Times New Roman" w:hAnsi="Times New Roman"/>
          <w:sz w:val="24"/>
          <w:szCs w:val="24"/>
        </w:rPr>
        <w:t xml:space="preserve">Stopping rules weigh budget limits, information sufficiency and the quality of available hypotheses. Abstention is a valid result. It stops the presentation layer from presenting a weak top-ranked hypothesis as a definitive root cause just because a list needs a first item.</w:t>
      </w:r>
    </w:p>
    <w:p>
      <w:pPr>
        <w:pStyle w:val="Heading2"/>
        <w:keepNext/>
        <w:spacing w:after="120" w:before="240"/>
      </w:pPr>
      <w:r>
        <w:rPr>
          <w:rFonts w:ascii="Times New Roman" w:cs="Times New Roman" w:eastAsia="Times New Roman" w:hAnsi="Times New Roman"/>
          <w:b/>
          <w:bCs/>
          <w:sz w:val="26"/>
          <w:szCs w:val="26"/>
        </w:rPr>
        <w:t xml:space="preserve">3.9 Recommendation-Only Remediation</w:t>
      </w:r>
    </w:p>
    <w:p>
      <w:pPr>
        <w:spacing w:after="160" w:line="360"/>
        <w:jc w:val="both"/>
      </w:pPr>
      <w:r>
        <w:rPr>
          <w:rFonts w:ascii="Times New Roman" w:cs="Times New Roman" w:eastAsia="Times New Roman" w:hAnsi="Times New Roman"/>
          <w:sz w:val="24"/>
          <w:szCs w:val="24"/>
        </w:rPr>
        <w:t xml:space="preserve">The remediation service asks the configured reasoning provider for a typed candidate plan, which may contain prerequisites, descriptive actions, expected outcomes, verification tests, reversal instructions and a risk category. The service only advises, the output needs human approval, and no command is executed.</w:t>
      </w:r>
    </w:p>
    <w:p>
      <w:pPr>
        <w:spacing w:after="160" w:line="360"/>
        <w:jc w:val="both"/>
      </w:pPr>
      <w:r>
        <w:rPr>
          <w:rFonts w:ascii="Times New Roman" w:cs="Times New Roman" w:eastAsia="Times New Roman" w:hAnsi="Times New Roman"/>
          <w:sz w:val="24"/>
          <w:szCs w:val="24"/>
        </w:rPr>
        <w:t xml:space="preserve">A deterministic policy rejects plans that rely on unconfirmed or contradictory diagnoses or evidence IDs, that contain executable shell commands, or that expose sensitive credentials. If the provider times out, the result is a blocked fallback, and an inconclusive investigation produces a blocked plan with escalation advice.</w:t>
      </w:r>
    </w:p>
    <w:p>
      <w:pPr>
        <w:spacing w:after="160" w:line="360"/>
        <w:jc w:val="both"/>
      </w:pPr>
      <w:r>
        <w:rPr>
          <w:rFonts w:ascii="Times New Roman" w:cs="Times New Roman" w:eastAsia="Times New Roman" w:hAnsi="Times New Roman"/>
          <w:sz w:val="24"/>
          <w:szCs w:val="24"/>
        </w:rPr>
        <w:t xml:space="preserve">This is intentionally narrower than our original self-healing idea. We do not assume that approval, execution or post-execution checks already exist; those must be built and tested separately.</w:t>
      </w:r>
    </w:p>
    <w:p>
      <w:pPr>
        <w:pStyle w:val="Heading2"/>
        <w:keepNext/>
        <w:spacing w:after="120" w:before="240"/>
      </w:pPr>
      <w:r>
        <w:rPr>
          <w:rFonts w:ascii="Times New Roman" w:cs="Times New Roman" w:eastAsia="Times New Roman" w:hAnsi="Times New Roman"/>
          <w:b/>
          <w:bCs/>
          <w:sz w:val="26"/>
          <w:szCs w:val="26"/>
        </w:rPr>
        <w:t xml:space="preserve">3.10 Interfaces and Deployment</w:t>
      </w:r>
    </w:p>
    <w:p>
      <w:pPr>
        <w:spacing w:after="160" w:line="360"/>
        <w:jc w:val="both"/>
      </w:pPr>
      <w:r>
        <w:rPr>
          <w:rFonts w:ascii="Times New Roman" w:cs="Times New Roman" w:eastAsia="Times New Roman" w:hAnsi="Times New Roman"/>
          <w:sz w:val="24"/>
          <w:szCs w:val="24"/>
        </w:rPr>
        <w:t xml:space="preserve">The command-line interface takes a runtime configuration and a canonical incident file and writes an investigation report. A FastAPI service exposes the same runner to HTTP clients, and the web interface shows status, progress, evidence and ranked results. These are views over one application result, not separate diagnosis engines.</w:t>
      </w:r>
    </w:p>
    <w:p>
      <w:pPr>
        <w:spacing w:after="160" w:line="360"/>
        <w:jc w:val="both"/>
      </w:pPr>
      <w:r>
        <w:rPr>
          <w:rFonts w:ascii="Times New Roman" w:cs="Times New Roman" w:eastAsia="Times New Roman" w:hAnsi="Times New Roman"/>
          <w:sz w:val="24"/>
          <w:szCs w:val="24"/>
        </w:rPr>
        <w:t xml:space="preserve">Live settings name the provider and source adapters, and a missing or invalid configuration is rejected. Checkpoint storage can use an application data path, and runs are scoped to incident identifiers. This suits local demonstration and controlled integration, subject to the availability and permissions of external sources.</w:t>
      </w:r>
    </w:p>
    <w:p>
      <w:pPr>
        <w:spacing w:after="160" w:line="360"/>
        <w:jc w:val="both"/>
      </w:pPr>
      <w:r>
        <w:rPr>
          <w:rFonts w:ascii="Times New Roman" w:cs="Times New Roman" w:eastAsia="Times New Roman" w:hAnsi="Times New Roman"/>
          <w:sz w:val="24"/>
          <w:szCs w:val="24"/>
        </w:rPr>
        <w:t xml:space="preserve">Development needs Python 3.11 or later and typed dependencies including Pydantic, FastAPI, httpx, LangGraph and SQLite checkpoint support. Test dependencies are kept separate.</w:t>
      </w:r>
    </w:p>
    <w:p>
      <w:pPr>
        <w:pStyle w:val="Heading2"/>
        <w:keepNext/>
        <w:spacing w:after="120" w:before="240"/>
      </w:pPr>
      <w:r>
        <w:rPr>
          <w:rFonts w:ascii="Times New Roman" w:cs="Times New Roman" w:eastAsia="Times New Roman" w:hAnsi="Times New Roman"/>
          <w:b/>
          <w:bCs/>
          <w:sz w:val="26"/>
          <w:szCs w:val="26"/>
        </w:rPr>
        <w:t xml:space="preserve">3.11 Evaluation Design</w:t>
      </w:r>
    </w:p>
    <w:p>
      <w:pPr>
        <w:spacing w:after="160" w:line="360"/>
        <w:jc w:val="both"/>
      </w:pPr>
      <w:r>
        <w:rPr>
          <w:rFonts w:ascii="Times New Roman" w:cs="Times New Roman" w:eastAsia="Times New Roman" w:hAnsi="Times New Roman"/>
          <w:sz w:val="24"/>
          <w:szCs w:val="24"/>
        </w:rPr>
        <w:t xml:space="preserve">At present, the repository demonstrates functional correctness mainly through unit, contract and integration tests. A broader RCA evaluation would need labelled incidents with root-cause ground truth, source-availability labels and consistent benchmark conditions, and would measure root-cause correctness, citation correctness, abstention quality, investigation time and operating cost.</w:t>
      </w:r>
    </w:p>
    <w:p>
      <w:pPr>
        <w:spacing w:after="160" w:line="360"/>
        <w:jc w:val="both"/>
      </w:pPr>
      <w:r>
        <w:rPr>
          <w:rFonts w:ascii="Times New Roman" w:cs="Times New Roman" w:eastAsia="Times New Roman" w:hAnsi="Times New Roman"/>
          <w:sz w:val="24"/>
          <w:szCs w:val="24"/>
        </w:rPr>
        <w:t xml:space="preserve">A fair comparison would run a manual or rule-based baseline on the same incidents and source snapshots, and would test cases with missing sources, contradictory records and irrelevant log volume separately. Remediation recommendations should be graded for evidence grounding, safety, clarity and verification guidance before any execution path is considered.</w:t>
      </w:r>
    </w:p>
    <w:p>
      <w:pPr>
        <w:spacing w:after="160" w:line="360"/>
        <w:jc w:val="both"/>
      </w:pPr>
      <w:r>
        <w:rPr>
          <w:rFonts w:ascii="Times New Roman" w:cs="Times New Roman" w:eastAsia="Times New Roman" w:hAnsi="Times New Roman"/>
          <w:sz w:val="24"/>
          <w:szCs w:val="24"/>
        </w:rPr>
        <w:t xml:space="preserve">We claim no comparative metric for RecoverIT in this report. The test suite shows how the implemented contracts and flows behave, but it does not by itself establish production diagnostic accuracy or shorter resolution times.</w:t>
      </w:r>
    </w:p>
    <w:p>
      <w:pPr>
        <w:keepNext/>
        <w:spacing w:after="80" w:before="120"/>
        <w:jc w:val="center"/>
      </w:pPr>
      <w:r>
        <w:rPr>
          <w:rFonts w:ascii="Times New Roman" w:cs="Times New Roman" w:eastAsia="Times New Roman" w:hAnsi="Times New Roman"/>
          <w:i/>
          <w:iCs/>
          <w:sz w:val="22"/>
          <w:szCs w:val="22"/>
        </w:rPr>
        <w:t xml:space="preserve">Table 3.1 Module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Module</w:t>
            </w:r>
          </w:p>
        </w:tc>
        <w:tc>
          <w:tcPr>
            <w:tcW w:type="dxa" w:w="3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Input</w:t>
            </w:r>
          </w:p>
        </w:tc>
        <w:tc>
          <w:tcPr>
            <w:tcW w:type="dxa" w:w="34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Output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Collection</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Incident, source capabilities, query plan</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Raw evidence batch</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Evidence processing</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Raw records</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Normalized evidence and repository entries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Context</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Evidence and incident</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Timeline and context snapshot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Reasoning</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Context and budget</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Candidate hypotheses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Ranking</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Candidates and evidence</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Ranked hypotheses or inconclusive status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Remediation</w:t>
            </w:r>
          </w:p>
        </w:tc>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Ranked output and context</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Advisory plan or blocked guidance</w:t>
            </w:r>
          </w:p>
        </w:tc>
      </w:tr>
    </w:tbl>
    <w:p>
      <w:pPr>
        <w:spacing w:after="200"/>
      </w:pPr>
    </w:p>
    <w:p>
      <w:pPr>
        <w:keepNext/>
        <w:spacing w:after="80" w:before="120"/>
        <w:jc w:val="center"/>
      </w:pPr>
      <w:r>
        <w:rPr>
          <w:rFonts w:ascii="Times New Roman" w:cs="Times New Roman" w:eastAsia="Times New Roman" w:hAnsi="Times New Roman"/>
          <w:i/>
          <w:iCs/>
          <w:sz w:val="22"/>
          <w:szCs w:val="22"/>
        </w:rPr>
        <w:t xml:space="preserve">Table 3.2 Safety boundaries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Boundary</w:t>
            </w:r>
          </w:p>
        </w:tc>
        <w:tc>
          <w:tcPr>
            <w:tcW w:type="dxa" w:w="5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Control</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External operational sources</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Read-only registered adapters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Untrusted record content</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Validation, normalization and redaction</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LLM output</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Typed contracts and deterministic ranking/policy</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Production changes</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 write-capable executor in current runtime</w:t>
            </w:r>
          </w:p>
        </w:tc>
      </w:tr>
    </w:tbl>
    <w:p>
      <w:pPr>
        <w:spacing w:after="200"/>
      </w:pPr>
    </w:p>
    <w:p>
      <w:pPr>
        <w:pStyle w:val="Heading1"/>
        <w:pageBreakBefore/>
        <w:spacing w:after="300"/>
        <w:jc w:val="center"/>
      </w:pPr>
      <w:r>
        <w:rPr>
          <w:rFonts w:ascii="Times New Roman" w:cs="Times New Roman" w:eastAsia="Times New Roman" w:hAnsi="Times New Roman"/>
          <w:b/>
          <w:bCs/>
          <w:sz w:val="30"/>
          <w:szCs w:val="30"/>
        </w:rPr>
        <w:t xml:space="preserve">CHAPTER 4 – IMPLEMENTATION AND RESULTS</w:t>
      </w:r>
    </w:p>
    <w:p>
      <w:pPr>
        <w:pStyle w:val="Heading2"/>
        <w:keepNext/>
        <w:spacing w:after="120" w:before="240"/>
      </w:pPr>
      <w:r>
        <w:rPr>
          <w:rFonts w:ascii="Times New Roman" w:cs="Times New Roman" w:eastAsia="Times New Roman" w:hAnsi="Times New Roman"/>
          <w:b/>
          <w:bCs/>
          <w:sz w:val="26"/>
          <w:szCs w:val="26"/>
        </w:rPr>
        <w:t xml:space="preserve">4.1 Repository Implementation</w:t>
      </w:r>
    </w:p>
    <w:p>
      <w:pPr>
        <w:spacing w:after="160" w:line="360"/>
        <w:jc w:val="both"/>
      </w:pPr>
      <w:r>
        <w:rPr>
          <w:rFonts w:ascii="Times New Roman" w:cs="Times New Roman" w:eastAsia="Times New Roman" w:hAnsi="Times New Roman"/>
          <w:sz w:val="24"/>
          <w:szCs w:val="24"/>
        </w:rPr>
        <w:t xml:space="preserve">Our repository is organized around contracts, collection, evidence, timeline, the investigation graph, reasoning, remediation and the RecoverIT application. The package metadata declares Python 3.11 or later and lists Pydantic, httpx, FastAPI, Uvicorn, LangGraph and SQLite checkpoint support. The README covers installation and CLI use. The source modules implement the live path, and the docs directory records design decisions, interfaces and handoffs. Some older architecture material describes a larger proposed system, so this chapter states what exists in the current code.</w:t>
      </w:r>
    </w:p>
    <w:p>
      <w:pPr>
        <w:pStyle w:val="Heading2"/>
        <w:keepNext/>
        <w:spacing w:after="120" w:before="240"/>
      </w:pPr>
      <w:r>
        <w:rPr>
          <w:rFonts w:ascii="Times New Roman" w:cs="Times New Roman" w:eastAsia="Times New Roman" w:hAnsi="Times New Roman"/>
          <w:b/>
          <w:bCs/>
          <w:sz w:val="26"/>
          <w:szCs w:val="26"/>
        </w:rPr>
        <w:t xml:space="preserve">4.2 Runtime Composition and Graph</w:t>
      </w:r>
    </w:p>
    <w:p>
      <w:pPr>
        <w:spacing w:after="160" w:line="360"/>
        <w:jc w:val="both"/>
      </w:pPr>
      <w:r>
        <w:rPr>
          <w:rFonts w:ascii="Times New Roman" w:cs="Times New Roman" w:eastAsia="Times New Roman" w:hAnsi="Times New Roman"/>
          <w:sz w:val="24"/>
          <w:szCs w:val="24"/>
        </w:rPr>
        <w:t xml:space="preserve">The recoverit.composition module validates a JSON runtime file and builds a graph with the selected source adapters and a real reasoning provider. It refuses to assemble test or benchmark modes automatically. Live runs use an SQLite checkpoint saver unless another backend is injected, while tests may use an in-memory saver. The investigation.graph.builder module assembles ten named nodes and sends completed or inconclusive investigations to recommendation planning when that service is configured.</w:t>
      </w:r>
    </w:p>
    <w:p>
      <w:pPr>
        <w:spacing w:after="160" w:line="360"/>
        <w:jc w:val="both"/>
      </w:pPr>
      <w:r>
        <w:rPr>
          <w:rFonts w:ascii="Times New Roman" w:cs="Times New Roman" w:eastAsia="Times New Roman" w:hAnsi="Times New Roman"/>
          <w:sz w:val="24"/>
          <w:szCs w:val="24"/>
        </w:rPr>
        <w:t xml:space="preserve">The recoverit.runner module runs the graph with a canonical incident and an investigation budget. It exposes status, stop reason, ranked hypotheses, timeline events, evidence, provider identity, budget usage and the optional remediation plan. Its Markdown report shows a factor-level score breakdown and labels remediation as a human-reviewed suggestion. A resume method loads checkpointed state for an incident ID.</w:t>
      </w:r>
    </w:p>
    <w:p>
      <w:pPr>
        <w:pStyle w:val="Heading2"/>
        <w:keepNext/>
        <w:spacing w:after="120" w:before="240"/>
      </w:pPr>
      <w:r>
        <w:rPr>
          <w:rFonts w:ascii="Times New Roman" w:cs="Times New Roman" w:eastAsia="Times New Roman" w:hAnsi="Times New Roman"/>
          <w:b/>
          <w:bCs/>
          <w:sz w:val="26"/>
          <w:szCs w:val="26"/>
        </w:rPr>
        <w:t xml:space="preserve">4.3 Collection and Evidence</w:t>
      </w:r>
    </w:p>
    <w:p>
      <w:pPr>
        <w:spacing w:after="160" w:line="360"/>
        <w:jc w:val="both"/>
      </w:pPr>
      <w:r>
        <w:rPr>
          <w:rFonts w:ascii="Times New Roman" w:cs="Times New Roman" w:eastAsia="Times New Roman" w:hAnsi="Times New Roman"/>
          <w:sz w:val="24"/>
          <w:szCs w:val="24"/>
        </w:rPr>
        <w:t xml:space="preserve">The collectors package implements the source-specific read-only adapters and the collection service. The evidence package validates inputs, normalizes timestamps and record identity, redacts sensitive content, deduplicates observations and stores results through repository contracts. Timeline services map evidence to events and relationships, and context publication gives the reasoning stage a summarized, typed snapshot.</w:t>
      </w:r>
    </w:p>
    <w:p>
      <w:pPr>
        <w:spacing w:after="160" w:line="360"/>
        <w:jc w:val="both"/>
      </w:pPr>
      <w:r>
        <w:rPr>
          <w:rFonts w:ascii="Times New Roman" w:cs="Times New Roman" w:eastAsia="Times New Roman" w:hAnsi="Times New Roman"/>
          <w:sz w:val="24"/>
          <w:szCs w:val="24"/>
        </w:rPr>
        <w:t xml:space="preserve">The split between raw collection and normalized context shows up in both the package boundaries and the tests. It stops adapter-specific payloads from turning directly into conclusions. Failure information stays available as source status and warnings, so an unavailable source adds to uncertainty and does not become a false negative.</w:t>
      </w:r>
    </w:p>
    <w:p>
      <w:pPr>
        <w:pStyle w:val="Heading2"/>
        <w:keepNext/>
        <w:spacing w:after="120" w:before="240"/>
      </w:pPr>
      <w:r>
        <w:rPr>
          <w:rFonts w:ascii="Times New Roman" w:cs="Times New Roman" w:eastAsia="Times New Roman" w:hAnsi="Times New Roman"/>
          <w:b/>
          <w:bCs/>
          <w:sz w:val="26"/>
          <w:szCs w:val="26"/>
        </w:rPr>
        <w:t xml:space="preserve">4.4 Reasoning and Ranking</w:t>
      </w:r>
    </w:p>
    <w:p>
      <w:pPr>
        <w:spacing w:after="160" w:line="360"/>
        <w:jc w:val="both"/>
      </w:pPr>
      <w:r>
        <w:rPr>
          <w:rFonts w:ascii="Times New Roman" w:cs="Times New Roman" w:eastAsia="Times New Roman" w:hAnsi="Times New Roman"/>
          <w:sz w:val="24"/>
          <w:szCs w:val="24"/>
        </w:rPr>
        <w:t xml:space="preserve">The reasoning package holds the provider interface, the live client, the hypothesis services, the ranking engine and the stopping logic. Fake and recorded providers exist only for tests, so graph behaviour is reproducible, and live composition never selects them implicitly. Ranking features quantify independent source support, symptom coverage, temporal consistency, direct change evidence, specificity and prediction support, and then apply penalties for contradictions and missing evidence.</w:t>
      </w:r>
    </w:p>
    <w:p>
      <w:pPr>
        <w:spacing w:after="160" w:line="360"/>
        <w:jc w:val="both"/>
      </w:pPr>
      <w:r>
        <w:rPr>
          <w:rFonts w:ascii="Times New Roman" w:cs="Times New Roman" w:eastAsia="Times New Roman" w:hAnsi="Times New Roman"/>
          <w:sz w:val="24"/>
          <w:szCs w:val="24"/>
        </w:rPr>
        <w:t xml:space="preserve">The final report keeps both the score and its factor breakdown, so a reviewer can see why one cause ranked above another. The process still rests on the strength of the evidence and on model-generated candidates, so a high score is not the probability of being correct.</w:t>
      </w:r>
    </w:p>
    <w:p>
      <w:pPr>
        <w:pStyle w:val="Heading2"/>
        <w:keepNext/>
        <w:spacing w:after="120" w:before="240"/>
      </w:pPr>
      <w:r>
        <w:rPr>
          <w:rFonts w:ascii="Times New Roman" w:cs="Times New Roman" w:eastAsia="Times New Roman" w:hAnsi="Times New Roman"/>
          <w:b/>
          <w:bCs/>
          <w:sz w:val="26"/>
          <w:szCs w:val="26"/>
        </w:rPr>
        <w:t xml:space="preserve">4.5 Remediation Policy</w:t>
      </w:r>
    </w:p>
    <w:p>
      <w:pPr>
        <w:spacing w:after="160" w:line="360"/>
        <w:jc w:val="both"/>
      </w:pPr>
      <w:r>
        <w:rPr>
          <w:rFonts w:ascii="Times New Roman" w:cs="Times New Roman" w:eastAsia="Times New Roman" w:hAnsi="Times New Roman"/>
          <w:sz w:val="24"/>
          <w:szCs w:val="24"/>
        </w:rPr>
        <w:t xml:space="preserve">The remediation module produces recommendation-only plans. It asks the reasoning provider for a candidate plan and validates it against the deterministic policy. The validator blocks plans on low confidence, contradictions, unknown evidence IDs, executable command syntax or sensitive content. Provider failure and inconclusive investigations yield blocked plans with escalation guidance.</w:t>
      </w:r>
    </w:p>
    <w:p>
      <w:pPr>
        <w:spacing w:after="160" w:line="360"/>
        <w:jc w:val="both"/>
      </w:pPr>
      <w:r>
        <w:rPr>
          <w:rFonts w:ascii="Times New Roman" w:cs="Times New Roman" w:eastAsia="Times New Roman" w:hAnsi="Times New Roman"/>
          <w:sz w:val="24"/>
          <w:szCs w:val="24"/>
        </w:rPr>
        <w:t xml:space="preserve">A plan describes steps for a human operator and may include verification and reversal guidance. It does not open approval tickets, call infrastructure tools, run commands or measure post-action recovery. This distinction is central to our conclusions.</w:t>
      </w:r>
    </w:p>
    <w:p>
      <w:pPr>
        <w:pStyle w:val="Heading2"/>
        <w:keepNext/>
        <w:spacing w:after="120" w:before="240"/>
      </w:pPr>
      <w:r>
        <w:rPr>
          <w:rFonts w:ascii="Times New Roman" w:cs="Times New Roman" w:eastAsia="Times New Roman" w:hAnsi="Times New Roman"/>
          <w:b/>
          <w:bCs/>
          <w:sz w:val="26"/>
          <w:szCs w:val="26"/>
        </w:rPr>
        <w:t xml:space="preserve">4.6 Interfaces</w:t>
      </w:r>
    </w:p>
    <w:p>
      <w:pPr>
        <w:spacing w:after="160" w:line="360"/>
        <w:jc w:val="both"/>
      </w:pPr>
      <w:r>
        <w:rPr>
          <w:rFonts w:ascii="Times New Roman" w:cs="Times New Roman" w:eastAsia="Times New Roman" w:hAnsi="Times New Roman"/>
          <w:sz w:val="24"/>
          <w:szCs w:val="24"/>
        </w:rPr>
        <w:t xml:space="preserve">The CLI runs a configured investigation from an incident JSON file and can write a Markdown report. The HTTP service and web client show the same application result and progress updates. We treat the interfaces as views of the investigation; the evidence record and the typed graph output remain the authoritative technical artefacts.</w:t>
      </w:r>
    </w:p>
    <w:p>
      <w:pPr>
        <w:spacing w:after="160" w:line="360"/>
        <w:jc w:val="both"/>
      </w:pPr>
      <w:r>
        <w:rPr>
          <w:rFonts w:ascii="Times New Roman" w:cs="Times New Roman" w:eastAsia="Times New Roman" w:hAnsi="Times New Roman"/>
          <w:sz w:val="24"/>
          <w:szCs w:val="24"/>
        </w:rPr>
        <w:t xml:space="preserve">The runner's report contains ranked hypotheses, evidence scores and factor breakdowns, unresolved criteria where present, and advisory remediation information. A reviewer can compare it with the source evidence and judge whether the recommendation is justified.</w:t>
      </w:r>
    </w:p>
    <w:p>
      <w:pPr>
        <w:pStyle w:val="Heading2"/>
        <w:keepNext/>
        <w:spacing w:after="120" w:before="240"/>
      </w:pPr>
      <w:r>
        <w:rPr>
          <w:rFonts w:ascii="Times New Roman" w:cs="Times New Roman" w:eastAsia="Times New Roman" w:hAnsi="Times New Roman"/>
          <w:b/>
          <w:bCs/>
          <w:sz w:val="26"/>
          <w:szCs w:val="26"/>
        </w:rPr>
        <w:t xml:space="preserve">4.7 Testing and Validation</w:t>
      </w:r>
    </w:p>
    <w:p>
      <w:pPr>
        <w:spacing w:after="160" w:line="360"/>
        <w:jc w:val="both"/>
      </w:pPr>
      <w:r>
        <w:rPr>
          <w:rFonts w:ascii="Times New Roman" w:cs="Times New Roman" w:eastAsia="Times New Roman" w:hAnsi="Times New Roman"/>
          <w:sz w:val="24"/>
          <w:szCs w:val="24"/>
        </w:rPr>
        <w:t xml:space="preserve">To check the live investigation path, we ran a separate case study on HarborShop, a locally hosted checkout application. Its first revision stored product and order data in a provisioned SQLite directory. A later one-line configuration change pointed the service at a different storage directory that had not been created. This gave us a known fault to compare with the cause RecoverIT reported.</w:t>
      </w:r>
    </w:p>
    <w:p>
      <w:pPr>
        <w:spacing w:after="160" w:line="360"/>
        <w:jc w:val="both"/>
      </w:pPr>
      <w:r>
        <w:rPr>
          <w:rFonts w:ascii="Times New Roman" w:cs="Times New Roman" w:eastAsia="Times New Roman" w:hAnsi="Times New Roman"/>
          <w:sz w:val="24"/>
          <w:szCs w:val="24"/>
        </w:rPr>
        <w:t xml:space="preserve">We used the same traffic script on both revisions. In the healthy run, 15 valid checkout requests returned HTTP 201 and the readiness endpoint returned HTTP 200. After the change, all 15 valid checkout requests returned HTTP 500 and readiness returned HTTP 503. The liveness endpoint still returned HTTP 200, and deliberately invalid checkout inputs still returned HTTP 400. The application and database logs recorded the failed requests and the database file-opening error. These observations fix the test conditions independently of the investigation result.</w:t>
      </w:r>
    </w:p>
    <w:p>
      <w:pPr>
        <w:spacing w:after="160" w:line="360"/>
        <w:jc w:val="both"/>
      </w:pPr>
      <w:r>
        <w:rPr>
          <w:rFonts w:ascii="Times New Roman" w:cs="Times New Roman" w:eastAsia="Times New Roman" w:hAnsi="Times New Roman"/>
          <w:sz w:val="24"/>
          <w:szCs w:val="24"/>
        </w:rPr>
        <w:t xml:space="preserve">We then ran RecoverIT with local Git changes, versioned configuration, structured log files, the HTTP readiness check and request metrics as evidence sources. The live run finished in 16.45 seconds. Figure 4.1 shows the investigation trace and the incident summary recorded by the interface.</w:t>
      </w:r>
    </w:p>
    <w:p>
      <w:pPr>
        <w:pBdr>
          <w:top w:val="dashed" w:color="999999" w:sz="4" w:space="8"/>
          <w:bottom w:val="dashed" w:color="999999" w:sz="4" w:space="8"/>
          <w:left w:val="dashed" w:color="999999" w:sz="4" w:space="8"/>
          <w:right w:val="dashed" w:color="999999" w:sz="4" w:space="8"/>
        </w:pBdr>
        <w:spacing w:after="60" w:before="120"/>
        <w:jc w:val="center"/>
      </w:pPr>
      <w:r>
        <w:rPr>
          <w:rFonts w:ascii="Times New Roman" w:cs="Times New Roman" w:eastAsia="Times New Roman" w:hAnsi="Times New Roman"/>
          <w:i/>
          <w:iCs/>
          <w:color w:val="777777"/>
          <w:sz w:val="22"/>
          <w:szCs w:val="22"/>
        </w:rPr>
        <w:t xml:space="preserve">[Insert figure here]</w:t>
      </w:r>
    </w:p>
    <w:p>
      <w:pPr>
        <w:spacing w:after="240"/>
        <w:jc w:val="center"/>
      </w:pPr>
      <w:r>
        <w:rPr>
          <w:rFonts w:ascii="Times New Roman" w:cs="Times New Roman" w:eastAsia="Times New Roman" w:hAnsi="Times New Roman"/>
          <w:i/>
          <w:iCs/>
          <w:sz w:val="22"/>
          <w:szCs w:val="22"/>
        </w:rPr>
        <w:t xml:space="preserve">Figure 4.1 Live investigation trace and incident summary</w:t>
      </w:r>
    </w:p>
    <w:p>
      <w:pPr>
        <w:spacing w:after="160" w:line="360"/>
        <w:jc w:val="both"/>
      </w:pPr>
      <w:r>
        <w:rPr>
          <w:rFonts w:ascii="Times New Roman" w:cs="Times New Roman" w:eastAsia="Times New Roman" w:hAnsi="Times New Roman"/>
          <w:sz w:val="24"/>
          <w:szCs w:val="24"/>
        </w:rPr>
        <w:t xml:space="preserve">The order storage path change was ranked first as a configuration regression, with an evidence score of 76.45 out of 100. An infrastructure failure ranked second at 49.70. The leading explanation agreed with the known one-line change and with the failed readiness checks. Figure 4.2 shows the ranked output and the cited evidence. The percentages on this screen are internal scoring values, not measured probabilities of diagnostic correctness. In particular, the low symptom-confidence value depends on how individual log records are counted in this case.</w:t>
      </w:r>
    </w:p>
    <w:p>
      <w:pPr>
        <w:pBdr>
          <w:top w:val="dashed" w:color="999999" w:sz="4" w:space="8"/>
          <w:bottom w:val="dashed" w:color="999999" w:sz="4" w:space="8"/>
          <w:left w:val="dashed" w:color="999999" w:sz="4" w:space="8"/>
          <w:right w:val="dashed" w:color="999999" w:sz="4" w:space="8"/>
        </w:pBdr>
        <w:spacing w:after="60" w:before="120"/>
        <w:jc w:val="center"/>
      </w:pPr>
      <w:r>
        <w:rPr>
          <w:rFonts w:ascii="Times New Roman" w:cs="Times New Roman" w:eastAsia="Times New Roman" w:hAnsi="Times New Roman"/>
          <w:i/>
          <w:iCs/>
          <w:color w:val="777777"/>
          <w:sz w:val="22"/>
          <w:szCs w:val="22"/>
        </w:rPr>
        <w:t xml:space="preserve">[Insert figure here]</w:t>
      </w:r>
    </w:p>
    <w:p>
      <w:pPr>
        <w:spacing w:after="240"/>
        <w:jc w:val="center"/>
      </w:pPr>
      <w:r>
        <w:rPr>
          <w:rFonts w:ascii="Times New Roman" w:cs="Times New Roman" w:eastAsia="Times New Roman" w:hAnsi="Times New Roman"/>
          <w:i/>
          <w:iCs/>
          <w:sz w:val="22"/>
          <w:szCs w:val="22"/>
        </w:rPr>
        <w:t xml:space="preserve">Figure 4.2 Ranked root-cause hypotheses for the controlled incident</w:t>
      </w:r>
    </w:p>
    <w:p>
      <w:pPr>
        <w:spacing w:after="160" w:line="360"/>
        <w:jc w:val="both"/>
      </w:pPr>
      <w:r>
        <w:rPr>
          <w:rFonts w:ascii="Times New Roman" w:cs="Times New Roman" w:eastAsia="Times New Roman" w:hAnsi="Times New Roman"/>
          <w:sz w:val="24"/>
          <w:szCs w:val="24"/>
        </w:rPr>
        <w:t xml:space="preserve">The system also proposed a sequence for reviewing the configuration, checking the readiness and application logs, correcting the path and verifying recovery, shown in Figures 4.3 and 4.4. These are recommendations that need human review. RecoverIT executed no change, and we did not measure post-remediation recovery in this run. Some references to centralized dashboards and a deployment pipeline are general suggestions; our case study used local logs and a local service.</w:t>
      </w:r>
    </w:p>
    <w:p>
      <w:pPr>
        <w:pBdr>
          <w:top w:val="dashed" w:color="999999" w:sz="4" w:space="8"/>
          <w:bottom w:val="dashed" w:color="999999" w:sz="4" w:space="8"/>
          <w:left w:val="dashed" w:color="999999" w:sz="4" w:space="8"/>
          <w:right w:val="dashed" w:color="999999" w:sz="4" w:space="8"/>
        </w:pBdr>
        <w:spacing w:after="60" w:before="120"/>
        <w:jc w:val="center"/>
      </w:pPr>
      <w:r>
        <w:rPr>
          <w:rFonts w:ascii="Times New Roman" w:cs="Times New Roman" w:eastAsia="Times New Roman" w:hAnsi="Times New Roman"/>
          <w:i/>
          <w:iCs/>
          <w:color w:val="777777"/>
          <w:sz w:val="22"/>
          <w:szCs w:val="22"/>
        </w:rPr>
        <w:t xml:space="preserve">[Insert figure here]</w:t>
      </w:r>
    </w:p>
    <w:p>
      <w:pPr>
        <w:spacing w:after="240"/>
        <w:jc w:val="center"/>
      </w:pPr>
      <w:r>
        <w:rPr>
          <w:rFonts w:ascii="Times New Roman" w:cs="Times New Roman" w:eastAsia="Times New Roman" w:hAnsi="Times New Roman"/>
          <w:i/>
          <w:iCs/>
          <w:sz w:val="22"/>
          <w:szCs w:val="22"/>
        </w:rPr>
        <w:t xml:space="preserve">Figure 4.3 Advisory remediation output with review and log inspection steps</w:t>
      </w:r>
    </w:p>
    <w:p>
      <w:pPr>
        <w:pBdr>
          <w:top w:val="dashed" w:color="999999" w:sz="4" w:space="8"/>
          <w:bottom w:val="dashed" w:color="999999" w:sz="4" w:space="8"/>
          <w:left w:val="dashed" w:color="999999" w:sz="4" w:space="8"/>
          <w:right w:val="dashed" w:color="999999" w:sz="4" w:space="8"/>
        </w:pBdr>
        <w:spacing w:after="60" w:before="120"/>
        <w:jc w:val="center"/>
      </w:pPr>
      <w:r>
        <w:rPr>
          <w:rFonts w:ascii="Times New Roman" w:cs="Times New Roman" w:eastAsia="Times New Roman" w:hAnsi="Times New Roman"/>
          <w:i/>
          <w:iCs/>
          <w:color w:val="777777"/>
          <w:sz w:val="22"/>
          <w:szCs w:val="22"/>
        </w:rPr>
        <w:t xml:space="preserve">[Insert figure here]</w:t>
      </w:r>
    </w:p>
    <w:p>
      <w:pPr>
        <w:spacing w:after="240"/>
        <w:jc w:val="center"/>
      </w:pPr>
      <w:r>
        <w:rPr>
          <w:rFonts w:ascii="Times New Roman" w:cs="Times New Roman" w:eastAsia="Times New Roman" w:hAnsi="Times New Roman"/>
          <w:i/>
          <w:iCs/>
          <w:sz w:val="22"/>
          <w:szCs w:val="22"/>
        </w:rPr>
        <w:t xml:space="preserve">Figure 4.4 Advisory configuration and recovery verification steps</w:t>
      </w:r>
    </w:p>
    <w:p>
      <w:pPr>
        <w:spacing w:after="160" w:line="360"/>
        <w:jc w:val="both"/>
      </w:pPr>
      <w:r>
        <w:rPr>
          <w:rFonts w:ascii="Times New Roman" w:cs="Times New Roman" w:eastAsia="Times New Roman" w:hAnsi="Times New Roman"/>
          <w:sz w:val="24"/>
          <w:szCs w:val="24"/>
        </w:rPr>
        <w:t xml:space="preserve">This exercise shows that the implemented workflow identified the planted fault in one controlled incident using live evidence from several sources. It does not establish accuracy on unfamiliar incidents or any reduction in resolution time. The case study adds an end-to-end example to the repository test results, and the broader evaluation requirements remain open.</w:t>
      </w:r>
    </w:p>
    <w:p>
      <w:pPr>
        <w:pStyle w:val="Heading2"/>
        <w:keepNext/>
        <w:spacing w:after="120" w:before="240"/>
      </w:pPr>
      <w:r>
        <w:rPr>
          <w:rFonts w:ascii="Times New Roman" w:cs="Times New Roman" w:eastAsia="Times New Roman" w:hAnsi="Times New Roman"/>
          <w:b/>
          <w:bCs/>
          <w:sz w:val="26"/>
          <w:szCs w:val="26"/>
        </w:rPr>
        <w:t xml:space="preserve">4.8 Results Analysis and Limitations</w:t>
      </w:r>
    </w:p>
    <w:p>
      <w:pPr>
        <w:spacing w:after="160" w:line="360"/>
        <w:jc w:val="both"/>
      </w:pPr>
      <w:r>
        <w:rPr>
          <w:rFonts w:ascii="Times New Roman" w:cs="Times New Roman" w:eastAsia="Times New Roman" w:hAnsi="Times New Roman"/>
          <w:sz w:val="24"/>
          <w:szCs w:val="24"/>
        </w:rPr>
        <w:t xml:space="preserve">What we observed is an integrated, test-verified investigation workflow with typed boundaries and safe advisory remediation. The tests support the claim that the implemented modules behave as their assertions specify. They do not show how accurately RecoverIT diagnoses unfamiliar production incidents. We did not run comparative experiments against a human or another tool, and we did not measure any reduction in mean time to resolution.</w:t>
      </w:r>
    </w:p>
    <w:p>
      <w:pPr>
        <w:spacing w:after="160" w:line="360"/>
        <w:jc w:val="both"/>
      </w:pPr>
      <w:r>
        <w:rPr>
          <w:rFonts w:ascii="Times New Roman" w:cs="Times New Roman" w:eastAsia="Times New Roman" w:hAnsi="Times New Roman"/>
          <w:sz w:val="24"/>
          <w:szCs w:val="24"/>
        </w:rPr>
        <w:t xml:space="preserve">The solution is limited by incomplete source coverage, imperfect telemetry, provider behaviour and the plausibility of alternative hypotheses. Deterministic ranking removes some sources of error but cannot replace calibration on labelled data. The policy module blocks some unsafe recommendations, but a thorough security review and an approval process are needed before any real execution.</w:t>
      </w:r>
    </w:p>
    <w:p>
      <w:pPr>
        <w:spacing w:after="160" w:line="360"/>
        <w:jc w:val="both"/>
      </w:pPr>
      <w:r>
        <w:rPr>
          <w:rFonts w:ascii="Times New Roman" w:cs="Times New Roman" w:eastAsia="Times New Roman" w:hAnsi="Times New Roman"/>
          <w:sz w:val="24"/>
          <w:szCs w:val="24"/>
        </w:rPr>
        <w:t xml:space="preserve">The original self-healing title describes a long-term direction. Our current implementation ends at a human-reviewed recommendation, with no execution engine and no closed-loop confirmation that a service recovered. We document this gap openly so readers can tell implemented work apart from the wider architecture proposal and the examples in the literature.</w:t>
      </w:r>
    </w:p>
    <w:p>
      <w:pPr>
        <w:pStyle w:val="Heading1"/>
        <w:pageBreakBefore/>
        <w:spacing w:after="300"/>
        <w:jc w:val="center"/>
      </w:pPr>
      <w:r>
        <w:rPr>
          <w:rFonts w:ascii="Times New Roman" w:cs="Times New Roman" w:eastAsia="Times New Roman" w:hAnsi="Times New Roman"/>
          <w:b/>
          <w:bCs/>
          <w:sz w:val="30"/>
          <w:szCs w:val="30"/>
        </w:rPr>
        <w:t xml:space="preserve">CHAPTER 5 – CONCLUSION AND FUTURE WORK</w:t>
      </w:r>
    </w:p>
    <w:p>
      <w:pPr>
        <w:pStyle w:val="Heading2"/>
        <w:keepNext/>
        <w:spacing w:after="120" w:before="240"/>
      </w:pPr>
      <w:r>
        <w:rPr>
          <w:rFonts w:ascii="Times New Roman" w:cs="Times New Roman" w:eastAsia="Times New Roman" w:hAnsi="Times New Roman"/>
          <w:b/>
          <w:bCs/>
          <w:sz w:val="26"/>
          <w:szCs w:val="26"/>
        </w:rPr>
        <w:t xml:space="preserve">5.1 Conclusion</w:t>
      </w:r>
    </w:p>
    <w:p>
      <w:pPr>
        <w:spacing w:after="160" w:line="360"/>
        <w:jc w:val="both"/>
      </w:pPr>
      <w:r>
        <w:rPr>
          <w:rFonts w:ascii="Times New Roman" w:cs="Times New Roman" w:eastAsia="Times New Roman" w:hAnsi="Times New Roman"/>
          <w:sz w:val="24"/>
          <w:szCs w:val="24"/>
        </w:rPr>
        <w:t xml:space="preserve">RecoverIT demonstrates a bounded approach to CI/CD incident investigation. It turns configured read-only source records into typed evidence, builds a timeline and incident context, generates and ranks root-cause hypotheses, and reports the evidence factors behind its ordering. The LangGraph workflow gives explicit state transitions and checkpointing, and the result is meant for operator review, not for automatic acceptance of a model response.</w:t>
      </w:r>
    </w:p>
    <w:p>
      <w:pPr>
        <w:spacing w:after="160" w:line="360"/>
        <w:jc w:val="both"/>
      </w:pPr>
      <w:r>
        <w:rPr>
          <w:rFonts w:ascii="Times New Roman" w:cs="Times New Roman" w:eastAsia="Times New Roman" w:hAnsi="Times New Roman"/>
          <w:sz w:val="24"/>
          <w:szCs w:val="24"/>
        </w:rPr>
        <w:t xml:space="preserve">The implementation also prepares remediation guidance under deterministic safety rules and blocks change recommendations when confidence, evidence grounding or content-safety checks fail. We regard this as the main safety result of Project I: an investigation assistant can give structured suggestions while keeping an explicit human decision boundary. The repository test run gives a passing software verification baseline, within the limits of test coverage.</w:t>
      </w:r>
    </w:p>
    <w:p>
      <w:pPr>
        <w:spacing w:after="160" w:line="360"/>
        <w:jc w:val="both"/>
      </w:pPr>
      <w:r>
        <w:rPr>
          <w:rFonts w:ascii="Times New Roman" w:cs="Times New Roman" w:eastAsia="Times New Roman" w:hAnsi="Times New Roman"/>
          <w:sz w:val="24"/>
          <w:szCs w:val="24"/>
        </w:rPr>
        <w:t xml:space="preserve">We have not yet demonstrated production RCA accuracy, faster resolution, safe execution of infrastructure actions or verified self-healing. These remain research and engineering goals, and presenting them as achieved would go beyond our evidence.</w:t>
      </w:r>
    </w:p>
    <w:p>
      <w:pPr>
        <w:pStyle w:val="Heading2"/>
        <w:keepNext/>
        <w:spacing w:after="120" w:before="240"/>
      </w:pPr>
      <w:r>
        <w:rPr>
          <w:rFonts w:ascii="Times New Roman" w:cs="Times New Roman" w:eastAsia="Times New Roman" w:hAnsi="Times New Roman"/>
          <w:b/>
          <w:bCs/>
          <w:sz w:val="26"/>
          <w:szCs w:val="26"/>
        </w:rPr>
        <w:t xml:space="preserve">5.2 Future Work</w:t>
      </w:r>
    </w:p>
    <w:p>
      <w:pPr>
        <w:spacing w:after="160" w:line="360"/>
        <w:jc w:val="both"/>
      </w:pPr>
      <w:r>
        <w:rPr>
          <w:rFonts w:ascii="Times New Roman" w:cs="Times New Roman" w:eastAsia="Times New Roman" w:hAnsi="Times New Roman"/>
          <w:sz w:val="24"/>
          <w:szCs w:val="24"/>
        </w:rPr>
        <w:t xml:space="preserve">The first priority is a labelled incident evaluation. The incidents should have known root causes, diverse sources, missing data and conflicting observations. We would record top-one and top-k accuracy, evidence-reference accuracy, confidence calibration, abstention quality, time spent and provider cost, and run a rule-based or manual baseline on the same immutable source snapshots.</w:t>
      </w:r>
    </w:p>
    <w:p>
      <w:pPr>
        <w:spacing w:after="160" w:line="360"/>
        <w:jc w:val="both"/>
      </w:pPr>
      <w:r>
        <w:rPr>
          <w:rFonts w:ascii="Times New Roman" w:cs="Times New Roman" w:eastAsia="Times New Roman" w:hAnsi="Times New Roman"/>
          <w:sz w:val="24"/>
          <w:szCs w:val="24"/>
        </w:rPr>
        <w:t xml:space="preserve">Next we would add more sources and improve causal inference. More adapters, dependency information and links to deployment changes should give better context, and controlled experiments should confirm that each new source improves diagnosis instead of only lengthening the prompt. Adversarial tests should cover prompt injection through logs, secret leakage and deceptive event ordering.</w:t>
      </w:r>
    </w:p>
    <w:p>
      <w:pPr>
        <w:spacing w:after="160" w:line="360"/>
        <w:jc w:val="both"/>
      </w:pPr>
      <w:r>
        <w:rPr>
          <w:rFonts w:ascii="Times New Roman" w:cs="Times New Roman" w:eastAsia="Times New Roman" w:hAnsi="Times New Roman"/>
          <w:sz w:val="24"/>
          <w:szCs w:val="24"/>
        </w:rPr>
        <w:t xml:space="preserve">Recovery functionality would need a separate allowlist of approved actions, identity and authorization, human confirmation for changes, bounded execution, safe rollback and checks after each action. Only when all of these safeguards are in place can we claim self-healing.</w:t>
      </w:r>
    </w:p>
    <w:p>
      <w:pPr>
        <w:pStyle w:val="Heading1"/>
        <w:pageBreakBefore/>
        <w:spacing w:after="300"/>
        <w:jc w:val="center"/>
      </w:pPr>
      <w:r>
        <w:rPr>
          <w:rFonts w:ascii="Times New Roman" w:cs="Times New Roman" w:eastAsia="Times New Roman" w:hAnsi="Times New Roman"/>
          <w:b/>
          <w:bCs/>
          <w:sz w:val="30"/>
          <w:szCs w:val="30"/>
        </w:rPr>
        <w:t xml:space="preserve">REFERENCES</w:t>
      </w:r>
    </w:p>
    <w:p>
      <w:pPr>
        <w:spacing w:after="140" w:line="300"/>
        <w:ind w:left="560" w:hanging="560"/>
        <w:jc w:val="both"/>
      </w:pPr>
      <w:r>
        <w:rPr>
          <w:rFonts w:ascii="Times New Roman" w:cs="Times New Roman" w:eastAsia="Times New Roman" w:hAnsi="Times New Roman"/>
          <w:sz w:val="22"/>
          <w:szCs w:val="22"/>
        </w:rPr>
        <w:t xml:space="preserve">[1]  Manohar, N. V., Shukla, R., &amp; Abi, S. (2025, December). Autonomous Multi-Agent System for Integrated SRE and Self-Healing in Cloud-Native Environments. In International Conference on Smart Systems and Social Management (ICSSSM 2025) (pp. 525-535). Atlantis Press.</w:t>
      </w:r>
    </w:p>
    <w:p>
      <w:pPr>
        <w:spacing w:after="140" w:line="300"/>
        <w:ind w:left="560" w:hanging="560"/>
        <w:jc w:val="both"/>
      </w:pPr>
      <w:r>
        <w:rPr>
          <w:rFonts w:ascii="Times New Roman" w:cs="Times New Roman" w:eastAsia="Times New Roman" w:hAnsi="Times New Roman"/>
          <w:sz w:val="22"/>
          <w:szCs w:val="22"/>
        </w:rPr>
        <w:t xml:space="preserve">[2]  Roy, D., Zhang, X., Bhave, R., Bansal, C., Las-Casas, P., Fonseca, R., &amp; Rajmohan, S. (2024, July). Exploring LLM-based agents for root cause analysis. In Companion Proceedings of the 32nd ACM International Conference on the Foundations of Software Engineering (pp. 208-219).</w:t>
      </w:r>
    </w:p>
    <w:p>
      <w:pPr>
        <w:spacing w:after="140" w:line="300"/>
        <w:ind w:left="560" w:hanging="560"/>
        <w:jc w:val="both"/>
      </w:pPr>
      <w:r>
        <w:rPr>
          <w:rFonts w:ascii="Times New Roman" w:cs="Times New Roman" w:eastAsia="Times New Roman" w:hAnsi="Times New Roman"/>
          <w:sz w:val="22"/>
          <w:szCs w:val="22"/>
        </w:rPr>
        <w:t xml:space="preserve">[3]  Wittkopp, T., Wiesner, P., &amp; Kao, O. (2024, August). LogRCA: Log-based root cause analysis for distributed services. In European Conference on Parallel Processing (pp. 362-376). Cham: Springer Nature Switzerland.</w:t>
      </w:r>
    </w:p>
    <w:p>
      <w:pPr>
        <w:spacing w:after="140" w:line="300"/>
        <w:ind w:left="560" w:hanging="560"/>
        <w:jc w:val="both"/>
      </w:pPr>
      <w:r>
        <w:rPr>
          <w:rFonts w:ascii="Times New Roman" w:cs="Times New Roman" w:eastAsia="Times New Roman" w:hAnsi="Times New Roman"/>
          <w:sz w:val="22"/>
          <w:szCs w:val="22"/>
        </w:rPr>
        <w:t xml:space="preserve">[4]  Wang, T., &amp; Qi, G. (2024). A comprehensive survey on root cause analysis in (micro) services: Methodologies, challenges, and trends. arXiv preprint arXiv:2408.00803.</w:t>
      </w:r>
    </w:p>
    <w:p>
      <w:pPr>
        <w:spacing w:after="140" w:line="300"/>
        <w:ind w:left="560" w:hanging="560"/>
        <w:jc w:val="both"/>
      </w:pPr>
      <w:r>
        <w:rPr>
          <w:rFonts w:ascii="Times New Roman" w:cs="Times New Roman" w:eastAsia="Times New Roman" w:hAnsi="Times New Roman"/>
          <w:sz w:val="22"/>
          <w:szCs w:val="22"/>
        </w:rPr>
        <w:t xml:space="preserve">[5]  Pham, L., Ha, H., &amp; Zhang, H. (2024, October). Root cause analysis for microservice system based on causal inference: How far are we? In Proceedings of the 39th IEEE/ACM International Conference on Automated Software Engineering (pp. 706-715).</w:t>
      </w:r>
    </w:p>
    <w:p>
      <w:pPr>
        <w:spacing w:after="140" w:line="300"/>
        <w:ind w:left="560" w:hanging="560"/>
        <w:jc w:val="both"/>
      </w:pPr>
      <w:r>
        <w:rPr>
          <w:rFonts w:ascii="Times New Roman" w:cs="Times New Roman" w:eastAsia="Times New Roman" w:hAnsi="Times New Roman"/>
          <w:sz w:val="22"/>
          <w:szCs w:val="22"/>
        </w:rPr>
        <w:t xml:space="preserve">[6]  Pham, L., Zhang, H., Ha, H., Salim, F., &amp; Zhang, X. (2025, May). RCAEval: A benchmark for root cause analysis of microservice systems with telemetry data. In Companion Proceedings of the ACM on Web Conference 2025 (pp. 777-780).</w:t>
      </w:r>
    </w:p>
    <w:p>
      <w:pPr>
        <w:spacing w:after="140" w:line="300"/>
        <w:ind w:left="560" w:hanging="560"/>
        <w:jc w:val="both"/>
      </w:pPr>
      <w:r>
        <w:rPr>
          <w:rFonts w:ascii="Times New Roman" w:cs="Times New Roman" w:eastAsia="Times New Roman" w:hAnsi="Times New Roman"/>
          <w:sz w:val="22"/>
          <w:szCs w:val="22"/>
        </w:rPr>
        <w:t xml:space="preserve">[7]  Chen, Y., Shetty, M., Somashekar, G., Ma, M., Simmhan, Y., Mace, J., ... &amp; Rajmohan, S. (2025). AIOpsLab: A holistic framework to evaluate AI agents for enabling autonomous clouds. Proceedings of Machine Learning and Systems, 7.</w:t>
      </w:r>
    </w:p>
    <w:p>
      <w:pPr>
        <w:spacing w:after="140" w:line="300"/>
        <w:ind w:left="560" w:hanging="560"/>
        <w:jc w:val="both"/>
      </w:pPr>
      <w:r>
        <w:rPr>
          <w:rFonts w:ascii="Times New Roman" w:cs="Times New Roman" w:eastAsia="Times New Roman" w:hAnsi="Times New Roman"/>
          <w:sz w:val="22"/>
          <w:szCs w:val="22"/>
        </w:rPr>
        <w:t xml:space="preserve">[8]  Pei, C., Wang, Z., Liu, F., Li, Z., Liu, Y., He, X., ... &amp; Pei, D. (2025, May). Flow-of-Action: SOP enhanced LLM-based multi-agent system for root cause analysis. In Companion Proceedings of the ACM on Web Conference 2025 (pp. 422-431).</w:t>
      </w:r>
    </w:p>
    <w:p>
      <w:pPr>
        <w:spacing w:after="140" w:line="300"/>
        <w:ind w:left="560" w:hanging="560"/>
        <w:jc w:val="both"/>
      </w:pPr>
      <w:r>
        <w:rPr>
          <w:rFonts w:ascii="Times New Roman" w:cs="Times New Roman" w:eastAsia="Times New Roman" w:hAnsi="Times New Roman"/>
          <w:sz w:val="22"/>
          <w:szCs w:val="22"/>
        </w:rPr>
        <w:t xml:space="preserve">[9]  Ji, C., &amp; Luo, H. (2025, May). Cloud-based AI systems: Leveraging large language models for intelligent fault detection and autonomous self-healing. In 2025 IEEE 7th International Conference on Communications, Information System and Computer Engineering (CISCE) (pp. 226-229). IEEE.</w:t>
      </w:r>
    </w:p>
    <w:p>
      <w:pPr>
        <w:spacing w:after="140" w:line="300"/>
        <w:ind w:left="560" w:hanging="560"/>
        <w:jc w:val="both"/>
      </w:pPr>
      <w:r>
        <w:rPr>
          <w:rFonts w:ascii="Times New Roman" w:cs="Times New Roman" w:eastAsia="Times New Roman" w:hAnsi="Times New Roman"/>
          <w:sz w:val="22"/>
          <w:szCs w:val="22"/>
        </w:rPr>
        <w:t xml:space="preserve">[10]  Tang, P., Tang, S., Pu, H., Miao, Z., &amp; Wang, Z. (2025). MicroRCA-Agent: Microservice root cause analysis method based on large language model agents. arXiv preprint arXiv:2509.15635.</w:t>
      </w:r>
    </w:p>
    <w:p>
      <w:pPr>
        <w:spacing w:after="140" w:line="300"/>
        <w:ind w:left="560" w:hanging="560"/>
        <w:jc w:val="both"/>
      </w:pPr>
      <w:r>
        <w:rPr>
          <w:rFonts w:ascii="Times New Roman" w:cs="Times New Roman" w:eastAsia="Times New Roman" w:hAnsi="Times New Roman"/>
          <w:sz w:val="22"/>
          <w:szCs w:val="22"/>
        </w:rPr>
        <w:t xml:space="preserve">[11]  Naakka, A., Wang, Y., &amp; Mäntylä, M. V. (2026, August). LATS-RCA: Language Agent Tree Search for Root Cause Analysis in Microservices. In Euromicro Conference on Software Engineering and Advanced Applications (pp. 196-212). Cham: Springer Nature Switzerland.</w:t>
      </w:r>
    </w:p>
    <w:p>
      <w:pPr>
        <w:spacing w:after="140" w:line="300"/>
        <w:ind w:left="560" w:hanging="560"/>
        <w:jc w:val="both"/>
      </w:pPr>
      <w:r>
        <w:rPr>
          <w:rFonts w:ascii="Times New Roman" w:cs="Times New Roman" w:eastAsia="Times New Roman" w:hAnsi="Times New Roman"/>
          <w:sz w:val="22"/>
          <w:szCs w:val="22"/>
        </w:rPr>
        <w:t xml:space="preserve">[12]  Tian, Y., Liu, Y., Chong, Z., Huang, Z., Li, Y., &amp; Jacobsen, H. A. (2026, October). GALA: Graph-Augmented LLM Agents for Root Cause Analysis and Incident Response in Microservices. In Proceedings of the 41st IEEE/ACM International Conference on Automated Software Engineering (pp. 55-67).</w:t>
      </w:r>
    </w:p>
    <w:p>
      <w:pPr>
        <w:spacing w:after="140" w:line="300"/>
        <w:ind w:left="560" w:hanging="560"/>
        <w:jc w:val="both"/>
      </w:pPr>
      <w:r>
        <w:rPr>
          <w:rFonts w:ascii="Times New Roman" w:cs="Times New Roman" w:eastAsia="Times New Roman" w:hAnsi="Times New Roman"/>
          <w:sz w:val="22"/>
          <w:szCs w:val="22"/>
        </w:rPr>
        <w:t xml:space="preserve">[13]  Mhatre, A., &amp; Shaikh, A. (2025). LLM for Automated Root Cause Analysis in Microservices Architectures. Journal of Information Systems Engineering and Management, 10(13), 449-460.</w:t>
      </w:r>
    </w:p>
    <w:p>
      <w:pPr>
        <w:spacing w:after="140" w:line="300"/>
        <w:ind w:left="560" w:hanging="560"/>
        <w:jc w:val="both"/>
      </w:pPr>
      <w:r>
        <w:rPr>
          <w:rFonts w:ascii="Times New Roman" w:cs="Times New Roman" w:eastAsia="Times New Roman" w:hAnsi="Times New Roman"/>
          <w:sz w:val="22"/>
          <w:szCs w:val="22"/>
        </w:rPr>
        <w:t xml:space="preserve">[14]  Kalakoti, M. K. R., &amp; Kalakoti, M. K. R. (2025). AI-augmented self-healing infrastructure: Combining health probes with remediation playbooks. Journal of Information Systems Engineering and Management, 10(58s), 1147-1157.</w:t>
      </w:r>
    </w:p>
    <w:p>
      <w:pPr>
        <w:spacing w:after="140" w:line="300"/>
        <w:ind w:left="560" w:hanging="560"/>
        <w:jc w:val="both"/>
      </w:pPr>
      <w:r>
        <w:rPr>
          <w:rFonts w:ascii="Times New Roman" w:cs="Times New Roman" w:eastAsia="Times New Roman" w:hAnsi="Times New Roman"/>
          <w:sz w:val="22"/>
          <w:szCs w:val="22"/>
        </w:rPr>
        <w:t xml:space="preserve">[15]  Xu, W., Luo, J., Huang, T., Sui, K., Geng, J., Ma, Q., ... &amp; Cai, P. (2025, November). LogSage: An LLM-based framework for CI/CD failure detection and remediation with industrial validation. In 2025 40th IEEE/ACM International Conference on Automated Software Engineering (ASE) (pp. 3742-3753). IEEE.</w:t>
      </w:r>
    </w:p>
    <w:p>
      <w:pPr>
        <w:spacing w:after="140" w:line="300"/>
        <w:ind w:left="560" w:hanging="560"/>
        <w:jc w:val="both"/>
      </w:pPr>
      <w:r>
        <w:rPr>
          <w:rFonts w:ascii="Times New Roman" w:cs="Times New Roman" w:eastAsia="Times New Roman" w:hAnsi="Times New Roman"/>
          <w:sz w:val="22"/>
          <w:szCs w:val="22"/>
        </w:rPr>
        <w:t xml:space="preserve">[16]  Wang, C., Yuan, T., Hua, C., Chang, L., Yang, X., &amp; Qiu, Z. (2025, November). Integrating large language models with cloud-native observability for automated root cause analysis and remediation. In Proceedings of the 2025 3rd International Conference on Artificial Intelligence, Systems and Network Security (pp. 327-334).</w:t>
      </w:r>
    </w:p>
    <w:p>
      <w:pPr>
        <w:pStyle w:val="Heading1"/>
        <w:pageBreakBefore/>
        <w:spacing w:after="300"/>
        <w:jc w:val="center"/>
      </w:pPr>
      <w:r>
        <w:rPr>
          <w:rFonts w:ascii="Times New Roman" w:cs="Times New Roman" w:eastAsia="Times New Roman" w:hAnsi="Times New Roman"/>
          <w:b/>
          <w:bCs/>
          <w:sz w:val="30"/>
          <w:szCs w:val="30"/>
        </w:rPr>
        <w:t xml:space="preserve">APPENDIX 1 – RUNTIME INTERFACES</w:t>
      </w:r>
    </w:p>
    <w:p>
      <w:pPr>
        <w:spacing w:after="160" w:line="360"/>
        <w:jc w:val="both"/>
      </w:pPr>
      <w:r>
        <w:rPr>
          <w:rFonts w:ascii="Times New Roman" w:cs="Times New Roman" w:eastAsia="Times New Roman" w:hAnsi="Times New Roman"/>
          <w:sz w:val="24"/>
          <w:szCs w:val="24"/>
        </w:rPr>
        <w:t xml:space="preserve">The live command takes a trusted runtime configuration, a canonical incident JSON file and an optional report destination. The runtime file chooses the reasoning engine, model, checkpoint storage, data adapters, concurrency and query timeout. The incident file holds the incident ID, affected service, environment, severity, timestamps and description. A successful run outputs the status, ordered hypotheses, evidence and timeline entries, budget consumption and an optional remediation recommendation.</w:t>
      </w:r>
    </w:p>
    <w:p>
      <w:pPr>
        <w:spacing w:after="160" w:line="360"/>
        <w:jc w:val="both"/>
      </w:pPr>
      <w:r>
        <w:rPr>
          <w:rFonts w:ascii="Times New Roman" w:cs="Times New Roman" w:eastAsia="Times New Roman" w:hAnsi="Times New Roman"/>
          <w:sz w:val="24"/>
          <w:szCs w:val="24"/>
        </w:rPr>
        <w:t xml:space="preserve">Usage example:</w:t>
      </w:r>
    </w:p>
    <w:p>
      <w:pPr>
        <w:shd w:fill="F2F2F2" w:color="auto" w:val="clear"/>
        <w:spacing w:after="160"/>
      </w:pPr>
      <w:r>
        <w:rPr>
          <w:rFonts w:ascii="Courier New" w:cs="Courier New" w:eastAsia="Courier New" w:hAnsi="Courier New"/>
          <w:sz w:val="20"/>
          <w:szCs w:val="20"/>
        </w:rPr>
        <w:t xml:space="preserve">python -m recoverit.cli investigate --config path/to/runtime.json --incident path/to/incident.json --report path/to/investigation-report.md</w:t>
      </w:r>
    </w:p>
    <w:p>
      <w:pPr>
        <w:spacing w:after="160" w:line="360"/>
        <w:jc w:val="both"/>
      </w:pPr>
      <w:r>
        <w:rPr>
          <w:rFonts w:ascii="Times New Roman" w:cs="Times New Roman" w:eastAsia="Times New Roman" w:hAnsi="Times New Roman"/>
          <w:sz w:val="24"/>
          <w:szCs w:val="24"/>
        </w:rPr>
        <w:t xml:space="preserve">Sample files in the docs directory show the required formats. They must be edited to contain a valid endpoint and credentials before a real run. Fake test providers and benchmark fixtures are not part of the live execution flow.</w:t>
      </w:r>
    </w:p>
    <w:p>
      <w:pPr>
        <w:pStyle w:val="Heading1"/>
        <w:pageBreakBefore/>
        <w:spacing w:after="300"/>
        <w:jc w:val="center"/>
      </w:pPr>
      <w:r>
        <w:rPr>
          <w:rFonts w:ascii="Times New Roman" w:cs="Times New Roman" w:eastAsia="Times New Roman" w:hAnsi="Times New Roman"/>
          <w:b/>
          <w:bCs/>
          <w:sz w:val="30"/>
          <w:szCs w:val="30"/>
        </w:rPr>
        <w:t xml:space="preserve">APPENDIX 2 – CONTRACTS AND SOURCES</w:t>
      </w:r>
    </w:p>
    <w:p>
      <w:pPr>
        <w:keepNext/>
        <w:spacing w:after="80" w:before="120"/>
        <w:jc w:val="center"/>
      </w:pPr>
      <w:r>
        <w:rPr>
          <w:rFonts w:ascii="Times New Roman" w:cs="Times New Roman" w:eastAsia="Times New Roman" w:hAnsi="Times New Roman"/>
          <w:i/>
          <w:iCs/>
          <w:sz w:val="22"/>
          <w:szCs w:val="22"/>
        </w:rPr>
        <w:t xml:space="preserve">Table A.1 Source capability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Contract or source</w:t>
            </w:r>
          </w:p>
        </w:tc>
        <w:tc>
          <w:tcPr>
            <w:tcW w:type="dxa" w:w="58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Role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IncidentSeed</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Canonical incident identity and time context</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SourceCapabilityCatalog</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Advertised query support and availability</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RawEvidenceBatch</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Typed source retrieval result</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EvidenceRecord</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Normalized, provenance-bearing observation</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IncidentContextSnapshot</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Published context for reasoning</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RankedHypothesisSet</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Ordered diagnosis and evidence links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RemediationPlan</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Human-reviewed guidance or blocked escalation</w:t>
            </w:r>
          </w:p>
        </w:tc>
      </w:tr>
    </w:tbl>
    <w:p>
      <w:pPr>
        <w:spacing w:after="200"/>
      </w:pPr>
    </w:p>
    <w:p>
      <w:pPr>
        <w:spacing w:after="160" w:line="360"/>
        <w:jc w:val="both"/>
      </w:pPr>
      <w:r>
        <w:rPr>
          <w:rFonts w:ascii="Times New Roman" w:cs="Times New Roman" w:eastAsia="Times New Roman" w:hAnsi="Times New Roman"/>
          <w:sz w:val="24"/>
          <w:szCs w:val="24"/>
        </w:rPr>
        <w:t xml:space="preserve">This contract sequence lets a reader follow an observation from its origin through normalization, timeline construction, hypothesis support and the final recommendation. The provenance and evidence-ID checks matter most when a model-generated statement cites operational data.</w:t>
      </w:r>
    </w:p>
    <w:p>
      <w:pPr>
        <w:pStyle w:val="Heading1"/>
        <w:pageBreakBefore/>
        <w:spacing w:after="300"/>
        <w:jc w:val="center"/>
      </w:pPr>
      <w:r>
        <w:rPr>
          <w:rFonts w:ascii="Times New Roman" w:cs="Times New Roman" w:eastAsia="Times New Roman" w:hAnsi="Times New Roman"/>
          <w:b/>
          <w:bCs/>
          <w:sz w:val="30"/>
          <w:szCs w:val="30"/>
        </w:rPr>
        <w:t xml:space="preserve">APPENDIX 3 – TEST MATRIX</w:t>
      </w:r>
    </w:p>
    <w:p>
      <w:pPr>
        <w:keepNext/>
        <w:spacing w:after="80" w:before="120"/>
        <w:jc w:val="center"/>
      </w:pPr>
      <w:r>
        <w:rPr>
          <w:rFonts w:ascii="Times New Roman" w:cs="Times New Roman" w:eastAsia="Times New Roman" w:hAnsi="Times New Roman"/>
          <w:i/>
          <w:iCs/>
          <w:sz w:val="22"/>
          <w:szCs w:val="22"/>
        </w:rPr>
        <w:t xml:space="preserve">Table A.2 Test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Area</w:t>
            </w:r>
          </w:p>
        </w:tc>
        <w:tc>
          <w:tcPr>
            <w:tcW w:type="dxa" w:w="6626"/>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1"/>
                <w:szCs w:val="21"/>
              </w:rPr>
              <w:t xml:space="preserve">Expected behaviour</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Input and contracts</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Malformed incidents, missing required fields and invalid enums are rejected before collection.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Collection failures</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An unavailable or timed-out adapter produces a partial result with warnings, not a fabricated clean reading.</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Evidence quality</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Timestamps, redaction, deterministic identity and repeated observations are handled consistently.</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Graph routing</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The graph stops on budget exhaustion and returns an inconclusive result when evidence is inadequate.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Ranking</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Contradictory and missing causal evidence reduce a candidate's score.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Remediation</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Unknown evidence IDs, shell-like syntax and low confidence produce a blocked recommendation.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Presentation</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1"/>
                <w:szCs w:val="21"/>
              </w:rPr>
              <w:t xml:space="preserve">CLI, API and web views preserve the same investigation status and provenance links.</w:t>
            </w:r>
          </w:p>
        </w:tc>
      </w:tr>
    </w:tbl>
    <w:p>
      <w:pPr>
        <w:spacing w:after="200"/>
      </w:pPr>
    </w:p>
    <w:p>
      <w:pPr>
        <w:pStyle w:val="Heading1"/>
        <w:pageBreakBefore/>
        <w:spacing w:after="300"/>
        <w:jc w:val="center"/>
      </w:pPr>
      <w:r>
        <w:rPr>
          <w:rFonts w:ascii="Times New Roman" w:cs="Times New Roman" w:eastAsia="Times New Roman" w:hAnsi="Times New Roman"/>
          <w:b/>
          <w:bCs/>
          <w:sz w:val="30"/>
          <w:szCs w:val="30"/>
        </w:rPr>
        <w:t xml:space="preserve">APPENDIX 4 – INDIVIDUAL CONTRIBUTION</w:t>
      </w:r>
    </w:p>
    <w:p>
      <w:pPr>
        <w:spacing w:after="160" w:line="360"/>
        <w:jc w:val="both"/>
      </w:pPr>
      <w:r>
        <w:rPr>
          <w:rFonts w:ascii="Times New Roman" w:cs="Times New Roman" w:eastAsia="Times New Roman" w:hAnsi="Times New Roman"/>
          <w:sz w:val="24"/>
          <w:szCs w:val="24"/>
        </w:rPr>
        <w:t xml:space="preserve">Candidate name: ____________________</w:t>
      </w:r>
    </w:p>
    <w:p>
      <w:pPr>
        <w:spacing w:after="160" w:line="360"/>
        <w:jc w:val="both"/>
      </w:pPr>
      <w:r>
        <w:rPr>
          <w:rFonts w:ascii="Times New Roman" w:cs="Times New Roman" w:eastAsia="Times New Roman" w:hAnsi="Times New Roman"/>
          <w:sz w:val="24"/>
          <w:szCs w:val="24"/>
        </w:rPr>
        <w:t xml:space="preserve">Register number: ____________________</w:t>
      </w:r>
    </w:p>
    <w:p>
      <w:pPr>
        <w:spacing w:after="160" w:line="360"/>
        <w:jc w:val="both"/>
      </w:pPr>
      <w:r>
        <w:rPr>
          <w:rFonts w:ascii="Times New Roman" w:cs="Times New Roman" w:eastAsia="Times New Roman" w:hAnsi="Times New Roman"/>
          <w:sz w:val="24"/>
          <w:szCs w:val="24"/>
        </w:rPr>
        <w:t xml:space="preserve">Project role and modules implemented: ______________________________________________</w:t>
      </w:r>
    </w:p>
    <w:p>
      <w:pPr>
        <w:spacing w:after="160" w:line="360"/>
        <w:jc w:val="both"/>
      </w:pPr>
      <w:r>
        <w:rPr>
          <w:rFonts w:ascii="Times New Roman" w:cs="Times New Roman" w:eastAsia="Times New Roman" w:hAnsi="Times New Roman"/>
          <w:sz w:val="24"/>
          <w:szCs w:val="24"/>
        </w:rPr>
        <w:t xml:space="preserve">Design, implementation, testing and documentation contributions are to be filled in by the candidate and verified by the guide before submission. This report describes team project work, and this statement records the individual contribution required by BCSE497J.</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2026-10-15T13:29:42.937Z</dcterms:created>
  <dcterms:modified xsi:type="dcterms:W3CDTF">2026-10-15T13:29:42.946Z</dcterms:modified>
</cp:coreProperties>
</file>

<file path=docProps/custom.xml><?xml version="1.0" encoding="utf-8"?>
<Properties xmlns="http://schemas.openxmlformats.org/officeDocument/2006/custom-properties" xmlns:vt="http://schemas.openxmlformats.org/officeDocument/2006/docPropsVTypes"/>
</file>