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9082C">
      <w:pPr>
        <w:jc w:val="center"/>
      </w:pPr>
      <w:r>
        <w:rPr>
          <w:rFonts w:ascii="Aptos Display" w:hAnsi="Aptos Display"/>
          <w:b/>
          <w:sz w:val="44"/>
        </w:rPr>
        <w:t>PHASE 2 PROJECT DOCUMENT</w:t>
      </w:r>
    </w:p>
    <w:p w14:paraId="401B4631">
      <w:pPr>
        <w:jc w:val="center"/>
      </w:pPr>
      <w:r>
        <w:rPr>
          <w:b/>
          <w:sz w:val="28"/>
        </w:rPr>
        <w:t>Data Exploration, Cleaning, Preparation &amp; Project Setup</w:t>
      </w:r>
    </w:p>
    <w:p w14:paraId="7160A734">
      <w:pPr>
        <w:jc w:val="center"/>
      </w:pPr>
      <w:r>
        <w:rPr>
          <w:i/>
          <w:sz w:val="22"/>
        </w:rPr>
        <w:t>Player Engagement, Monetisation &amp; Behaviour Analysis Project</w:t>
      </w:r>
    </w:p>
    <w:p w14:paraId="23FB7B31">
      <w:pPr>
        <w:spacing w:before="200" w:after="100"/>
      </w:pPr>
      <w:r>
        <w:rPr>
          <w:rFonts w:ascii="Aptos Display" w:hAnsi="Aptos Display"/>
          <w:b/>
          <w:sz w:val="30"/>
        </w:rPr>
        <w:t>1. Phase 2 Overview</w:t>
      </w:r>
    </w:p>
    <w:p w14:paraId="01B1BFAD">
      <w:pPr>
        <w:spacing w:after="100"/>
      </w:pPr>
      <w:r>
        <w:t>This document records the Phase 2 work completed on the three player datasets. The supplied raw and cleaned Excel workbooks were compared systematically to identify data-quality issues, statistical transformations, formatting standardizations and validation outcomes. The Phase 2 workflow follows the project flow: explore and document the datasets, clean and preprocess the data, and initialize the Git repository.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228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1B12FE28">
            <w:pPr>
              <w:spacing w:after="0" w:line="240" w:lineRule="auto"/>
            </w:pPr>
            <w:r>
              <w:rPr>
                <w:b/>
                <w:sz w:val="18"/>
              </w:rPr>
              <w:t>Phase 2 activity</w:t>
            </w:r>
          </w:p>
        </w:tc>
        <w:tc>
          <w:tcPr>
            <w:tcW w:w="5112" w:type="dxa"/>
            <w:shd w:val="clear" w:color="auto" w:fill="D9EAF7"/>
          </w:tcPr>
          <w:p w14:paraId="42AD01C0">
            <w:pPr>
              <w:spacing w:after="0" w:line="240" w:lineRule="auto"/>
            </w:pPr>
            <w:r>
              <w:rPr>
                <w:b/>
                <w:sz w:val="18"/>
              </w:rPr>
              <w:t>Evidence / status</w:t>
            </w:r>
          </w:p>
        </w:tc>
      </w:tr>
      <w:tr w14:paraId="2AC5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6EFE86">
            <w:pPr>
              <w:spacing w:after="0" w:line="240" w:lineRule="auto"/>
            </w:pPr>
            <w:r>
              <w:rPr>
                <w:sz w:val="18"/>
              </w:rPr>
              <w:t>Explored and documented datasets</w:t>
            </w:r>
          </w:p>
        </w:tc>
        <w:tc>
          <w:tcPr>
            <w:tcW w:w="5112" w:type="dxa"/>
            <w:vAlign w:val="center"/>
          </w:tcPr>
          <w:p w14:paraId="32275A70">
            <w:pPr>
              <w:spacing w:after="0" w:line="240" w:lineRule="auto"/>
            </w:pPr>
            <w:r>
              <w:rPr>
                <w:sz w:val="18"/>
              </w:rPr>
              <w:t>Completed — structure, fields, data types, missing values and quality observations documented below.</w:t>
            </w:r>
          </w:p>
        </w:tc>
      </w:tr>
      <w:tr w14:paraId="3205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B3DBF45">
            <w:pPr>
              <w:spacing w:after="0" w:line="240" w:lineRule="auto"/>
            </w:pPr>
            <w:r>
              <w:rPr>
                <w:sz w:val="18"/>
              </w:rPr>
              <w:t>Cleaned &amp; preprocessed data</w:t>
            </w:r>
          </w:p>
        </w:tc>
        <w:tc>
          <w:tcPr>
            <w:tcW w:w="5112" w:type="dxa"/>
            <w:vAlign w:val="center"/>
          </w:tcPr>
          <w:p w14:paraId="3ADFAD3B">
            <w:pPr>
              <w:spacing w:after="0" w:line="240" w:lineRule="auto"/>
            </w:pPr>
            <w:r>
              <w:rPr>
                <w:sz w:val="18"/>
              </w:rPr>
              <w:t>Completed in the updated cleaned workbooks; statistical IQR transformations, formatting and imputation quantified below.</w:t>
            </w:r>
          </w:p>
        </w:tc>
      </w:tr>
      <w:tr w14:paraId="1A07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A4A4F3">
            <w:pPr>
              <w:spacing w:after="0" w:line="240" w:lineRule="auto"/>
            </w:pPr>
            <w:r>
              <w:rPr>
                <w:sz w:val="18"/>
              </w:rPr>
              <w:t>Setup &amp; initialized Git repository</w:t>
            </w:r>
          </w:p>
        </w:tc>
        <w:tc>
          <w:tcPr>
            <w:tcW w:w="5112" w:type="dxa"/>
            <w:vAlign w:val="center"/>
          </w:tcPr>
          <w:p w14:paraId="3958AD8F">
            <w:pPr>
              <w:spacing w:after="0" w:line="240" w:lineRule="auto"/>
            </w:pPr>
            <w:r>
              <w:rPr>
                <w:sz w:val="18"/>
              </w:rPr>
              <w:t>Recommended repository structure and initialization steps documented below.</w:t>
            </w:r>
          </w:p>
        </w:tc>
      </w:tr>
    </w:tbl>
    <w:p w14:paraId="1C4B7089"/>
    <w:p w14:paraId="1528F105">
      <w:pPr>
        <w:spacing w:before="200" w:after="100"/>
      </w:pPr>
      <w:r>
        <w:rPr>
          <w:rFonts w:ascii="Aptos Display" w:hAnsi="Aptos Display"/>
          <w:b/>
          <w:sz w:val="30"/>
        </w:rPr>
        <w:t>2. Dataset Inventory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6CED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5EB2F799">
            <w:pPr>
              <w:spacing w:after="0" w:line="240" w:lineRule="auto"/>
            </w:pPr>
            <w:r>
              <w:rPr>
                <w:b/>
                <w:sz w:val="18"/>
              </w:rPr>
              <w:t>Dataset</w:t>
            </w:r>
          </w:p>
        </w:tc>
        <w:tc>
          <w:tcPr>
            <w:tcW w:w="2045" w:type="dxa"/>
            <w:shd w:val="clear" w:color="auto" w:fill="D9EAF7"/>
          </w:tcPr>
          <w:p w14:paraId="12D19DEC">
            <w:pPr>
              <w:spacing w:after="0" w:line="240" w:lineRule="auto"/>
            </w:pPr>
            <w:r>
              <w:rPr>
                <w:b/>
                <w:sz w:val="18"/>
              </w:rPr>
              <w:t>Records</w:t>
            </w:r>
          </w:p>
        </w:tc>
        <w:tc>
          <w:tcPr>
            <w:tcW w:w="2045" w:type="dxa"/>
            <w:shd w:val="clear" w:color="auto" w:fill="D9EAF7"/>
          </w:tcPr>
          <w:p w14:paraId="0EA42B72">
            <w:pPr>
              <w:spacing w:after="0" w:line="240" w:lineRule="auto"/>
            </w:pPr>
            <w:r>
              <w:rPr>
                <w:b/>
                <w:sz w:val="18"/>
              </w:rPr>
              <w:t>Columns</w:t>
            </w:r>
          </w:p>
        </w:tc>
        <w:tc>
          <w:tcPr>
            <w:tcW w:w="2045" w:type="dxa"/>
            <w:shd w:val="clear" w:color="auto" w:fill="D9EAF7"/>
          </w:tcPr>
          <w:p w14:paraId="4B237D8B">
            <w:pPr>
              <w:spacing w:after="0" w:line="240" w:lineRule="auto"/>
            </w:pPr>
            <w:r>
              <w:rPr>
                <w:b/>
                <w:sz w:val="18"/>
              </w:rPr>
              <w:t>Key field</w:t>
            </w:r>
          </w:p>
        </w:tc>
        <w:tc>
          <w:tcPr>
            <w:tcW w:w="2045" w:type="dxa"/>
            <w:shd w:val="clear" w:color="auto" w:fill="D9EAF7"/>
          </w:tcPr>
          <w:p w14:paraId="2B942220">
            <w:pPr>
              <w:spacing w:after="0" w:line="240" w:lineRule="auto"/>
            </w:pPr>
            <w:r>
              <w:rPr>
                <w:b/>
                <w:sz w:val="18"/>
              </w:rPr>
              <w:t>Validation</w:t>
            </w:r>
          </w:p>
        </w:tc>
      </w:tr>
      <w:tr w14:paraId="6C81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11AEDA8">
            <w:pPr>
              <w:spacing w:after="0" w:line="240" w:lineRule="auto"/>
            </w:pPr>
            <w:r>
              <w:rPr>
                <w:sz w:val="18"/>
              </w:rPr>
              <w:t>Behavior Extensions</w:t>
            </w:r>
          </w:p>
        </w:tc>
        <w:tc>
          <w:tcPr>
            <w:tcW w:w="2045" w:type="dxa"/>
            <w:vAlign w:val="center"/>
          </w:tcPr>
          <w:p w14:paraId="011BFD8F">
            <w:pPr>
              <w:spacing w:after="0" w:line="240" w:lineRule="auto"/>
            </w:pPr>
            <w:r>
              <w:rPr>
                <w:sz w:val="18"/>
              </w:rPr>
              <w:t>43,058</w:t>
            </w:r>
          </w:p>
        </w:tc>
        <w:tc>
          <w:tcPr>
            <w:tcW w:w="2045" w:type="dxa"/>
            <w:vAlign w:val="center"/>
          </w:tcPr>
          <w:p w14:paraId="29DAFAEB">
            <w:pPr>
              <w:spacing w:after="0" w:line="240" w:lineRule="auto"/>
            </w:pPr>
            <w:r>
              <w:rPr>
                <w:sz w:val="18"/>
              </w:rPr>
              <w:t>5</w:t>
            </w:r>
          </w:p>
        </w:tc>
        <w:tc>
          <w:tcPr>
            <w:tcW w:w="2045" w:type="dxa"/>
            <w:vAlign w:val="center"/>
          </w:tcPr>
          <w:p w14:paraId="50D8CF8A">
            <w:pPr>
              <w:spacing w:after="0" w:line="240" w:lineRule="auto"/>
            </w:pPr>
            <w:r>
              <w:rPr>
                <w:sz w:val="18"/>
              </w:rPr>
              <w:t>PlayerID</w:t>
            </w:r>
          </w:p>
        </w:tc>
        <w:tc>
          <w:tcPr>
            <w:tcW w:w="2045" w:type="dxa"/>
            <w:vAlign w:val="center"/>
          </w:tcPr>
          <w:p w14:paraId="289EBB3C">
            <w:pPr>
              <w:spacing w:after="0" w:line="240" w:lineRule="auto"/>
            </w:pPr>
            <w:r>
              <w:rPr>
                <w:sz w:val="18"/>
              </w:rPr>
              <w:t>No duplicate rows; no duplicate PlayerID</w:t>
            </w:r>
          </w:p>
        </w:tc>
      </w:tr>
      <w:tr w14:paraId="6F97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93E11EE">
            <w:pPr>
              <w:spacing w:after="0" w:line="240" w:lineRule="auto"/>
            </w:pPr>
            <w:r>
              <w:rPr>
                <w:sz w:val="18"/>
              </w:rPr>
              <w:t>Monetisation</w:t>
            </w:r>
          </w:p>
        </w:tc>
        <w:tc>
          <w:tcPr>
            <w:tcW w:w="2045" w:type="dxa"/>
            <w:vAlign w:val="center"/>
          </w:tcPr>
          <w:p w14:paraId="6D42B831">
            <w:pPr>
              <w:spacing w:after="0" w:line="240" w:lineRule="auto"/>
            </w:pPr>
            <w:r>
              <w:rPr>
                <w:sz w:val="18"/>
              </w:rPr>
              <w:t>43,058</w:t>
            </w:r>
          </w:p>
        </w:tc>
        <w:tc>
          <w:tcPr>
            <w:tcW w:w="2045" w:type="dxa"/>
            <w:vAlign w:val="center"/>
          </w:tcPr>
          <w:p w14:paraId="33A11CBF">
            <w:pPr>
              <w:spacing w:after="0" w:line="240" w:lineRule="auto"/>
            </w:pPr>
            <w:r>
              <w:rPr>
                <w:sz w:val="18"/>
              </w:rPr>
              <w:t>18</w:t>
            </w:r>
          </w:p>
        </w:tc>
        <w:tc>
          <w:tcPr>
            <w:tcW w:w="2045" w:type="dxa"/>
            <w:vAlign w:val="center"/>
          </w:tcPr>
          <w:p w14:paraId="46D8A96C">
            <w:pPr>
              <w:spacing w:after="0" w:line="240" w:lineRule="auto"/>
            </w:pPr>
            <w:r>
              <w:rPr>
                <w:sz w:val="18"/>
              </w:rPr>
              <w:t>PlayerID</w:t>
            </w:r>
          </w:p>
        </w:tc>
        <w:tc>
          <w:tcPr>
            <w:tcW w:w="2045" w:type="dxa"/>
            <w:vAlign w:val="center"/>
          </w:tcPr>
          <w:p w14:paraId="00E86C81">
            <w:pPr>
              <w:spacing w:after="0" w:line="240" w:lineRule="auto"/>
            </w:pPr>
            <w:r>
              <w:rPr>
                <w:sz w:val="18"/>
              </w:rPr>
              <w:t>No duplicate rows; no duplicate PlayerID</w:t>
            </w:r>
          </w:p>
        </w:tc>
      </w:tr>
      <w:tr w14:paraId="0FF4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8FD5117">
            <w:pPr>
              <w:spacing w:after="0" w:line="240" w:lineRule="auto"/>
            </w:pPr>
            <w:r>
              <w:rPr>
                <w:sz w:val="18"/>
              </w:rPr>
              <w:t>Engagement</w:t>
            </w:r>
          </w:p>
        </w:tc>
        <w:tc>
          <w:tcPr>
            <w:tcW w:w="2045" w:type="dxa"/>
            <w:vAlign w:val="center"/>
          </w:tcPr>
          <w:p w14:paraId="491CB140">
            <w:pPr>
              <w:spacing w:after="0" w:line="240" w:lineRule="auto"/>
            </w:pPr>
            <w:r>
              <w:rPr>
                <w:sz w:val="18"/>
              </w:rPr>
              <w:t>43,058</w:t>
            </w:r>
          </w:p>
        </w:tc>
        <w:tc>
          <w:tcPr>
            <w:tcW w:w="2045" w:type="dxa"/>
            <w:vAlign w:val="center"/>
          </w:tcPr>
          <w:p w14:paraId="6CC8D28B">
            <w:pPr>
              <w:spacing w:after="0" w:line="240" w:lineRule="auto"/>
            </w:pPr>
            <w:r>
              <w:rPr>
                <w:sz w:val="18"/>
              </w:rPr>
              <w:t>15</w:t>
            </w:r>
          </w:p>
        </w:tc>
        <w:tc>
          <w:tcPr>
            <w:tcW w:w="2045" w:type="dxa"/>
            <w:vAlign w:val="center"/>
          </w:tcPr>
          <w:p w14:paraId="6F4206B8">
            <w:pPr>
              <w:spacing w:after="0" w:line="240" w:lineRule="auto"/>
            </w:pPr>
            <w:r>
              <w:rPr>
                <w:sz w:val="18"/>
              </w:rPr>
              <w:t>PlayerID</w:t>
            </w:r>
          </w:p>
        </w:tc>
        <w:tc>
          <w:tcPr>
            <w:tcW w:w="2045" w:type="dxa"/>
            <w:vAlign w:val="center"/>
          </w:tcPr>
          <w:p w14:paraId="5308B428">
            <w:pPr>
              <w:spacing w:after="0" w:line="240" w:lineRule="auto"/>
            </w:pPr>
            <w:r>
              <w:rPr>
                <w:sz w:val="18"/>
              </w:rPr>
              <w:t>No duplicate rows; no duplicate PlayerID</w:t>
            </w:r>
          </w:p>
        </w:tc>
      </w:tr>
    </w:tbl>
    <w:p w14:paraId="2AE1B5F9"/>
    <w:p w14:paraId="300EE7DA">
      <w:pPr>
        <w:spacing w:after="100"/>
      </w:pPr>
      <w:r>
        <w:t>All three datasets contain 43,058 data records and share PlayerID as the natural linking key. The three tables can therefore be integrated on PlayerID for downstream analysis and the capstone.</w:t>
      </w:r>
    </w:p>
    <w:p w14:paraId="46E15A3B">
      <w:pPr>
        <w:spacing w:before="200" w:after="100"/>
      </w:pPr>
      <w:r>
        <w:rPr>
          <w:rFonts w:ascii="Aptos Display" w:hAnsi="Aptos Display"/>
          <w:b/>
          <w:sz w:val="30"/>
        </w:rPr>
        <w:t>3. Raw Dataset Quality Assessment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1963"/>
        <w:gridCol w:w="2537"/>
        <w:gridCol w:w="1974"/>
        <w:gridCol w:w="1975"/>
      </w:tblGrid>
      <w:tr w14:paraId="3AF4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4E4F6093">
            <w:pPr>
              <w:spacing w:after="0" w:line="240" w:lineRule="auto"/>
            </w:pPr>
            <w:r>
              <w:rPr>
                <w:b/>
                <w:sz w:val="18"/>
              </w:rPr>
              <w:t>Dataset</w:t>
            </w:r>
          </w:p>
        </w:tc>
        <w:tc>
          <w:tcPr>
            <w:tcW w:w="2045" w:type="dxa"/>
            <w:shd w:val="clear" w:color="auto" w:fill="D9EAF7"/>
          </w:tcPr>
          <w:p w14:paraId="5638CAC2">
            <w:pPr>
              <w:spacing w:after="0" w:line="240" w:lineRule="auto"/>
            </w:pPr>
            <w:r>
              <w:rPr>
                <w:b/>
                <w:sz w:val="18"/>
              </w:rPr>
              <w:t>Total missing cells</w:t>
            </w:r>
          </w:p>
        </w:tc>
        <w:tc>
          <w:tcPr>
            <w:tcW w:w="2045" w:type="dxa"/>
            <w:shd w:val="clear" w:color="auto" w:fill="D9EAF7"/>
          </w:tcPr>
          <w:p w14:paraId="5BC748C5">
            <w:pPr>
              <w:spacing w:after="0" w:line="240" w:lineRule="auto"/>
            </w:pPr>
            <w:r>
              <w:rPr>
                <w:b/>
                <w:sz w:val="18"/>
              </w:rPr>
              <w:t>Missing-value fields</w:t>
            </w:r>
          </w:p>
        </w:tc>
        <w:tc>
          <w:tcPr>
            <w:tcW w:w="2045" w:type="dxa"/>
            <w:shd w:val="clear" w:color="auto" w:fill="D9EAF7"/>
          </w:tcPr>
          <w:p w14:paraId="073F94AC">
            <w:pPr>
              <w:spacing w:after="0" w:line="240" w:lineRule="auto"/>
            </w:pPr>
            <w:r>
              <w:rPr>
                <w:b/>
                <w:sz w:val="18"/>
              </w:rPr>
              <w:t>Duplicate rows</w:t>
            </w:r>
          </w:p>
        </w:tc>
        <w:tc>
          <w:tcPr>
            <w:tcW w:w="2045" w:type="dxa"/>
            <w:shd w:val="clear" w:color="auto" w:fill="D9EAF7"/>
          </w:tcPr>
          <w:p w14:paraId="2D373B90">
            <w:pPr>
              <w:spacing w:after="0" w:line="240" w:lineRule="auto"/>
            </w:pPr>
            <w:r>
              <w:rPr>
                <w:b/>
                <w:sz w:val="18"/>
              </w:rPr>
              <w:t>Duplicate PlayerID</w:t>
            </w:r>
          </w:p>
        </w:tc>
      </w:tr>
      <w:tr w14:paraId="1AA1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EAF9485">
            <w:pPr>
              <w:spacing w:after="0" w:line="240" w:lineRule="auto"/>
            </w:pPr>
            <w:r>
              <w:rPr>
                <w:sz w:val="18"/>
              </w:rPr>
              <w:t>Behavior Extensions</w:t>
            </w:r>
          </w:p>
        </w:tc>
        <w:tc>
          <w:tcPr>
            <w:tcW w:w="2045" w:type="dxa"/>
            <w:vAlign w:val="center"/>
          </w:tcPr>
          <w:p w14:paraId="10E19AEB">
            <w:pPr>
              <w:spacing w:after="0" w:line="240" w:lineRule="auto"/>
            </w:pPr>
            <w:r>
              <w:rPr>
                <w:sz w:val="18"/>
              </w:rPr>
              <w:t>0</w:t>
            </w:r>
          </w:p>
        </w:tc>
        <w:tc>
          <w:tcPr>
            <w:tcW w:w="2045" w:type="dxa"/>
            <w:vAlign w:val="center"/>
          </w:tcPr>
          <w:p w14:paraId="3A00F2BA">
            <w:pPr>
              <w:spacing w:after="0" w:line="240" w:lineRule="auto"/>
            </w:pPr>
            <w:r>
              <w:rPr>
                <w:sz w:val="18"/>
              </w:rPr>
              <w:t>None</w:t>
            </w:r>
          </w:p>
        </w:tc>
        <w:tc>
          <w:tcPr>
            <w:tcW w:w="2045" w:type="dxa"/>
            <w:vAlign w:val="center"/>
          </w:tcPr>
          <w:p w14:paraId="516C9CBD">
            <w:pPr>
              <w:spacing w:after="0" w:line="240" w:lineRule="auto"/>
            </w:pPr>
            <w:r>
              <w:rPr>
                <w:sz w:val="18"/>
              </w:rPr>
              <w:t>0</w:t>
            </w:r>
          </w:p>
        </w:tc>
        <w:tc>
          <w:tcPr>
            <w:tcW w:w="2045" w:type="dxa"/>
            <w:vAlign w:val="center"/>
          </w:tcPr>
          <w:p w14:paraId="4EC5F053">
            <w:pPr>
              <w:spacing w:after="0" w:line="240" w:lineRule="auto"/>
            </w:pPr>
            <w:r>
              <w:rPr>
                <w:sz w:val="18"/>
              </w:rPr>
              <w:t>0</w:t>
            </w:r>
          </w:p>
        </w:tc>
      </w:tr>
      <w:tr w14:paraId="49B9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2F9929B">
            <w:pPr>
              <w:spacing w:after="0" w:line="240" w:lineRule="auto"/>
            </w:pPr>
            <w:r>
              <w:rPr>
                <w:sz w:val="18"/>
              </w:rPr>
              <w:t>Monetisation</w:t>
            </w:r>
          </w:p>
        </w:tc>
        <w:tc>
          <w:tcPr>
            <w:tcW w:w="2045" w:type="dxa"/>
            <w:vAlign w:val="center"/>
          </w:tcPr>
          <w:p w14:paraId="7B7A1694">
            <w:pPr>
              <w:spacing w:after="0" w:line="240" w:lineRule="auto"/>
            </w:pPr>
            <w:r>
              <w:rPr>
                <w:sz w:val="18"/>
              </w:rPr>
              <w:t>740</w:t>
            </w:r>
          </w:p>
        </w:tc>
        <w:tc>
          <w:tcPr>
            <w:tcW w:w="2045" w:type="dxa"/>
            <w:vAlign w:val="center"/>
          </w:tcPr>
          <w:p w14:paraId="15C1168B">
            <w:pPr>
              <w:spacing w:after="0" w:line="240" w:lineRule="auto"/>
            </w:pPr>
            <w:r>
              <w:rPr>
                <w:sz w:val="18"/>
              </w:rPr>
              <w:t>Location: 60; InAppPurchaseAmount: 136; FirstPurchaseDaysAfterInstall: 136; PaymentMethod: 136; LastPurchaseDate: 136; LTV: 136</w:t>
            </w:r>
          </w:p>
        </w:tc>
        <w:tc>
          <w:tcPr>
            <w:tcW w:w="2045" w:type="dxa"/>
            <w:vAlign w:val="center"/>
          </w:tcPr>
          <w:p w14:paraId="2B8A7FD4">
            <w:pPr>
              <w:spacing w:after="0" w:line="240" w:lineRule="auto"/>
            </w:pPr>
            <w:r>
              <w:rPr>
                <w:sz w:val="18"/>
              </w:rPr>
              <w:t>0</w:t>
            </w:r>
          </w:p>
        </w:tc>
        <w:tc>
          <w:tcPr>
            <w:tcW w:w="2045" w:type="dxa"/>
            <w:vAlign w:val="center"/>
          </w:tcPr>
          <w:p w14:paraId="7B56BDBB">
            <w:pPr>
              <w:spacing w:after="0" w:line="240" w:lineRule="auto"/>
            </w:pPr>
            <w:r>
              <w:rPr>
                <w:sz w:val="18"/>
              </w:rPr>
              <w:t>0</w:t>
            </w:r>
          </w:p>
        </w:tc>
      </w:tr>
      <w:tr w14:paraId="6D07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255B0E9">
            <w:pPr>
              <w:spacing w:after="0" w:line="240" w:lineRule="auto"/>
            </w:pPr>
            <w:r>
              <w:rPr>
                <w:sz w:val="18"/>
              </w:rPr>
              <w:t>Engagement</w:t>
            </w:r>
          </w:p>
        </w:tc>
        <w:tc>
          <w:tcPr>
            <w:tcW w:w="2045" w:type="dxa"/>
            <w:vAlign w:val="center"/>
          </w:tcPr>
          <w:p w14:paraId="5C70C198">
            <w:pPr>
              <w:spacing w:after="0" w:line="240" w:lineRule="auto"/>
            </w:pPr>
            <w:r>
              <w:rPr>
                <w:sz w:val="18"/>
              </w:rPr>
              <w:t>0</w:t>
            </w:r>
          </w:p>
        </w:tc>
        <w:tc>
          <w:tcPr>
            <w:tcW w:w="2045" w:type="dxa"/>
            <w:vAlign w:val="center"/>
          </w:tcPr>
          <w:p w14:paraId="6CBFD43C">
            <w:pPr>
              <w:spacing w:after="0" w:line="240" w:lineRule="auto"/>
            </w:pPr>
            <w:r>
              <w:rPr>
                <w:sz w:val="18"/>
              </w:rPr>
              <w:t>None</w:t>
            </w:r>
          </w:p>
        </w:tc>
        <w:tc>
          <w:tcPr>
            <w:tcW w:w="2045" w:type="dxa"/>
            <w:vAlign w:val="center"/>
          </w:tcPr>
          <w:p w14:paraId="163DF0D8">
            <w:pPr>
              <w:spacing w:after="0" w:line="240" w:lineRule="auto"/>
            </w:pPr>
            <w:r>
              <w:rPr>
                <w:sz w:val="18"/>
              </w:rPr>
              <w:t>0</w:t>
            </w:r>
          </w:p>
        </w:tc>
        <w:tc>
          <w:tcPr>
            <w:tcW w:w="2045" w:type="dxa"/>
            <w:vAlign w:val="center"/>
          </w:tcPr>
          <w:p w14:paraId="614D4970">
            <w:pPr>
              <w:spacing w:after="0" w:line="240" w:lineRule="auto"/>
            </w:pPr>
            <w:r>
              <w:rPr>
                <w:sz w:val="18"/>
              </w:rPr>
              <w:t>0</w:t>
            </w:r>
          </w:p>
        </w:tc>
      </w:tr>
    </w:tbl>
    <w:p w14:paraId="463C5AF3"/>
    <w:p w14:paraId="1479E9AE">
      <w:pPr>
        <w:spacing w:after="100"/>
      </w:pPr>
      <w:r>
        <w:t>The raw-data missingness was concentrated in the Monetisation dataset. Behavior Extensions and Engagement had zero missing values and zero duplicate records. Numerical columns with missingness were addressed via Median imputation rather than arbitrary static replacements to maintain distribution integrity.</w:t>
      </w:r>
    </w:p>
    <w:p w14:paraId="7B846485">
      <w:pPr>
        <w:spacing w:after="100"/>
      </w:pPr>
    </w:p>
    <w:p w14:paraId="2EDB5282">
      <w:pPr>
        <w:spacing w:after="100"/>
      </w:pPr>
    </w:p>
    <w:p w14:paraId="2406840A">
      <w:pPr>
        <w:spacing w:before="200" w:after="100"/>
      </w:pPr>
      <w:r>
        <w:rPr>
          <w:rFonts w:ascii="Aptos Display" w:hAnsi="Aptos Display"/>
          <w:b/>
          <w:sz w:val="30"/>
        </w:rPr>
        <w:t>4. Raw vs Cleaned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2537"/>
        <w:gridCol w:w="1946"/>
        <w:gridCol w:w="1995"/>
        <w:gridCol w:w="1990"/>
      </w:tblGrid>
      <w:tr w14:paraId="5BBA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29044695">
            <w:pPr>
              <w:spacing w:after="0" w:line="240" w:lineRule="auto"/>
            </w:pPr>
            <w:r>
              <w:rPr>
                <w:b/>
                <w:sz w:val="18"/>
              </w:rPr>
              <w:t>Dataset</w:t>
            </w:r>
          </w:p>
        </w:tc>
        <w:tc>
          <w:tcPr>
            <w:tcW w:w="2045" w:type="dxa"/>
            <w:shd w:val="clear" w:color="auto" w:fill="D9EAF7"/>
          </w:tcPr>
          <w:p w14:paraId="24147887">
            <w:pPr>
              <w:spacing w:after="0" w:line="240" w:lineRule="auto"/>
            </w:pPr>
            <w:r>
              <w:rPr>
                <w:b/>
                <w:sz w:val="18"/>
              </w:rPr>
              <w:t>Field</w:t>
            </w:r>
          </w:p>
        </w:tc>
        <w:tc>
          <w:tcPr>
            <w:tcW w:w="2045" w:type="dxa"/>
            <w:shd w:val="clear" w:color="auto" w:fill="D9EAF7"/>
          </w:tcPr>
          <w:p w14:paraId="4060A7F0">
            <w:pPr>
              <w:spacing w:after="0" w:line="240" w:lineRule="auto"/>
            </w:pPr>
            <w:r>
              <w:rPr>
                <w:b/>
                <w:sz w:val="18"/>
              </w:rPr>
              <w:t>Changed cells</w:t>
            </w:r>
          </w:p>
        </w:tc>
        <w:tc>
          <w:tcPr>
            <w:tcW w:w="2045" w:type="dxa"/>
            <w:shd w:val="clear" w:color="auto" w:fill="D9EAF7"/>
          </w:tcPr>
          <w:p w14:paraId="5717744F">
            <w:pPr>
              <w:spacing w:after="0" w:line="240" w:lineRule="auto"/>
            </w:pPr>
            <w:r>
              <w:rPr>
                <w:b/>
                <w:sz w:val="18"/>
              </w:rPr>
              <w:t>Observed transformation</w:t>
            </w:r>
          </w:p>
        </w:tc>
        <w:tc>
          <w:tcPr>
            <w:tcW w:w="2045" w:type="dxa"/>
            <w:shd w:val="clear" w:color="auto" w:fill="D9EAF7"/>
          </w:tcPr>
          <w:p w14:paraId="39D5D789">
            <w:pPr>
              <w:spacing w:after="0" w:line="240" w:lineRule="auto"/>
            </w:pPr>
            <w:r>
              <w:rPr>
                <w:b/>
                <w:sz w:val="18"/>
              </w:rPr>
              <w:t>Cleaning purpose</w:t>
            </w:r>
          </w:p>
        </w:tc>
      </w:tr>
      <w:tr w14:paraId="2E84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C98DADB">
            <w:pPr>
              <w:spacing w:after="0" w:line="240" w:lineRule="auto"/>
            </w:pPr>
            <w:r>
              <w:rPr>
                <w:sz w:val="18"/>
              </w:rPr>
              <w:t>Behavior Extensions</w:t>
            </w:r>
          </w:p>
        </w:tc>
        <w:tc>
          <w:tcPr>
            <w:tcW w:w="2045" w:type="dxa"/>
            <w:vAlign w:val="center"/>
          </w:tcPr>
          <w:p w14:paraId="2F10BA68">
            <w:pPr>
              <w:spacing w:after="0" w:line="240" w:lineRule="auto"/>
            </w:pPr>
            <w:r>
              <w:rPr>
                <w:sz w:val="18"/>
              </w:rPr>
              <w:t>Location</w:t>
            </w:r>
          </w:p>
        </w:tc>
        <w:tc>
          <w:tcPr>
            <w:tcW w:w="2045" w:type="dxa"/>
            <w:vAlign w:val="center"/>
          </w:tcPr>
          <w:p w14:paraId="2FCC001F">
            <w:pPr>
              <w:spacing w:after="0" w:line="240" w:lineRule="auto"/>
            </w:pPr>
            <w:r>
              <w:rPr>
                <w:sz w:val="18"/>
              </w:rPr>
              <w:t>17,179</w:t>
            </w:r>
          </w:p>
        </w:tc>
        <w:tc>
          <w:tcPr>
            <w:tcW w:w="2045" w:type="dxa"/>
            <w:vAlign w:val="center"/>
          </w:tcPr>
          <w:p w14:paraId="402D8505">
            <w:pPr>
              <w:spacing w:after="0" w:line="240" w:lineRule="auto"/>
            </w:pPr>
            <w:r>
              <w:rPr>
                <w:sz w:val="18"/>
              </w:rPr>
              <w:t>USA → Usa; UK → Uk</w:t>
            </w:r>
          </w:p>
        </w:tc>
        <w:tc>
          <w:tcPr>
            <w:tcW w:w="2045" w:type="dxa"/>
            <w:vAlign w:val="center"/>
          </w:tcPr>
          <w:p w14:paraId="2D54EFE7">
            <w:pPr>
              <w:spacing w:after="0" w:line="240" w:lineRule="auto"/>
            </w:pPr>
            <w:r>
              <w:rPr>
                <w:sz w:val="18"/>
              </w:rPr>
              <w:t>Standardized text casing</w:t>
            </w:r>
          </w:p>
        </w:tc>
      </w:tr>
      <w:tr w14:paraId="089A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157C721">
            <w:pPr>
              <w:spacing w:after="0" w:line="240" w:lineRule="auto"/>
            </w:pPr>
            <w:r>
              <w:rPr>
                <w:sz w:val="18"/>
              </w:rPr>
              <w:t>Monetisation</w:t>
            </w:r>
          </w:p>
        </w:tc>
        <w:tc>
          <w:tcPr>
            <w:tcW w:w="2045" w:type="dxa"/>
            <w:vAlign w:val="center"/>
          </w:tcPr>
          <w:p w14:paraId="3F7EFF13">
            <w:pPr>
              <w:spacing w:after="0" w:line="240" w:lineRule="auto"/>
            </w:pPr>
            <w:r>
              <w:rPr>
                <w:sz w:val="18"/>
              </w:rPr>
              <w:t>Location</w:t>
            </w:r>
          </w:p>
        </w:tc>
        <w:tc>
          <w:tcPr>
            <w:tcW w:w="2045" w:type="dxa"/>
            <w:vAlign w:val="center"/>
          </w:tcPr>
          <w:p w14:paraId="060C5DB0">
            <w:pPr>
              <w:spacing w:after="0" w:line="240" w:lineRule="auto"/>
            </w:pPr>
            <w:r>
              <w:rPr>
                <w:sz w:val="18"/>
              </w:rPr>
              <w:t>16,582</w:t>
            </w:r>
          </w:p>
        </w:tc>
        <w:tc>
          <w:tcPr>
            <w:tcW w:w="2045" w:type="dxa"/>
            <w:vAlign w:val="center"/>
          </w:tcPr>
          <w:p w14:paraId="2372DDFD">
            <w:pPr>
              <w:spacing w:after="0" w:line="240" w:lineRule="auto"/>
            </w:pPr>
            <w:r>
              <w:rPr>
                <w:sz w:val="18"/>
              </w:rPr>
              <w:t>Country labels standardized (e.g., USA → Usa, UK → Uk; missing → Mode)</w:t>
            </w:r>
          </w:p>
        </w:tc>
        <w:tc>
          <w:tcPr>
            <w:tcW w:w="2045" w:type="dxa"/>
            <w:vAlign w:val="center"/>
          </w:tcPr>
          <w:p w14:paraId="08BAFD78">
            <w:pPr>
              <w:spacing w:after="0" w:line="240" w:lineRule="auto"/>
            </w:pPr>
            <w:r>
              <w:rPr>
                <w:sz w:val="18"/>
              </w:rPr>
              <w:t>Text standardization &amp; missing imputation</w:t>
            </w:r>
          </w:p>
        </w:tc>
      </w:tr>
      <w:tr w14:paraId="19B9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C3EEDEE">
            <w:pPr>
              <w:spacing w:after="0" w:line="240" w:lineRule="auto"/>
            </w:pPr>
            <w:r>
              <w:rPr>
                <w:sz w:val="18"/>
              </w:rPr>
              <w:t>Monetisation</w:t>
            </w:r>
          </w:p>
        </w:tc>
        <w:tc>
          <w:tcPr>
            <w:tcW w:w="2045" w:type="dxa"/>
            <w:vAlign w:val="center"/>
          </w:tcPr>
          <w:p w14:paraId="053A91FD">
            <w:pPr>
              <w:spacing w:after="0" w:line="240" w:lineRule="auto"/>
            </w:pPr>
            <w:r>
              <w:rPr>
                <w:sz w:val="18"/>
              </w:rPr>
              <w:t>InAppPurchaseAmount</w:t>
            </w:r>
          </w:p>
        </w:tc>
        <w:tc>
          <w:tcPr>
            <w:tcW w:w="2045" w:type="dxa"/>
            <w:vAlign w:val="center"/>
          </w:tcPr>
          <w:p w14:paraId="32FF582C">
            <w:pPr>
              <w:spacing w:after="0" w:line="240" w:lineRule="auto"/>
            </w:pPr>
            <w:r>
              <w:rPr>
                <w:sz w:val="18"/>
              </w:rPr>
              <w:t>2,964</w:t>
            </w:r>
          </w:p>
        </w:tc>
        <w:tc>
          <w:tcPr>
            <w:tcW w:w="2045" w:type="dxa"/>
            <w:vAlign w:val="center"/>
          </w:tcPr>
          <w:p w14:paraId="08E671D8">
            <w:pPr>
              <w:spacing w:after="0" w:line="240" w:lineRule="auto"/>
            </w:pPr>
            <w:r>
              <w:rPr>
                <w:sz w:val="18"/>
              </w:rPr>
              <w:t>Missing imputed with Median; Values &gt; $50.845 capped to $50.845 (Upper Bound)</w:t>
            </w:r>
          </w:p>
        </w:tc>
        <w:tc>
          <w:tcPr>
            <w:tcW w:w="2045" w:type="dxa"/>
            <w:vAlign w:val="center"/>
          </w:tcPr>
          <w:p w14:paraId="0BAA277D">
            <w:pPr>
              <w:spacing w:after="0" w:line="240" w:lineRule="auto"/>
            </w:pPr>
            <w:r>
              <w:rPr>
                <w:sz w:val="18"/>
              </w:rPr>
              <w:t>Median imputation &amp; IQR Outlier capping ($1.5 × IQR)</w:t>
            </w:r>
          </w:p>
        </w:tc>
      </w:tr>
      <w:tr w14:paraId="34DD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328AA6C">
            <w:pPr>
              <w:spacing w:after="0" w:line="240" w:lineRule="auto"/>
            </w:pPr>
            <w:r>
              <w:rPr>
                <w:sz w:val="18"/>
              </w:rPr>
              <w:t>Monetisation</w:t>
            </w:r>
          </w:p>
        </w:tc>
        <w:tc>
          <w:tcPr>
            <w:tcW w:w="2045" w:type="dxa"/>
            <w:vAlign w:val="center"/>
          </w:tcPr>
          <w:p w14:paraId="4A1E9D71">
            <w:pPr>
              <w:spacing w:after="0" w:line="240" w:lineRule="auto"/>
            </w:pPr>
            <w:r>
              <w:rPr>
                <w:sz w:val="18"/>
              </w:rPr>
              <w:t>FirstPurchaseDaysAfterInstall</w:t>
            </w:r>
          </w:p>
        </w:tc>
        <w:tc>
          <w:tcPr>
            <w:tcW w:w="2045" w:type="dxa"/>
            <w:vAlign w:val="center"/>
          </w:tcPr>
          <w:p w14:paraId="138AD857">
            <w:pPr>
              <w:spacing w:after="0" w:line="240" w:lineRule="auto"/>
            </w:pPr>
            <w:r>
              <w:rPr>
                <w:sz w:val="18"/>
              </w:rPr>
              <w:t>8,735</w:t>
            </w:r>
          </w:p>
        </w:tc>
        <w:tc>
          <w:tcPr>
            <w:tcW w:w="2045" w:type="dxa"/>
            <w:vAlign w:val="center"/>
          </w:tcPr>
          <w:p w14:paraId="509A3561">
            <w:pPr>
              <w:spacing w:after="0" w:line="240" w:lineRule="auto"/>
            </w:pPr>
            <w:r>
              <w:rPr>
                <w:sz w:val="18"/>
              </w:rPr>
              <w:t>Missing imputed with Median; Values &gt; 22.5 capped to 22.5 (Upper Bound)</w:t>
            </w:r>
          </w:p>
        </w:tc>
        <w:tc>
          <w:tcPr>
            <w:tcW w:w="2045" w:type="dxa"/>
            <w:vAlign w:val="center"/>
          </w:tcPr>
          <w:p w14:paraId="46FEB7C9">
            <w:pPr>
              <w:spacing w:after="0" w:line="240" w:lineRule="auto"/>
            </w:pPr>
            <w:r>
              <w:rPr>
                <w:sz w:val="18"/>
              </w:rPr>
              <w:t>Median imputation &amp; IQR Outlier capping</w:t>
            </w:r>
          </w:p>
        </w:tc>
      </w:tr>
      <w:tr w14:paraId="1C90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C28EDD3">
            <w:pPr>
              <w:spacing w:after="0" w:line="240" w:lineRule="auto"/>
            </w:pPr>
            <w:r>
              <w:rPr>
                <w:sz w:val="18"/>
              </w:rPr>
              <w:t>Monetisation</w:t>
            </w:r>
          </w:p>
        </w:tc>
        <w:tc>
          <w:tcPr>
            <w:tcW w:w="2045" w:type="dxa"/>
            <w:vAlign w:val="center"/>
          </w:tcPr>
          <w:p w14:paraId="39387552">
            <w:pPr>
              <w:spacing w:after="0" w:line="240" w:lineRule="auto"/>
            </w:pPr>
            <w:r>
              <w:rPr>
                <w:sz w:val="18"/>
              </w:rPr>
              <w:t>PaymentMethod</w:t>
            </w:r>
          </w:p>
        </w:tc>
        <w:tc>
          <w:tcPr>
            <w:tcW w:w="2045" w:type="dxa"/>
            <w:vAlign w:val="center"/>
          </w:tcPr>
          <w:p w14:paraId="45F99112">
            <w:pPr>
              <w:spacing w:after="0" w:line="240" w:lineRule="auto"/>
            </w:pPr>
            <w:r>
              <w:rPr>
                <w:sz w:val="18"/>
              </w:rPr>
              <w:t>3,024</w:t>
            </w:r>
          </w:p>
        </w:tc>
        <w:tc>
          <w:tcPr>
            <w:tcW w:w="2045" w:type="dxa"/>
            <w:vAlign w:val="center"/>
          </w:tcPr>
          <w:p w14:paraId="123F47EB">
            <w:pPr>
              <w:spacing w:after="0" w:line="240" w:lineRule="auto"/>
            </w:pPr>
            <w:r>
              <w:rPr>
                <w:sz w:val="18"/>
              </w:rPr>
              <w:t>Apple Pay/Google Pay → Wallet; Credit/Debit Card → Card; Carrier Billing → CarrierBilling; missing/others consolidated</w:t>
            </w:r>
          </w:p>
        </w:tc>
        <w:tc>
          <w:tcPr>
            <w:tcW w:w="2045" w:type="dxa"/>
            <w:vAlign w:val="center"/>
          </w:tcPr>
          <w:p w14:paraId="20B6B6D3">
            <w:pPr>
              <w:spacing w:after="0" w:line="240" w:lineRule="auto"/>
            </w:pPr>
            <w:r>
              <w:rPr>
                <w:sz w:val="18"/>
              </w:rPr>
              <w:t>Category consolidation + missing-value replacement</w:t>
            </w:r>
          </w:p>
        </w:tc>
      </w:tr>
      <w:tr w14:paraId="59E9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D04E9D4">
            <w:pPr>
              <w:spacing w:after="0" w:line="240" w:lineRule="auto"/>
            </w:pPr>
            <w:r>
              <w:rPr>
                <w:sz w:val="18"/>
              </w:rPr>
              <w:t>Monetisation</w:t>
            </w:r>
          </w:p>
        </w:tc>
        <w:tc>
          <w:tcPr>
            <w:tcW w:w="2045" w:type="dxa"/>
            <w:vAlign w:val="center"/>
          </w:tcPr>
          <w:p w14:paraId="708B6379">
            <w:pPr>
              <w:spacing w:after="0" w:line="240" w:lineRule="auto"/>
            </w:pPr>
            <w:r>
              <w:rPr>
                <w:sz w:val="18"/>
              </w:rPr>
              <w:t>LastPurchaseDate</w:t>
            </w:r>
          </w:p>
        </w:tc>
        <w:tc>
          <w:tcPr>
            <w:tcW w:w="2045" w:type="dxa"/>
            <w:vAlign w:val="center"/>
          </w:tcPr>
          <w:p w14:paraId="2E7403BB">
            <w:pPr>
              <w:spacing w:after="0" w:line="240" w:lineRule="auto"/>
            </w:pPr>
            <w:r>
              <w:rPr>
                <w:sz w:val="18"/>
              </w:rPr>
              <w:t>136</w:t>
            </w:r>
          </w:p>
        </w:tc>
        <w:tc>
          <w:tcPr>
            <w:tcW w:w="2045" w:type="dxa"/>
            <w:vAlign w:val="center"/>
          </w:tcPr>
          <w:p w14:paraId="33BFF0A1">
            <w:pPr>
              <w:spacing w:after="0" w:line="240" w:lineRule="auto"/>
            </w:pPr>
            <w:r>
              <w:rPr>
                <w:sz w:val="18"/>
              </w:rPr>
              <w:t>Missing imputed with standard baseline date; formatted to YYYY-MM-DD</w:t>
            </w:r>
          </w:p>
        </w:tc>
        <w:tc>
          <w:tcPr>
            <w:tcW w:w="2045" w:type="dxa"/>
            <w:vAlign w:val="center"/>
          </w:tcPr>
          <w:p w14:paraId="657F2634">
            <w:pPr>
              <w:spacing w:after="0" w:line="240" w:lineRule="auto"/>
            </w:pPr>
            <w:r>
              <w:rPr>
                <w:sz w:val="18"/>
              </w:rPr>
              <w:t>Temporal formatting &amp; missing-date replacement</w:t>
            </w:r>
          </w:p>
        </w:tc>
      </w:tr>
      <w:tr w14:paraId="6C5C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0780CD6">
            <w:pPr>
              <w:spacing w:after="0" w:line="240" w:lineRule="auto"/>
            </w:pPr>
            <w:r>
              <w:rPr>
                <w:sz w:val="18"/>
              </w:rPr>
              <w:t>Monetisation</w:t>
            </w:r>
          </w:p>
        </w:tc>
        <w:tc>
          <w:tcPr>
            <w:tcW w:w="2045" w:type="dxa"/>
            <w:vAlign w:val="center"/>
          </w:tcPr>
          <w:p w14:paraId="48917417">
            <w:pPr>
              <w:spacing w:after="0" w:line="240" w:lineRule="auto"/>
            </w:pPr>
            <w:r>
              <w:rPr>
                <w:sz w:val="18"/>
              </w:rPr>
              <w:t>PurchaseFrequencyPerMonth</w:t>
            </w:r>
          </w:p>
        </w:tc>
        <w:tc>
          <w:tcPr>
            <w:tcW w:w="2045" w:type="dxa"/>
            <w:vAlign w:val="center"/>
          </w:tcPr>
          <w:p w14:paraId="0F1F640F">
            <w:pPr>
              <w:spacing w:after="0" w:line="240" w:lineRule="auto"/>
            </w:pPr>
            <w:r>
              <w:rPr>
                <w:sz w:val="18"/>
              </w:rPr>
              <w:t>1,835</w:t>
            </w:r>
          </w:p>
        </w:tc>
        <w:tc>
          <w:tcPr>
            <w:tcW w:w="2045" w:type="dxa"/>
            <w:vAlign w:val="center"/>
          </w:tcPr>
          <w:p w14:paraId="424E54C9">
            <w:pPr>
              <w:spacing w:after="0" w:line="240" w:lineRule="auto"/>
            </w:pPr>
            <w:r>
              <w:rPr>
                <w:sz w:val="18"/>
              </w:rPr>
              <w:t>Values &gt; 2.82 capped to 2.82 (Upper Bound)</w:t>
            </w:r>
          </w:p>
        </w:tc>
        <w:tc>
          <w:tcPr>
            <w:tcW w:w="2045" w:type="dxa"/>
            <w:vAlign w:val="center"/>
          </w:tcPr>
          <w:p w14:paraId="52178BD8">
            <w:pPr>
              <w:spacing w:after="0" w:line="240" w:lineRule="auto"/>
            </w:pPr>
            <w:r>
              <w:rPr>
                <w:sz w:val="18"/>
              </w:rPr>
              <w:t>Statistical IQR Outlier capping</w:t>
            </w:r>
          </w:p>
        </w:tc>
      </w:tr>
      <w:tr w14:paraId="2A48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C9ABBBE">
            <w:pPr>
              <w:spacing w:after="0" w:line="240" w:lineRule="auto"/>
            </w:pPr>
            <w:r>
              <w:rPr>
                <w:sz w:val="18"/>
              </w:rPr>
              <w:t>Monetisation</w:t>
            </w:r>
          </w:p>
        </w:tc>
        <w:tc>
          <w:tcPr>
            <w:tcW w:w="2045" w:type="dxa"/>
            <w:vAlign w:val="center"/>
          </w:tcPr>
          <w:p w14:paraId="17213487">
            <w:pPr>
              <w:spacing w:after="0" w:line="240" w:lineRule="auto"/>
            </w:pPr>
            <w:r>
              <w:rPr>
                <w:sz w:val="18"/>
              </w:rPr>
              <w:t>OfferResponseRate</w:t>
            </w:r>
          </w:p>
        </w:tc>
        <w:tc>
          <w:tcPr>
            <w:tcW w:w="2045" w:type="dxa"/>
            <w:vAlign w:val="center"/>
          </w:tcPr>
          <w:p w14:paraId="6FE8E3F9">
            <w:pPr>
              <w:spacing w:after="0" w:line="240" w:lineRule="auto"/>
            </w:pPr>
            <w:r>
              <w:rPr>
                <w:sz w:val="18"/>
              </w:rPr>
              <w:t>958</w:t>
            </w:r>
          </w:p>
        </w:tc>
        <w:tc>
          <w:tcPr>
            <w:tcW w:w="2045" w:type="dxa"/>
            <w:vAlign w:val="center"/>
          </w:tcPr>
          <w:p w14:paraId="547ECBDB">
            <w:pPr>
              <w:spacing w:after="0" w:line="240" w:lineRule="auto"/>
            </w:pPr>
            <w:r>
              <w:rPr>
                <w:sz w:val="18"/>
              </w:rPr>
              <w:t>Values &gt; 0.4295 capped to 0.4295 (Upper Bound); normalized precision</w:t>
            </w:r>
          </w:p>
        </w:tc>
        <w:tc>
          <w:tcPr>
            <w:tcW w:w="2045" w:type="dxa"/>
            <w:vAlign w:val="center"/>
          </w:tcPr>
          <w:p w14:paraId="1F5F68E7">
            <w:pPr>
              <w:spacing w:after="0" w:line="240" w:lineRule="auto"/>
            </w:pPr>
            <w:r>
              <w:rPr>
                <w:sz w:val="18"/>
              </w:rPr>
              <w:t>Statistical IQR Outlier capping &amp; precision cleanup</w:t>
            </w:r>
          </w:p>
        </w:tc>
      </w:tr>
      <w:tr w14:paraId="0A5F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BE61F26">
            <w:pPr>
              <w:spacing w:after="0" w:line="240" w:lineRule="auto"/>
            </w:pPr>
            <w:r>
              <w:rPr>
                <w:sz w:val="18"/>
              </w:rPr>
              <w:t>Monetisation</w:t>
            </w:r>
          </w:p>
        </w:tc>
        <w:tc>
          <w:tcPr>
            <w:tcW w:w="2045" w:type="dxa"/>
            <w:vAlign w:val="center"/>
          </w:tcPr>
          <w:p w14:paraId="3645BB8A">
            <w:pPr>
              <w:spacing w:after="0" w:line="240" w:lineRule="auto"/>
            </w:pPr>
            <w:r>
              <w:rPr>
                <w:sz w:val="18"/>
              </w:rPr>
              <w:t>LTV</w:t>
            </w:r>
          </w:p>
        </w:tc>
        <w:tc>
          <w:tcPr>
            <w:tcW w:w="2045" w:type="dxa"/>
            <w:vAlign w:val="center"/>
          </w:tcPr>
          <w:p w14:paraId="2C386298">
            <w:pPr>
              <w:spacing w:after="0" w:line="240" w:lineRule="auto"/>
            </w:pPr>
            <w:r>
              <w:rPr>
                <w:sz w:val="18"/>
              </w:rPr>
              <w:t>3,172</w:t>
            </w:r>
          </w:p>
        </w:tc>
        <w:tc>
          <w:tcPr>
            <w:tcW w:w="2045" w:type="dxa"/>
            <w:vAlign w:val="center"/>
          </w:tcPr>
          <w:p w14:paraId="0A2B234F">
            <w:pPr>
              <w:spacing w:after="0" w:line="240" w:lineRule="auto"/>
            </w:pPr>
            <w:r>
              <w:rPr>
                <w:sz w:val="18"/>
              </w:rPr>
              <w:t>Missing imputed with Median; Values &gt; $59.21 capped to $59.21 (Upper Bound)</w:t>
            </w:r>
          </w:p>
        </w:tc>
        <w:tc>
          <w:tcPr>
            <w:tcW w:w="2045" w:type="dxa"/>
            <w:vAlign w:val="center"/>
          </w:tcPr>
          <w:p w14:paraId="33F6491E">
            <w:pPr>
              <w:spacing w:after="0" w:line="240" w:lineRule="auto"/>
            </w:pPr>
            <w:r>
              <w:rPr>
                <w:sz w:val="18"/>
              </w:rPr>
              <w:t>Median imputation &amp; IQR Outlier capping ($1.5 × IQR)</w:t>
            </w:r>
          </w:p>
        </w:tc>
      </w:tr>
      <w:tr w14:paraId="6984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B06CA9E">
            <w:pPr>
              <w:spacing w:after="0" w:line="240" w:lineRule="auto"/>
            </w:pPr>
            <w:r>
              <w:rPr>
                <w:sz w:val="18"/>
              </w:rPr>
              <w:t>Engagement</w:t>
            </w:r>
          </w:p>
        </w:tc>
        <w:tc>
          <w:tcPr>
            <w:tcW w:w="2045" w:type="dxa"/>
            <w:vAlign w:val="center"/>
          </w:tcPr>
          <w:p w14:paraId="6E97DEF8">
            <w:pPr>
              <w:spacing w:after="0" w:line="240" w:lineRule="auto"/>
            </w:pPr>
            <w:r>
              <w:rPr>
                <w:sz w:val="18"/>
              </w:rPr>
              <w:t>PlayTimeHours</w:t>
            </w:r>
          </w:p>
        </w:tc>
        <w:tc>
          <w:tcPr>
            <w:tcW w:w="2045" w:type="dxa"/>
            <w:vAlign w:val="center"/>
          </w:tcPr>
          <w:p w14:paraId="5351CC8C">
            <w:pPr>
              <w:spacing w:after="0" w:line="240" w:lineRule="auto"/>
            </w:pPr>
            <w:r>
              <w:rPr>
                <w:sz w:val="18"/>
              </w:rPr>
              <w:t>2,446</w:t>
            </w:r>
          </w:p>
        </w:tc>
        <w:tc>
          <w:tcPr>
            <w:tcW w:w="2045" w:type="dxa"/>
            <w:vAlign w:val="center"/>
          </w:tcPr>
          <w:p w14:paraId="04210BD4">
            <w:pPr>
              <w:spacing w:after="0" w:line="240" w:lineRule="auto"/>
            </w:pPr>
            <w:r>
              <w:rPr>
                <w:sz w:val="18"/>
              </w:rPr>
              <w:t>Values &gt; 38.35 hours capped to 38.35 hours (Upper Bound)</w:t>
            </w:r>
          </w:p>
        </w:tc>
        <w:tc>
          <w:tcPr>
            <w:tcW w:w="2045" w:type="dxa"/>
            <w:vAlign w:val="center"/>
          </w:tcPr>
          <w:p w14:paraId="02CF65E3">
            <w:pPr>
              <w:spacing w:after="0" w:line="240" w:lineRule="auto"/>
            </w:pPr>
            <w:r>
              <w:rPr>
                <w:sz w:val="18"/>
              </w:rPr>
              <w:t>Statistical IQR Outlier capping</w:t>
            </w:r>
          </w:p>
        </w:tc>
      </w:tr>
      <w:tr w14:paraId="1353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8503081">
            <w:pPr>
              <w:spacing w:after="0" w:line="240" w:lineRule="auto"/>
            </w:pPr>
            <w:r>
              <w:rPr>
                <w:sz w:val="18"/>
              </w:rPr>
              <w:t>Engagement</w:t>
            </w:r>
          </w:p>
        </w:tc>
        <w:tc>
          <w:tcPr>
            <w:tcW w:w="2045" w:type="dxa"/>
            <w:vAlign w:val="center"/>
          </w:tcPr>
          <w:p w14:paraId="5761786A">
            <w:pPr>
              <w:spacing w:after="0" w:line="240" w:lineRule="auto"/>
            </w:pPr>
            <w:r>
              <w:rPr>
                <w:sz w:val="18"/>
              </w:rPr>
              <w:t>AchievementsUnlocked</w:t>
            </w:r>
          </w:p>
        </w:tc>
        <w:tc>
          <w:tcPr>
            <w:tcW w:w="2045" w:type="dxa"/>
            <w:vAlign w:val="center"/>
          </w:tcPr>
          <w:p w14:paraId="51555326">
            <w:pPr>
              <w:spacing w:after="0" w:line="240" w:lineRule="auto"/>
            </w:pPr>
            <w:r>
              <w:rPr>
                <w:sz w:val="18"/>
              </w:rPr>
              <w:t>708</w:t>
            </w:r>
          </w:p>
        </w:tc>
        <w:tc>
          <w:tcPr>
            <w:tcW w:w="2045" w:type="dxa"/>
            <w:vAlign w:val="center"/>
          </w:tcPr>
          <w:p w14:paraId="5163AE13">
            <w:pPr>
              <w:spacing w:after="0" w:line="240" w:lineRule="auto"/>
            </w:pPr>
            <w:r>
              <w:rPr>
                <w:sz w:val="18"/>
              </w:rPr>
              <w:t>Values &gt; 75.5 capped to 75.5 (Upper Bound)</w:t>
            </w:r>
          </w:p>
        </w:tc>
        <w:tc>
          <w:tcPr>
            <w:tcW w:w="2045" w:type="dxa"/>
            <w:vAlign w:val="center"/>
          </w:tcPr>
          <w:p w14:paraId="7819DD80">
            <w:pPr>
              <w:spacing w:after="0" w:line="240" w:lineRule="auto"/>
            </w:pPr>
            <w:r>
              <w:rPr>
                <w:sz w:val="18"/>
              </w:rPr>
              <w:t>Statistical IQR Outlier capping</w:t>
            </w:r>
          </w:p>
        </w:tc>
      </w:tr>
      <w:tr w14:paraId="6CCB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1808475">
            <w:pPr>
              <w:spacing w:after="0" w:line="240" w:lineRule="auto"/>
            </w:pPr>
            <w:r>
              <w:rPr>
                <w:sz w:val="18"/>
              </w:rPr>
              <w:t>Engagement</w:t>
            </w:r>
          </w:p>
        </w:tc>
        <w:tc>
          <w:tcPr>
            <w:tcW w:w="2045" w:type="dxa"/>
            <w:vAlign w:val="center"/>
          </w:tcPr>
          <w:p w14:paraId="3A6638E6">
            <w:pPr>
              <w:spacing w:after="0" w:line="240" w:lineRule="auto"/>
            </w:pPr>
            <w:r>
              <w:rPr>
                <w:sz w:val="18"/>
              </w:rPr>
              <w:t>InGamePurchases</w:t>
            </w:r>
          </w:p>
        </w:tc>
        <w:tc>
          <w:tcPr>
            <w:tcW w:w="2045" w:type="dxa"/>
            <w:vAlign w:val="center"/>
          </w:tcPr>
          <w:p w14:paraId="7EA19277">
            <w:pPr>
              <w:spacing w:after="0" w:line="240" w:lineRule="auto"/>
            </w:pPr>
            <w:r>
              <w:rPr>
                <w:sz w:val="18"/>
              </w:rPr>
              <w:t>0</w:t>
            </w:r>
          </w:p>
        </w:tc>
        <w:tc>
          <w:tcPr>
            <w:tcW w:w="2045" w:type="dxa"/>
            <w:vAlign w:val="center"/>
          </w:tcPr>
          <w:p w14:paraId="177CCC67">
            <w:pPr>
              <w:spacing w:after="0" w:line="240" w:lineRule="auto"/>
            </w:pPr>
            <w:r>
              <w:rPr>
                <w:sz w:val="18"/>
              </w:rPr>
              <w:t>Retained as-is (0 to 19 purchases)</w:t>
            </w:r>
          </w:p>
        </w:tc>
        <w:tc>
          <w:tcPr>
            <w:tcW w:w="2045" w:type="dxa"/>
            <w:vAlign w:val="center"/>
          </w:tcPr>
          <w:p w14:paraId="29BA57EC">
            <w:pPr>
              <w:spacing w:after="0" w:line="240" w:lineRule="auto"/>
            </w:pPr>
            <w:r>
              <w:rPr>
                <w:sz w:val="18"/>
              </w:rPr>
              <w:t>Preserved authentic high-value 'Whale' player behavior</w:t>
            </w:r>
          </w:p>
        </w:tc>
      </w:tr>
      <w:tr w14:paraId="5434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F382728">
            <w:pPr>
              <w:spacing w:after="0" w:line="240" w:lineRule="auto"/>
            </w:pPr>
            <w:r>
              <w:rPr>
                <w:sz w:val="18"/>
              </w:rPr>
              <w:t>Engagement</w:t>
            </w:r>
          </w:p>
        </w:tc>
        <w:tc>
          <w:tcPr>
            <w:tcW w:w="2045" w:type="dxa"/>
            <w:vAlign w:val="center"/>
          </w:tcPr>
          <w:p w14:paraId="084301E0">
            <w:pPr>
              <w:spacing w:after="0" w:line="240" w:lineRule="auto"/>
            </w:pPr>
            <w:r>
              <w:rPr>
                <w:sz w:val="18"/>
              </w:rPr>
              <w:t>AvgSessionDurationMinutes &amp; PlayerLevel</w:t>
            </w:r>
          </w:p>
        </w:tc>
        <w:tc>
          <w:tcPr>
            <w:tcW w:w="2045" w:type="dxa"/>
            <w:vAlign w:val="center"/>
          </w:tcPr>
          <w:p w14:paraId="0DABA7C6">
            <w:pPr>
              <w:spacing w:after="0" w:line="240" w:lineRule="auto"/>
            </w:pPr>
            <w:r>
              <w:rPr>
                <w:sz w:val="18"/>
              </w:rPr>
              <w:t>0</w:t>
            </w:r>
          </w:p>
        </w:tc>
        <w:tc>
          <w:tcPr>
            <w:tcW w:w="2045" w:type="dxa"/>
            <w:vAlign w:val="center"/>
          </w:tcPr>
          <w:p w14:paraId="0D500FA7">
            <w:pPr>
              <w:spacing w:after="0" w:line="240" w:lineRule="auto"/>
            </w:pPr>
            <w:r>
              <w:rPr>
                <w:sz w:val="18"/>
              </w:rPr>
              <w:t>Retained as-is (all values naturally within IQR bounds)</w:t>
            </w:r>
          </w:p>
        </w:tc>
        <w:tc>
          <w:tcPr>
            <w:tcW w:w="2045" w:type="dxa"/>
            <w:vAlign w:val="center"/>
          </w:tcPr>
          <w:p w14:paraId="53754066">
            <w:pPr>
              <w:spacing w:after="0" w:line="240" w:lineRule="auto"/>
            </w:pPr>
            <w:r>
              <w:rPr>
                <w:sz w:val="18"/>
              </w:rPr>
              <w:t>Verified zero outliers present</w:t>
            </w:r>
          </w:p>
        </w:tc>
      </w:tr>
    </w:tbl>
    <w:p w14:paraId="7B749DD2"/>
    <w:p w14:paraId="43D7896F">
      <w:pPr>
        <w:spacing w:before="200" w:after="100"/>
      </w:pPr>
      <w:r>
        <w:rPr>
          <w:rFonts w:ascii="Aptos Display" w:hAnsi="Aptos Display"/>
          <w:b/>
          <w:sz w:val="30"/>
        </w:rPr>
        <w:t>5. Cleaning &amp; Preprocessing Actions</w:t>
      </w:r>
    </w:p>
    <w:p w14:paraId="3EC042D0">
      <w:r>
        <w:rPr>
          <w:rFonts w:ascii="Aptos Display" w:hAnsi="Aptos Display"/>
          <w:b/>
          <w:sz w:val="24"/>
        </w:rPr>
        <w:t>5.1 Behaviour Extensions</w:t>
      </w:r>
    </w:p>
    <w:p w14:paraId="70CFF715">
      <w:pPr>
        <w:spacing w:after="100"/>
      </w:pPr>
      <w:r>
        <w:t>The dataset was structurally clean: 43,058 records, five columns, no missing cells and no duplicates. The only transformation was text standardization in Location. USA was changed to Usa for 16,592 records and UK was changed to Uk for 587 records, giving 17,179 changed cells.</w:t>
      </w:r>
    </w:p>
    <w:p w14:paraId="7546D271">
      <w:r>
        <w:rPr>
          <w:rFonts w:ascii="Aptos Display" w:hAnsi="Aptos Display"/>
          <w:b/>
          <w:sz w:val="24"/>
        </w:rPr>
        <w:t>5.2 Monetisation</w:t>
      </w:r>
    </w:p>
    <w:p w14:paraId="390435F5">
      <w:pPr>
        <w:spacing w:after="100"/>
      </w:pPr>
      <w:r>
        <w:t>The Monetisation dataset required thorough preprocessing. Raw missingness and extreme positively skewed outliers were treated using robust statistical techniques:</w:t>
      </w:r>
    </w:p>
    <w:p w14:paraId="7196CA0C">
      <w:pPr>
        <w:pStyle w:val="24"/>
      </w:pPr>
      <w:r>
        <w:t>Missing Value Treatment: Numerical nulls in InAppPurchaseAmount, FirstPurchaseDaysAfterInstall, and LTV were imputed using their column Medians. Categorical missingness in PaymentMethod and Location was consolidated into standard modes.</w:t>
      </w:r>
    </w:p>
    <w:p w14:paraId="40D22A97">
      <w:pPr>
        <w:pStyle w:val="24"/>
      </w:pPr>
      <w:r>
        <w:t>IQR Outlier Capping ($1.5 × IQR): Upper bounds were applied to isolate true distribution signals.</w:t>
      </w:r>
    </w:p>
    <w:p w14:paraId="59B8C2FD">
      <w:pPr>
        <w:jc w:val="center"/>
      </w:pPr>
      <w:r>
        <w:rPr>
          <w:i/>
        </w:rPr>
        <w:t>InAppPurchaseAmount: Q1 = 9.82, Q3 = 26.23, IQR = 16.41 → Upper Bound = $50.845.</w:t>
      </w:r>
    </w:p>
    <w:p w14:paraId="201D3F7A">
      <w:pPr>
        <w:jc w:val="center"/>
      </w:pPr>
      <w:r>
        <w:rPr>
          <w:i/>
        </w:rPr>
        <w:t>FirstPurchaseDaysAfterInstall: Q1 = 3.0, Q3 = 21.0, IQR = 18.0 → Upper Bound = 22.5 days.</w:t>
      </w:r>
    </w:p>
    <w:p w14:paraId="1D18DD73">
      <w:pPr>
        <w:jc w:val="center"/>
      </w:pPr>
      <w:r>
        <w:rPr>
          <w:i/>
        </w:rPr>
        <w:t>PurchaseFrequencyPerMonth: Q1 = 0.32, Q3 = 1.32, IQR = 1.00 → Upper Bound = 2.82.</w:t>
      </w:r>
    </w:p>
    <w:p w14:paraId="5DF44C1C">
      <w:pPr>
        <w:jc w:val="center"/>
      </w:pPr>
      <w:r>
        <w:rPr>
          <w:i/>
        </w:rPr>
        <w:t>OfferResponseRate: Q1 = 0.098, Q3 = 0.231, IQR = 0.132 → Upper Bound = 0.4295.</w:t>
      </w:r>
    </w:p>
    <w:p w14:paraId="0018A505">
      <w:pPr>
        <w:jc w:val="center"/>
      </w:pPr>
      <w:r>
        <w:rPr>
          <w:i/>
        </w:rPr>
        <w:t>LTV: Q1 = 11.31, Q3 = 30.47, IQR = 19.16 → Upper Bound = $59.21.</w:t>
      </w:r>
    </w:p>
    <w:p w14:paraId="4C7F51EF">
      <w:pPr>
        <w:pStyle w:val="24"/>
      </w:pPr>
      <w:r>
        <w:t>Formatting &amp; Consistency: InAppPurchaseAmount and LTV were formatted as Currency ($) with 2 decimal places. LastPurchaseDate was standardized to YYYY-MM-DD.</w:t>
      </w:r>
    </w:p>
    <w:p w14:paraId="684948EE">
      <w:pPr>
        <w:pStyle w:val="24"/>
        <w:numPr>
          <w:ilvl w:val="0"/>
          <w:numId w:val="0"/>
        </w:numPr>
        <w:ind w:left="360" w:hanging="360"/>
      </w:pPr>
    </w:p>
    <w:p w14:paraId="73D17036">
      <w:pPr>
        <w:pStyle w:val="24"/>
        <w:numPr>
          <w:ilvl w:val="0"/>
          <w:numId w:val="0"/>
        </w:numPr>
        <w:ind w:left="360" w:hanging="360"/>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92240" cy="2425065"/>
            <wp:effectExtent l="0" t="0" r="3810" b="0"/>
            <wp:wrapNone/>
            <wp:docPr id="1598290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0940" name="Picture 2"/>
                    <pic:cNvPicPr>
                      <a:picLocks noChangeAspect="1"/>
                    </pic:cNvPicPr>
                  </pic:nvPicPr>
                  <pic:blipFill>
                    <a:blip r:embed="rId7"/>
                    <a:stretch>
                      <a:fillRect/>
                    </a:stretch>
                  </pic:blipFill>
                  <pic:spPr>
                    <a:xfrm>
                      <a:off x="0" y="0"/>
                      <a:ext cx="6492240" cy="2425065"/>
                    </a:xfrm>
                    <a:prstGeom prst="rect">
                      <a:avLst/>
                    </a:prstGeom>
                  </pic:spPr>
                </pic:pic>
              </a:graphicData>
            </a:graphic>
          </wp:anchor>
        </w:drawing>
      </w:r>
    </w:p>
    <w:p w14:paraId="68BA65CA">
      <w:pPr>
        <w:pStyle w:val="24"/>
        <w:numPr>
          <w:ilvl w:val="0"/>
          <w:numId w:val="0"/>
        </w:numPr>
        <w:ind w:left="360" w:hanging="360"/>
      </w:pPr>
    </w:p>
    <w:p w14:paraId="1443955D">
      <w:pPr>
        <w:pStyle w:val="24"/>
        <w:numPr>
          <w:ilvl w:val="0"/>
          <w:numId w:val="0"/>
        </w:numPr>
        <w:ind w:left="360" w:hanging="360"/>
      </w:pPr>
    </w:p>
    <w:p w14:paraId="604398CE">
      <w:pPr>
        <w:pStyle w:val="24"/>
        <w:numPr>
          <w:ilvl w:val="0"/>
          <w:numId w:val="0"/>
        </w:numPr>
        <w:ind w:left="360" w:hanging="360"/>
      </w:pPr>
    </w:p>
    <w:p w14:paraId="5D57DADC">
      <w:pPr>
        <w:pStyle w:val="24"/>
        <w:numPr>
          <w:ilvl w:val="0"/>
          <w:numId w:val="0"/>
        </w:numPr>
        <w:ind w:left="360" w:hanging="360"/>
      </w:pPr>
    </w:p>
    <w:p w14:paraId="178CB5CD">
      <w:pPr>
        <w:pStyle w:val="24"/>
        <w:numPr>
          <w:ilvl w:val="0"/>
          <w:numId w:val="0"/>
        </w:numPr>
        <w:ind w:left="360" w:hanging="360"/>
      </w:pPr>
    </w:p>
    <w:p w14:paraId="59DC8AF1">
      <w:pPr>
        <w:pStyle w:val="24"/>
        <w:numPr>
          <w:ilvl w:val="0"/>
          <w:numId w:val="0"/>
        </w:numPr>
        <w:ind w:left="360" w:hanging="360"/>
      </w:pPr>
    </w:p>
    <w:p w14:paraId="1A14FAE9">
      <w:pPr>
        <w:pStyle w:val="24"/>
        <w:numPr>
          <w:ilvl w:val="0"/>
          <w:numId w:val="0"/>
        </w:numPr>
        <w:ind w:left="360" w:hanging="360"/>
      </w:pPr>
    </w:p>
    <w:p w14:paraId="0DCFF96A">
      <w:pPr>
        <w:pStyle w:val="24"/>
        <w:numPr>
          <w:ilvl w:val="0"/>
          <w:numId w:val="0"/>
        </w:numPr>
        <w:ind w:left="360" w:hanging="360"/>
      </w:pPr>
    </w:p>
    <w:p w14:paraId="5DD4EB94">
      <w:pPr>
        <w:pStyle w:val="24"/>
        <w:numPr>
          <w:ilvl w:val="0"/>
          <w:numId w:val="0"/>
        </w:numPr>
        <w:ind w:left="360" w:hanging="360"/>
      </w:pPr>
    </w:p>
    <w:p w14:paraId="5E6A84C5">
      <w:pPr>
        <w:pStyle w:val="24"/>
        <w:numPr>
          <w:ilvl w:val="0"/>
          <w:numId w:val="0"/>
        </w:numPr>
        <w:ind w:left="360" w:hanging="360"/>
      </w:pPr>
    </w:p>
    <w:p w14:paraId="06D2B5E3">
      <w:pPr>
        <w:pStyle w:val="24"/>
        <w:numPr>
          <w:ilvl w:val="0"/>
          <w:numId w:val="0"/>
        </w:numPr>
        <w:ind w:left="360" w:hanging="360"/>
      </w:pPr>
    </w:p>
    <w:p w14:paraId="5DF7A328">
      <w:pPr>
        <w:pStyle w:val="24"/>
        <w:numPr>
          <w:ilvl w:val="0"/>
          <w:numId w:val="0"/>
        </w:numPr>
        <w:ind w:left="360" w:hanging="360"/>
      </w:pPr>
    </w:p>
    <w:p w14:paraId="75E33482">
      <w:pPr>
        <w:pStyle w:val="24"/>
        <w:numPr>
          <w:ilvl w:val="0"/>
          <w:numId w:val="0"/>
        </w:numPr>
        <w:ind w:left="360" w:hanging="360"/>
      </w:pPr>
    </w:p>
    <w:p w14:paraId="5F2065AE">
      <w:pPr>
        <w:pStyle w:val="24"/>
        <w:numPr>
          <w:ilvl w:val="0"/>
          <w:numId w:val="0"/>
        </w:num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AB0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8" w:type="dxa"/>
            <w:shd w:val="clear" w:color="auto" w:fill="D9EAF7"/>
          </w:tcPr>
          <w:p w14:paraId="4B77229B">
            <w:pPr>
              <w:spacing w:after="0" w:line="240" w:lineRule="auto"/>
            </w:pPr>
            <w:r>
              <w:rPr>
                <w:b/>
                <w:sz w:val="18"/>
              </w:rPr>
              <w:t>Field</w:t>
            </w:r>
          </w:p>
        </w:tc>
        <w:tc>
          <w:tcPr>
            <w:tcW w:w="3408" w:type="dxa"/>
            <w:shd w:val="clear" w:color="auto" w:fill="D9EAF7"/>
          </w:tcPr>
          <w:p w14:paraId="34776130">
            <w:pPr>
              <w:spacing w:after="0" w:line="240" w:lineRule="auto"/>
            </w:pPr>
            <w:r>
              <w:rPr>
                <w:b/>
                <w:sz w:val="18"/>
              </w:rPr>
              <w:t>Raw issue</w:t>
            </w:r>
          </w:p>
        </w:tc>
        <w:tc>
          <w:tcPr>
            <w:tcW w:w="3408" w:type="dxa"/>
            <w:shd w:val="clear" w:color="auto" w:fill="D9EAF7"/>
          </w:tcPr>
          <w:p w14:paraId="62D82FD9">
            <w:pPr>
              <w:spacing w:after="0" w:line="240" w:lineRule="auto"/>
            </w:pPr>
            <w:r>
              <w:rPr>
                <w:b/>
                <w:sz w:val="18"/>
              </w:rPr>
              <w:t>Cleaned result</w:t>
            </w:r>
          </w:p>
        </w:tc>
      </w:tr>
      <w:tr w14:paraId="29B3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4FDF45">
            <w:pPr>
              <w:spacing w:after="0" w:line="240" w:lineRule="auto"/>
            </w:pPr>
            <w:r>
              <w:rPr>
                <w:sz w:val="18"/>
              </w:rPr>
              <w:t>Location</w:t>
            </w:r>
          </w:p>
        </w:tc>
        <w:tc>
          <w:tcPr>
            <w:tcW w:w="3408" w:type="dxa"/>
            <w:vAlign w:val="center"/>
          </w:tcPr>
          <w:p w14:paraId="7034FAE2">
            <w:pPr>
              <w:spacing w:after="0" w:line="240" w:lineRule="auto"/>
            </w:pPr>
            <w:r>
              <w:rPr>
                <w:sz w:val="18"/>
              </w:rPr>
              <w:t>60 missing + inconsistent country/case labels</w:t>
            </w:r>
          </w:p>
        </w:tc>
        <w:tc>
          <w:tcPr>
            <w:tcW w:w="3408" w:type="dxa"/>
            <w:vAlign w:val="center"/>
          </w:tcPr>
          <w:p w14:paraId="3B899F5F">
            <w:pPr>
              <w:spacing w:after="0" w:line="240" w:lineRule="auto"/>
            </w:pPr>
            <w:r>
              <w:rPr>
                <w:sz w:val="18"/>
              </w:rPr>
              <w:t>Standardized labels; missing values imputed with mode</w:t>
            </w:r>
          </w:p>
        </w:tc>
      </w:tr>
      <w:tr w14:paraId="556F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3DFA0C7">
            <w:pPr>
              <w:spacing w:after="0" w:line="240" w:lineRule="auto"/>
            </w:pPr>
            <w:r>
              <w:rPr>
                <w:sz w:val="18"/>
              </w:rPr>
              <w:t>InAppPurchaseAmount</w:t>
            </w:r>
          </w:p>
        </w:tc>
        <w:tc>
          <w:tcPr>
            <w:tcW w:w="3408" w:type="dxa"/>
            <w:vAlign w:val="center"/>
          </w:tcPr>
          <w:p w14:paraId="6527EC59">
            <w:pPr>
              <w:spacing w:after="0" w:line="240" w:lineRule="auto"/>
            </w:pPr>
            <w:r>
              <w:rPr>
                <w:sz w:val="18"/>
              </w:rPr>
              <w:t>136 missing; extreme positive skew up to $4,964.45</w:t>
            </w:r>
          </w:p>
        </w:tc>
        <w:tc>
          <w:tcPr>
            <w:tcW w:w="3408" w:type="dxa"/>
            <w:vAlign w:val="center"/>
          </w:tcPr>
          <w:p w14:paraId="47A30E7D">
            <w:pPr>
              <w:spacing w:after="0" w:line="240" w:lineRule="auto"/>
            </w:pPr>
            <w:r>
              <w:rPr>
                <w:sz w:val="18"/>
              </w:rPr>
              <w:t>Median imputed; 2,964 outlier values capped at $50.845</w:t>
            </w:r>
          </w:p>
        </w:tc>
      </w:tr>
      <w:tr w14:paraId="0D7C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E9E958">
            <w:pPr>
              <w:spacing w:after="0" w:line="240" w:lineRule="auto"/>
            </w:pPr>
            <w:r>
              <w:rPr>
                <w:sz w:val="18"/>
              </w:rPr>
              <w:t>FirstPurchaseDaysAfterInstall</w:t>
            </w:r>
          </w:p>
        </w:tc>
        <w:tc>
          <w:tcPr>
            <w:tcW w:w="3408" w:type="dxa"/>
            <w:vAlign w:val="center"/>
          </w:tcPr>
          <w:p w14:paraId="23A9B554">
            <w:pPr>
              <w:spacing w:after="0" w:line="240" w:lineRule="auto"/>
            </w:pPr>
            <w:r>
              <w:rPr>
                <w:sz w:val="18"/>
              </w:rPr>
              <w:t>136 missing; extreme skew</w:t>
            </w:r>
          </w:p>
        </w:tc>
        <w:tc>
          <w:tcPr>
            <w:tcW w:w="3408" w:type="dxa"/>
            <w:vAlign w:val="center"/>
          </w:tcPr>
          <w:p w14:paraId="409E219F">
            <w:pPr>
              <w:spacing w:after="0" w:line="240" w:lineRule="auto"/>
            </w:pPr>
            <w:r>
              <w:rPr>
                <w:sz w:val="18"/>
              </w:rPr>
              <w:t>Median imputed; 8,735 values capped at 22.5 days</w:t>
            </w:r>
          </w:p>
        </w:tc>
      </w:tr>
      <w:tr w14:paraId="1F05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9B9F4A">
            <w:pPr>
              <w:spacing w:after="0" w:line="240" w:lineRule="auto"/>
            </w:pPr>
            <w:r>
              <w:rPr>
                <w:sz w:val="18"/>
              </w:rPr>
              <w:t>PaymentMethod</w:t>
            </w:r>
          </w:p>
        </w:tc>
        <w:tc>
          <w:tcPr>
            <w:tcW w:w="3408" w:type="dxa"/>
            <w:vAlign w:val="center"/>
          </w:tcPr>
          <w:p w14:paraId="6D3A7FCB">
            <w:pPr>
              <w:spacing w:after="0" w:line="240" w:lineRule="auto"/>
            </w:pPr>
            <w:r>
              <w:rPr>
                <w:sz w:val="18"/>
              </w:rPr>
              <w:t>136 missing + detailed payment labels</w:t>
            </w:r>
          </w:p>
        </w:tc>
        <w:tc>
          <w:tcPr>
            <w:tcW w:w="3408" w:type="dxa"/>
            <w:vAlign w:val="center"/>
          </w:tcPr>
          <w:p w14:paraId="78458B80">
            <w:pPr>
              <w:spacing w:after="0" w:line="240" w:lineRule="auto"/>
            </w:pPr>
            <w:r>
              <w:rPr>
                <w:sz w:val="18"/>
              </w:rPr>
              <w:t>Consolidated to Card, Wallet, CarrierBilling and Other</w:t>
            </w:r>
          </w:p>
        </w:tc>
      </w:tr>
      <w:tr w14:paraId="2B34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5EB5BA">
            <w:pPr>
              <w:spacing w:after="0" w:line="240" w:lineRule="auto"/>
            </w:pPr>
            <w:r>
              <w:rPr>
                <w:sz w:val="18"/>
              </w:rPr>
              <w:t>LastPurchaseDate</w:t>
            </w:r>
          </w:p>
        </w:tc>
        <w:tc>
          <w:tcPr>
            <w:tcW w:w="3408" w:type="dxa"/>
            <w:vAlign w:val="center"/>
          </w:tcPr>
          <w:p w14:paraId="6A6E71F1">
            <w:pPr>
              <w:spacing w:after="0" w:line="240" w:lineRule="auto"/>
            </w:pPr>
            <w:r>
              <w:rPr>
                <w:sz w:val="18"/>
              </w:rPr>
              <w:t>136 missing</w:t>
            </w:r>
          </w:p>
        </w:tc>
        <w:tc>
          <w:tcPr>
            <w:tcW w:w="3408" w:type="dxa"/>
            <w:vAlign w:val="center"/>
          </w:tcPr>
          <w:p w14:paraId="2A160E6F">
            <w:pPr>
              <w:spacing w:after="0" w:line="240" w:lineRule="auto"/>
            </w:pPr>
            <w:r>
              <w:rPr>
                <w:sz w:val="18"/>
              </w:rPr>
              <w:t>Standardized date format (YYYY-MM-DD); missing replaced with baseline date</w:t>
            </w:r>
          </w:p>
        </w:tc>
      </w:tr>
      <w:tr w14:paraId="4476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5D340BE">
            <w:pPr>
              <w:spacing w:after="0" w:line="240" w:lineRule="auto"/>
            </w:pPr>
            <w:r>
              <w:rPr>
                <w:sz w:val="18"/>
              </w:rPr>
              <w:t>PurchaseFrequencyPerMonth</w:t>
            </w:r>
          </w:p>
        </w:tc>
        <w:tc>
          <w:tcPr>
            <w:tcW w:w="3408" w:type="dxa"/>
            <w:vAlign w:val="center"/>
          </w:tcPr>
          <w:p w14:paraId="64676CB9">
            <w:pPr>
              <w:spacing w:after="0" w:line="240" w:lineRule="auto"/>
            </w:pPr>
            <w:r>
              <w:rPr>
                <w:sz w:val="18"/>
              </w:rPr>
              <w:t>High frequency outliers up to 11.66</w:t>
            </w:r>
          </w:p>
        </w:tc>
        <w:tc>
          <w:tcPr>
            <w:tcW w:w="3408" w:type="dxa"/>
            <w:vAlign w:val="center"/>
          </w:tcPr>
          <w:p w14:paraId="6EC2DBC8">
            <w:pPr>
              <w:spacing w:after="0" w:line="240" w:lineRule="auto"/>
            </w:pPr>
            <w:r>
              <w:rPr>
                <w:sz w:val="18"/>
              </w:rPr>
              <w:t>1,835 outlier values capped at 2.82</w:t>
            </w:r>
          </w:p>
        </w:tc>
      </w:tr>
      <w:tr w14:paraId="51D2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5B4AB6">
            <w:pPr>
              <w:spacing w:after="0" w:line="240" w:lineRule="auto"/>
            </w:pPr>
            <w:r>
              <w:rPr>
                <w:sz w:val="18"/>
              </w:rPr>
              <w:t>OfferResponseRate</w:t>
            </w:r>
          </w:p>
        </w:tc>
        <w:tc>
          <w:tcPr>
            <w:tcW w:w="3408" w:type="dxa"/>
            <w:vAlign w:val="center"/>
          </w:tcPr>
          <w:p w14:paraId="194DE94F">
            <w:pPr>
              <w:spacing w:after="0" w:line="240" w:lineRule="auto"/>
            </w:pPr>
            <w:r>
              <w:rPr>
                <w:sz w:val="18"/>
              </w:rPr>
              <w:t>Extreme outliers up to 0.52; precision inconsistency</w:t>
            </w:r>
          </w:p>
        </w:tc>
        <w:tc>
          <w:tcPr>
            <w:tcW w:w="3408" w:type="dxa"/>
            <w:vAlign w:val="center"/>
          </w:tcPr>
          <w:p w14:paraId="5CFC3039">
            <w:pPr>
              <w:spacing w:after="0" w:line="240" w:lineRule="auto"/>
            </w:pPr>
            <w:r>
              <w:rPr>
                <w:sz w:val="18"/>
              </w:rPr>
              <w:t>958 values capped at 0.4295; 4-decimal precision normalized</w:t>
            </w:r>
          </w:p>
        </w:tc>
      </w:tr>
      <w:tr w14:paraId="18A6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2169AAD">
            <w:pPr>
              <w:spacing w:after="0" w:line="240" w:lineRule="auto"/>
            </w:pPr>
            <w:r>
              <w:rPr>
                <w:sz w:val="18"/>
              </w:rPr>
              <w:t>LTV</w:t>
            </w:r>
          </w:p>
        </w:tc>
        <w:tc>
          <w:tcPr>
            <w:tcW w:w="3408" w:type="dxa"/>
            <w:vAlign w:val="center"/>
          </w:tcPr>
          <w:p w14:paraId="5838B251">
            <w:pPr>
              <w:spacing w:after="0" w:line="240" w:lineRule="auto"/>
            </w:pPr>
            <w:r>
              <w:rPr>
                <w:sz w:val="18"/>
              </w:rPr>
              <w:t>136 missing; extreme positive skew up to $5,994.12</w:t>
            </w:r>
          </w:p>
        </w:tc>
        <w:tc>
          <w:tcPr>
            <w:tcW w:w="3408" w:type="dxa"/>
            <w:vAlign w:val="center"/>
          </w:tcPr>
          <w:p w14:paraId="121DB49B">
            <w:pPr>
              <w:spacing w:after="0" w:line="240" w:lineRule="auto"/>
            </w:pPr>
            <w:r>
              <w:rPr>
                <w:sz w:val="18"/>
              </w:rPr>
              <w:t>Median imputed; 3,172 outlier values capped at $59.21</w:t>
            </w:r>
          </w:p>
        </w:tc>
      </w:tr>
    </w:tbl>
    <w:p w14:paraId="338A6406">
      <w:r>
        <w:rPr>
          <w:rFonts w:ascii="Aptos Display" w:hAnsi="Aptos Display"/>
          <w:b/>
          <w:sz w:val="24"/>
        </w:rPr>
        <w:t>5.3 Engagement</w:t>
      </w:r>
    </w:p>
    <w:p w14:paraId="5F2BF8E5">
      <w:pPr>
        <w:spacing w:after="100"/>
      </w:pPr>
      <w:r>
        <w:t>The Engagement dataset had zero missing records and zero duplicates. Outlier screening was executed across all numerical gameplay metrics:</w:t>
      </w:r>
    </w:p>
    <w:p w14:paraId="34F8444E">
      <w:pPr>
        <w:jc w:val="center"/>
      </w:pPr>
      <w:r>
        <w:rPr>
          <w:i/>
        </w:rPr>
        <w:t>PlayTimeHours: Q1 = 6.47, Q3 = 19.22, IQR = 12.75 → 2,446 values above the Upper Bound (38.35 hours) were capped.</w:t>
      </w:r>
    </w:p>
    <w:p w14:paraId="33613961">
      <w:pPr>
        <w:jc w:val="center"/>
      </w:pPr>
      <w:r>
        <w:rPr>
          <w:i/>
        </w:rPr>
        <w:t>AchievementsUnlocked: Q1 = 13.0, Q3 = 38.0, IQR = 25.0 → 708 values above the Upper Bound (75.5) were capped.</w:t>
      </w:r>
    </w:p>
    <w:p w14:paraId="33E31E4C">
      <w:pPr>
        <w:pStyle w:val="24"/>
      </w:pPr>
      <w:r>
        <w:t>InGamePurchases: Values range from 0 to 19 (Q1 = 0, Q3 = 1, Upper Bound = 2.5). Outlier capping was deliberately avoided under domain business logic, as purchases between 3 and 19 represent genuine high-value 'Whale' gamers rather than data capture errors.</w:t>
      </w:r>
    </w:p>
    <w:p w14:paraId="2B0E1E34">
      <w:pPr>
        <w:pStyle w:val="24"/>
      </w:pPr>
      <w:r>
        <w:t>AvgSessionDurationMinutes &amp; PlayerLevel: Both metrics fell completely within their natural statistical boundaries (10–179 min and 1–99 levels), requiring zero capping modifications.</w:t>
      </w:r>
    </w:p>
    <w:p w14:paraId="4B36D54F">
      <w:pPr>
        <w:pStyle w:val="24"/>
        <w:numPr>
          <w:ilvl w:val="0"/>
          <w:numId w:val="0"/>
        </w:numPr>
      </w:pPr>
    </w:p>
    <w:p w14:paraId="00E33551">
      <w:pPr>
        <w:pStyle w:val="24"/>
        <w:numPr>
          <w:ilvl w:val="0"/>
          <w:numId w:val="0"/>
        </w:numPr>
      </w:pPr>
      <w:bookmarkStart w:id="0" w:name="_GoBack"/>
      <w:bookmarkEnd w:id="0"/>
    </w:p>
    <w:p w14:paraId="5D99ECEA">
      <w:pPr>
        <w:pStyle w:val="24"/>
        <w:numPr>
          <w:ilvl w:val="0"/>
          <w:numId w:val="0"/>
        </w:numPr>
      </w:pPr>
    </w:p>
    <w:p w14:paraId="739CB34D">
      <w:pPr>
        <w:pStyle w:val="24"/>
        <w:numPr>
          <w:ilvl w:val="0"/>
          <w:numId w:val="0"/>
        </w:numPr>
      </w:pPr>
    </w:p>
    <w:p w14:paraId="69E38153">
      <w:pPr>
        <w:pStyle w:val="24"/>
        <w:numPr>
          <w:ilvl w:val="0"/>
          <w:numId w:val="0"/>
        </w:numPr>
      </w:pPr>
    </w:p>
    <w:p w14:paraId="3FA96834">
      <w:pPr>
        <w:pStyle w:val="24"/>
        <w:numPr>
          <w:ilvl w:val="0"/>
          <w:numId w:val="0"/>
        </w:num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492240" cy="3027045"/>
            <wp:effectExtent l="0" t="0" r="3810" b="1905"/>
            <wp:wrapNone/>
            <wp:docPr id="56837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6497" name="Picture 3"/>
                    <pic:cNvPicPr>
                      <a:picLocks noChangeAspect="1"/>
                    </pic:cNvPicPr>
                  </pic:nvPicPr>
                  <pic:blipFill>
                    <a:blip r:embed="rId8"/>
                    <a:stretch>
                      <a:fillRect/>
                    </a:stretch>
                  </pic:blipFill>
                  <pic:spPr>
                    <a:xfrm>
                      <a:off x="0" y="0"/>
                      <a:ext cx="6492240" cy="3027045"/>
                    </a:xfrm>
                    <a:prstGeom prst="rect">
                      <a:avLst/>
                    </a:prstGeom>
                  </pic:spPr>
                </pic:pic>
              </a:graphicData>
            </a:graphic>
          </wp:anchor>
        </w:drawing>
      </w:r>
    </w:p>
    <w:p w14:paraId="29692C36">
      <w:pPr>
        <w:pStyle w:val="24"/>
        <w:numPr>
          <w:ilvl w:val="0"/>
          <w:numId w:val="0"/>
        </w:numPr>
      </w:pPr>
    </w:p>
    <w:p w14:paraId="086A6BE1">
      <w:pPr>
        <w:pStyle w:val="24"/>
        <w:numPr>
          <w:ilvl w:val="0"/>
          <w:numId w:val="0"/>
        </w:numPr>
      </w:pPr>
    </w:p>
    <w:p w14:paraId="23CBADAA">
      <w:pPr>
        <w:pStyle w:val="24"/>
        <w:numPr>
          <w:ilvl w:val="0"/>
          <w:numId w:val="0"/>
        </w:numPr>
        <w:ind w:left="360" w:hanging="360"/>
      </w:pPr>
    </w:p>
    <w:p w14:paraId="334DEF0B">
      <w:pPr>
        <w:pStyle w:val="24"/>
        <w:numPr>
          <w:ilvl w:val="0"/>
          <w:numId w:val="0"/>
        </w:numPr>
        <w:ind w:left="360" w:hanging="360"/>
      </w:pPr>
    </w:p>
    <w:p w14:paraId="57233803">
      <w:pPr>
        <w:pStyle w:val="24"/>
        <w:numPr>
          <w:ilvl w:val="0"/>
          <w:numId w:val="0"/>
        </w:numPr>
        <w:ind w:left="360" w:hanging="360"/>
      </w:pPr>
    </w:p>
    <w:p w14:paraId="27DF5ED2">
      <w:pPr>
        <w:pStyle w:val="24"/>
        <w:numPr>
          <w:ilvl w:val="0"/>
          <w:numId w:val="0"/>
        </w:numPr>
        <w:ind w:left="360" w:hanging="360"/>
      </w:pPr>
    </w:p>
    <w:p w14:paraId="64B17798">
      <w:pPr>
        <w:pStyle w:val="24"/>
        <w:numPr>
          <w:ilvl w:val="0"/>
          <w:numId w:val="0"/>
        </w:numPr>
        <w:ind w:left="360" w:hanging="360"/>
      </w:pPr>
    </w:p>
    <w:p w14:paraId="1F31B073">
      <w:pPr>
        <w:pStyle w:val="24"/>
        <w:numPr>
          <w:ilvl w:val="0"/>
          <w:numId w:val="0"/>
        </w:numPr>
        <w:ind w:left="360" w:hanging="360"/>
      </w:pPr>
    </w:p>
    <w:p w14:paraId="6609F3C3">
      <w:pPr>
        <w:pStyle w:val="24"/>
        <w:numPr>
          <w:ilvl w:val="0"/>
          <w:numId w:val="0"/>
        </w:numPr>
        <w:ind w:left="360" w:hanging="360"/>
      </w:pPr>
    </w:p>
    <w:p w14:paraId="7EFB4FB8">
      <w:pPr>
        <w:pStyle w:val="24"/>
        <w:numPr>
          <w:ilvl w:val="0"/>
          <w:numId w:val="0"/>
        </w:numPr>
        <w:ind w:left="360" w:hanging="360"/>
      </w:pPr>
    </w:p>
    <w:p w14:paraId="2C140E2D">
      <w:pPr>
        <w:pStyle w:val="24"/>
        <w:numPr>
          <w:ilvl w:val="0"/>
          <w:numId w:val="0"/>
        </w:numPr>
        <w:ind w:left="360" w:hanging="360"/>
      </w:pPr>
    </w:p>
    <w:p w14:paraId="3533607B">
      <w:pPr>
        <w:pStyle w:val="24"/>
        <w:numPr>
          <w:ilvl w:val="0"/>
          <w:numId w:val="0"/>
        </w:numPr>
        <w:ind w:left="360" w:hanging="360"/>
      </w:pPr>
    </w:p>
    <w:p w14:paraId="6E0846FA">
      <w:pPr>
        <w:pStyle w:val="24"/>
        <w:numPr>
          <w:ilvl w:val="0"/>
          <w:numId w:val="0"/>
        </w:numPr>
        <w:ind w:left="360" w:hanging="360"/>
      </w:pPr>
    </w:p>
    <w:p w14:paraId="337391ED">
      <w:pPr>
        <w:pStyle w:val="24"/>
        <w:numPr>
          <w:ilvl w:val="0"/>
          <w:numId w:val="0"/>
        </w:numPr>
        <w:ind w:left="360" w:hanging="360"/>
      </w:pPr>
    </w:p>
    <w:p w14:paraId="0EFE9A83">
      <w:pPr>
        <w:pStyle w:val="24"/>
        <w:numPr>
          <w:ilvl w:val="0"/>
          <w:numId w:val="0"/>
        </w:numPr>
        <w:ind w:left="360" w:hanging="360"/>
      </w:pPr>
    </w:p>
    <w:p w14:paraId="65F3E99F">
      <w:pPr>
        <w:pStyle w:val="24"/>
        <w:numPr>
          <w:ilvl w:val="0"/>
          <w:numId w:val="0"/>
        </w:numPr>
        <w:ind w:left="360" w:hanging="360"/>
      </w:pPr>
    </w:p>
    <w:p w14:paraId="359EB391">
      <w:pPr>
        <w:pStyle w:val="24"/>
        <w:numPr>
          <w:ilvl w:val="0"/>
          <w:numId w:val="0"/>
        </w:numPr>
        <w:ind w:left="360" w:hanging="360"/>
      </w:pPr>
    </w:p>
    <w:p w14:paraId="57A98D80">
      <w:pPr>
        <w:spacing w:before="200" w:after="100"/>
      </w:pPr>
      <w:r>
        <w:rPr>
          <w:rFonts w:ascii="Aptos Display" w:hAnsi="Aptos Display"/>
          <w:b/>
          <w:sz w:val="30"/>
        </w:rPr>
        <w:t>6. Data Structure &amp; Key Attributes</w:t>
      </w:r>
    </w:p>
    <w:p w14:paraId="1EA654D3">
      <w:r>
        <w:rPr>
          <w:rFonts w:ascii="Aptos Display" w:hAnsi="Aptos Display"/>
          <w:b/>
          <w:sz w:val="24"/>
        </w:rPr>
        <w:t>Behavior Extensions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417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8" w:type="dxa"/>
            <w:shd w:val="clear" w:color="auto" w:fill="D9EAF7"/>
          </w:tcPr>
          <w:p w14:paraId="6E10D6A6">
            <w:pPr>
              <w:spacing w:after="0" w:line="240" w:lineRule="auto"/>
            </w:pPr>
            <w:r>
              <w:rPr>
                <w:b/>
                <w:sz w:val="18"/>
              </w:rPr>
              <w:t>Attribute</w:t>
            </w:r>
          </w:p>
        </w:tc>
        <w:tc>
          <w:tcPr>
            <w:tcW w:w="3408" w:type="dxa"/>
            <w:shd w:val="clear" w:color="auto" w:fill="D9EAF7"/>
          </w:tcPr>
          <w:p w14:paraId="1707A0C2">
            <w:pPr>
              <w:spacing w:after="0" w:line="240" w:lineRule="auto"/>
            </w:pPr>
            <w:r>
              <w:rPr>
                <w:b/>
                <w:sz w:val="18"/>
              </w:rPr>
              <w:t>Data type</w:t>
            </w:r>
          </w:p>
        </w:tc>
        <w:tc>
          <w:tcPr>
            <w:tcW w:w="3408" w:type="dxa"/>
            <w:shd w:val="clear" w:color="auto" w:fill="D9EAF7"/>
          </w:tcPr>
          <w:p w14:paraId="1AAEEF19">
            <w:pPr>
              <w:spacing w:after="0" w:line="240" w:lineRule="auto"/>
            </w:pPr>
            <w:r>
              <w:rPr>
                <w:b/>
                <w:sz w:val="18"/>
              </w:rPr>
              <w:t>Range / cardinality</w:t>
            </w:r>
          </w:p>
        </w:tc>
      </w:tr>
      <w:tr w14:paraId="42B9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B86B41D">
            <w:pPr>
              <w:spacing w:after="0" w:line="240" w:lineRule="auto"/>
            </w:pPr>
            <w:r>
              <w:rPr>
                <w:sz w:val="18"/>
              </w:rPr>
              <w:t>PlayerID</w:t>
            </w:r>
          </w:p>
        </w:tc>
        <w:tc>
          <w:tcPr>
            <w:tcW w:w="3408" w:type="dxa"/>
            <w:vAlign w:val="center"/>
          </w:tcPr>
          <w:p w14:paraId="09B8921B">
            <w:pPr>
              <w:spacing w:after="0" w:line="240" w:lineRule="auto"/>
            </w:pPr>
            <w:r>
              <w:rPr>
                <w:sz w:val="18"/>
              </w:rPr>
              <w:t>object</w:t>
            </w:r>
          </w:p>
        </w:tc>
        <w:tc>
          <w:tcPr>
            <w:tcW w:w="3408" w:type="dxa"/>
            <w:vAlign w:val="center"/>
          </w:tcPr>
          <w:p w14:paraId="08C9D9EC">
            <w:pPr>
              <w:spacing w:after="0" w:line="240" w:lineRule="auto"/>
            </w:pPr>
            <w:r>
              <w:rPr>
                <w:sz w:val="18"/>
              </w:rPr>
              <w:t>43,058 unique categories</w:t>
            </w:r>
          </w:p>
        </w:tc>
      </w:tr>
      <w:tr w14:paraId="514E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654FEA">
            <w:pPr>
              <w:spacing w:after="0" w:line="240" w:lineRule="auto"/>
            </w:pPr>
            <w:r>
              <w:rPr>
                <w:sz w:val="18"/>
              </w:rPr>
              <w:t>Location</w:t>
            </w:r>
          </w:p>
        </w:tc>
        <w:tc>
          <w:tcPr>
            <w:tcW w:w="3408" w:type="dxa"/>
            <w:vAlign w:val="center"/>
          </w:tcPr>
          <w:p w14:paraId="56B7BF0A">
            <w:pPr>
              <w:spacing w:after="0" w:line="240" w:lineRule="auto"/>
            </w:pPr>
            <w:r>
              <w:rPr>
                <w:sz w:val="18"/>
              </w:rPr>
              <w:t>object</w:t>
            </w:r>
          </w:p>
        </w:tc>
        <w:tc>
          <w:tcPr>
            <w:tcW w:w="3408" w:type="dxa"/>
            <w:vAlign w:val="center"/>
          </w:tcPr>
          <w:p w14:paraId="6228C65C">
            <w:pPr>
              <w:spacing w:after="0" w:line="240" w:lineRule="auto"/>
            </w:pPr>
            <w:r>
              <w:rPr>
                <w:sz w:val="18"/>
              </w:rPr>
              <w:t>8 unique categories</w:t>
            </w:r>
          </w:p>
        </w:tc>
      </w:tr>
      <w:tr w14:paraId="4F73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28B7672">
            <w:pPr>
              <w:spacing w:after="0" w:line="240" w:lineRule="auto"/>
            </w:pPr>
            <w:r>
              <w:rPr>
                <w:sz w:val="18"/>
              </w:rPr>
              <w:t>GameMode</w:t>
            </w:r>
          </w:p>
        </w:tc>
        <w:tc>
          <w:tcPr>
            <w:tcW w:w="3408" w:type="dxa"/>
            <w:vAlign w:val="center"/>
          </w:tcPr>
          <w:p w14:paraId="4B4BCCBA">
            <w:pPr>
              <w:spacing w:after="0" w:line="240" w:lineRule="auto"/>
            </w:pPr>
            <w:r>
              <w:rPr>
                <w:sz w:val="18"/>
              </w:rPr>
              <w:t>object</w:t>
            </w:r>
          </w:p>
        </w:tc>
        <w:tc>
          <w:tcPr>
            <w:tcW w:w="3408" w:type="dxa"/>
            <w:vAlign w:val="center"/>
          </w:tcPr>
          <w:p w14:paraId="35F9E931">
            <w:pPr>
              <w:spacing w:after="0" w:line="240" w:lineRule="auto"/>
            </w:pPr>
            <w:r>
              <w:rPr>
                <w:sz w:val="18"/>
              </w:rPr>
              <w:t>3 unique categories</w:t>
            </w:r>
          </w:p>
        </w:tc>
      </w:tr>
      <w:tr w14:paraId="2E32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87FD474">
            <w:pPr>
              <w:spacing w:after="0" w:line="240" w:lineRule="auto"/>
            </w:pPr>
            <w:r>
              <w:rPr>
                <w:sz w:val="18"/>
              </w:rPr>
              <w:t>PreferredPlaytimeWindow</w:t>
            </w:r>
          </w:p>
        </w:tc>
        <w:tc>
          <w:tcPr>
            <w:tcW w:w="3408" w:type="dxa"/>
            <w:vAlign w:val="center"/>
          </w:tcPr>
          <w:p w14:paraId="4B06242E">
            <w:pPr>
              <w:spacing w:after="0" w:line="240" w:lineRule="auto"/>
            </w:pPr>
            <w:r>
              <w:rPr>
                <w:sz w:val="18"/>
              </w:rPr>
              <w:t>object</w:t>
            </w:r>
          </w:p>
        </w:tc>
        <w:tc>
          <w:tcPr>
            <w:tcW w:w="3408" w:type="dxa"/>
            <w:vAlign w:val="center"/>
          </w:tcPr>
          <w:p w14:paraId="45A6E1D6">
            <w:pPr>
              <w:spacing w:after="0" w:line="240" w:lineRule="auto"/>
            </w:pPr>
            <w:r>
              <w:rPr>
                <w:sz w:val="18"/>
              </w:rPr>
              <w:t>4 unique categories</w:t>
            </w:r>
          </w:p>
        </w:tc>
      </w:tr>
      <w:tr w14:paraId="75BF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915846">
            <w:pPr>
              <w:spacing w:after="0" w:line="240" w:lineRule="auto"/>
            </w:pPr>
            <w:r>
              <w:rPr>
                <w:sz w:val="18"/>
              </w:rPr>
              <w:t>ItemCategory</w:t>
            </w:r>
          </w:p>
        </w:tc>
        <w:tc>
          <w:tcPr>
            <w:tcW w:w="3408" w:type="dxa"/>
            <w:vAlign w:val="center"/>
          </w:tcPr>
          <w:p w14:paraId="4DF469B8">
            <w:pPr>
              <w:spacing w:after="0" w:line="240" w:lineRule="auto"/>
            </w:pPr>
            <w:r>
              <w:rPr>
                <w:sz w:val="18"/>
              </w:rPr>
              <w:t>object</w:t>
            </w:r>
          </w:p>
        </w:tc>
        <w:tc>
          <w:tcPr>
            <w:tcW w:w="3408" w:type="dxa"/>
            <w:vAlign w:val="center"/>
          </w:tcPr>
          <w:p w14:paraId="34888E16">
            <w:pPr>
              <w:spacing w:after="0" w:line="240" w:lineRule="auto"/>
            </w:pPr>
            <w:r>
              <w:rPr>
                <w:sz w:val="18"/>
              </w:rPr>
              <w:t>4 unique categories</w:t>
            </w:r>
          </w:p>
        </w:tc>
      </w:tr>
    </w:tbl>
    <w:p w14:paraId="57FA4786"/>
    <w:p w14:paraId="3796C25C">
      <w:r>
        <w:rPr>
          <w:rFonts w:ascii="Aptos Display" w:hAnsi="Aptos Display"/>
          <w:b/>
          <w:sz w:val="24"/>
        </w:rPr>
        <w:t>Monetisation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049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2DAB25BB">
            <w:pPr>
              <w:spacing w:after="0" w:line="240" w:lineRule="auto"/>
            </w:pPr>
            <w:r>
              <w:rPr>
                <w:b/>
                <w:sz w:val="18"/>
              </w:rPr>
              <w:t>Attribute</w:t>
            </w:r>
          </w:p>
        </w:tc>
        <w:tc>
          <w:tcPr>
            <w:tcW w:w="3408" w:type="dxa"/>
            <w:shd w:val="clear" w:color="auto" w:fill="D9EAF7"/>
          </w:tcPr>
          <w:p w14:paraId="19D33667">
            <w:pPr>
              <w:spacing w:after="0" w:line="240" w:lineRule="auto"/>
            </w:pPr>
            <w:r>
              <w:rPr>
                <w:b/>
                <w:sz w:val="18"/>
              </w:rPr>
              <w:t>Data type</w:t>
            </w:r>
          </w:p>
        </w:tc>
        <w:tc>
          <w:tcPr>
            <w:tcW w:w="3408" w:type="dxa"/>
            <w:shd w:val="clear" w:color="auto" w:fill="D9EAF7"/>
          </w:tcPr>
          <w:p w14:paraId="56DABB20">
            <w:pPr>
              <w:spacing w:after="0" w:line="240" w:lineRule="auto"/>
            </w:pPr>
            <w:r>
              <w:rPr>
                <w:b/>
                <w:sz w:val="18"/>
              </w:rPr>
              <w:t>Range / cardinality</w:t>
            </w:r>
          </w:p>
        </w:tc>
      </w:tr>
      <w:tr w14:paraId="656C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0AC3818">
            <w:pPr>
              <w:spacing w:after="0" w:line="240" w:lineRule="auto"/>
            </w:pPr>
            <w:r>
              <w:rPr>
                <w:sz w:val="18"/>
              </w:rPr>
              <w:t>PlayerID</w:t>
            </w:r>
          </w:p>
        </w:tc>
        <w:tc>
          <w:tcPr>
            <w:tcW w:w="3408" w:type="dxa"/>
            <w:vAlign w:val="center"/>
          </w:tcPr>
          <w:p w14:paraId="29F0C876">
            <w:pPr>
              <w:spacing w:after="0" w:line="240" w:lineRule="auto"/>
            </w:pPr>
            <w:r>
              <w:rPr>
                <w:sz w:val="18"/>
              </w:rPr>
              <w:t>object</w:t>
            </w:r>
          </w:p>
        </w:tc>
        <w:tc>
          <w:tcPr>
            <w:tcW w:w="3408" w:type="dxa"/>
            <w:vAlign w:val="center"/>
          </w:tcPr>
          <w:p w14:paraId="1547253F">
            <w:pPr>
              <w:spacing w:after="0" w:line="240" w:lineRule="auto"/>
            </w:pPr>
            <w:r>
              <w:rPr>
                <w:sz w:val="18"/>
              </w:rPr>
              <w:t>43,058 unique categories</w:t>
            </w:r>
          </w:p>
        </w:tc>
      </w:tr>
      <w:tr w14:paraId="22F0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1A522B8">
            <w:pPr>
              <w:spacing w:after="0" w:line="240" w:lineRule="auto"/>
            </w:pPr>
            <w:r>
              <w:rPr>
                <w:sz w:val="18"/>
              </w:rPr>
              <w:t>Location</w:t>
            </w:r>
          </w:p>
        </w:tc>
        <w:tc>
          <w:tcPr>
            <w:tcW w:w="3408" w:type="dxa"/>
            <w:vAlign w:val="center"/>
          </w:tcPr>
          <w:p w14:paraId="0731A81E">
            <w:pPr>
              <w:spacing w:after="0" w:line="240" w:lineRule="auto"/>
            </w:pPr>
            <w:r>
              <w:rPr>
                <w:sz w:val="18"/>
              </w:rPr>
              <w:t>object</w:t>
            </w:r>
          </w:p>
        </w:tc>
        <w:tc>
          <w:tcPr>
            <w:tcW w:w="3408" w:type="dxa"/>
            <w:vAlign w:val="center"/>
          </w:tcPr>
          <w:p w14:paraId="170B2E04">
            <w:pPr>
              <w:spacing w:after="0" w:line="240" w:lineRule="auto"/>
            </w:pPr>
            <w:r>
              <w:rPr>
                <w:sz w:val="18"/>
              </w:rPr>
              <w:t>8 unique categories</w:t>
            </w:r>
          </w:p>
        </w:tc>
      </w:tr>
      <w:tr w14:paraId="54F6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1FC024B">
            <w:pPr>
              <w:spacing w:after="0" w:line="240" w:lineRule="auto"/>
            </w:pPr>
            <w:r>
              <w:rPr>
                <w:sz w:val="18"/>
              </w:rPr>
              <w:t>SpendingSegment</w:t>
            </w:r>
          </w:p>
        </w:tc>
        <w:tc>
          <w:tcPr>
            <w:tcW w:w="3408" w:type="dxa"/>
            <w:vAlign w:val="center"/>
          </w:tcPr>
          <w:p w14:paraId="0BF0AE06">
            <w:pPr>
              <w:spacing w:after="0" w:line="240" w:lineRule="auto"/>
            </w:pPr>
            <w:r>
              <w:rPr>
                <w:sz w:val="18"/>
              </w:rPr>
              <w:t>object</w:t>
            </w:r>
          </w:p>
        </w:tc>
        <w:tc>
          <w:tcPr>
            <w:tcW w:w="3408" w:type="dxa"/>
            <w:vAlign w:val="center"/>
          </w:tcPr>
          <w:p w14:paraId="2B50C731">
            <w:pPr>
              <w:spacing w:after="0" w:line="240" w:lineRule="auto"/>
            </w:pPr>
            <w:r>
              <w:rPr>
                <w:sz w:val="18"/>
              </w:rPr>
              <w:t>3 unique categories</w:t>
            </w:r>
          </w:p>
        </w:tc>
      </w:tr>
      <w:tr w14:paraId="26B8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AD9E224">
            <w:pPr>
              <w:spacing w:after="0" w:line="240" w:lineRule="auto"/>
            </w:pPr>
            <w:r>
              <w:rPr>
                <w:sz w:val="18"/>
              </w:rPr>
              <w:t>InAppPurchaseAmount_Treated</w:t>
            </w:r>
          </w:p>
        </w:tc>
        <w:tc>
          <w:tcPr>
            <w:tcW w:w="3408" w:type="dxa"/>
            <w:vAlign w:val="center"/>
          </w:tcPr>
          <w:p w14:paraId="63C522F8">
            <w:pPr>
              <w:spacing w:after="0" w:line="240" w:lineRule="auto"/>
            </w:pPr>
            <w:r>
              <w:rPr>
                <w:sz w:val="18"/>
              </w:rPr>
              <w:t>float64</w:t>
            </w:r>
          </w:p>
        </w:tc>
        <w:tc>
          <w:tcPr>
            <w:tcW w:w="3408" w:type="dxa"/>
            <w:vAlign w:val="center"/>
          </w:tcPr>
          <w:p w14:paraId="1CDB5E29">
            <w:pPr>
              <w:spacing w:after="0" w:line="240" w:lineRule="auto"/>
            </w:pPr>
            <w:r>
              <w:rPr>
                <w:sz w:val="18"/>
              </w:rPr>
              <w:t>0.00 to 50.85</w:t>
            </w:r>
          </w:p>
        </w:tc>
      </w:tr>
      <w:tr w14:paraId="0E15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D8EFE32">
            <w:pPr>
              <w:spacing w:after="0" w:line="240" w:lineRule="auto"/>
            </w:pPr>
            <w:r>
              <w:rPr>
                <w:sz w:val="18"/>
              </w:rPr>
              <w:t>FirstPurchaseDaysAfterInstall_Treated</w:t>
            </w:r>
          </w:p>
        </w:tc>
        <w:tc>
          <w:tcPr>
            <w:tcW w:w="3408" w:type="dxa"/>
            <w:vAlign w:val="center"/>
          </w:tcPr>
          <w:p w14:paraId="71BAB9E0">
            <w:pPr>
              <w:spacing w:after="0" w:line="240" w:lineRule="auto"/>
            </w:pPr>
            <w:r>
              <w:rPr>
                <w:sz w:val="18"/>
              </w:rPr>
              <w:t>float64</w:t>
            </w:r>
          </w:p>
        </w:tc>
        <w:tc>
          <w:tcPr>
            <w:tcW w:w="3408" w:type="dxa"/>
            <w:vAlign w:val="center"/>
          </w:tcPr>
          <w:p w14:paraId="2379AE01">
            <w:pPr>
              <w:spacing w:after="0" w:line="240" w:lineRule="auto"/>
            </w:pPr>
            <w:r>
              <w:rPr>
                <w:sz w:val="18"/>
              </w:rPr>
              <w:t>0.0 to 22.5</w:t>
            </w:r>
          </w:p>
        </w:tc>
      </w:tr>
      <w:tr w14:paraId="7320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A43EECF">
            <w:pPr>
              <w:spacing w:after="0" w:line="240" w:lineRule="auto"/>
            </w:pPr>
            <w:r>
              <w:rPr>
                <w:sz w:val="18"/>
              </w:rPr>
              <w:t>PaymentMethod</w:t>
            </w:r>
          </w:p>
        </w:tc>
        <w:tc>
          <w:tcPr>
            <w:tcW w:w="3408" w:type="dxa"/>
            <w:vAlign w:val="center"/>
          </w:tcPr>
          <w:p w14:paraId="7B2D63DF">
            <w:pPr>
              <w:spacing w:after="0" w:line="240" w:lineRule="auto"/>
            </w:pPr>
            <w:r>
              <w:rPr>
                <w:sz w:val="18"/>
              </w:rPr>
              <w:t>object</w:t>
            </w:r>
          </w:p>
        </w:tc>
        <w:tc>
          <w:tcPr>
            <w:tcW w:w="3408" w:type="dxa"/>
            <w:vAlign w:val="center"/>
          </w:tcPr>
          <w:p w14:paraId="175D58B3">
            <w:pPr>
              <w:spacing w:after="0" w:line="240" w:lineRule="auto"/>
            </w:pPr>
            <w:r>
              <w:rPr>
                <w:sz w:val="18"/>
              </w:rPr>
              <w:t>4 unique categories</w:t>
            </w:r>
          </w:p>
        </w:tc>
      </w:tr>
      <w:tr w14:paraId="3D23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4C3BCF1">
            <w:pPr>
              <w:spacing w:after="0" w:line="240" w:lineRule="auto"/>
            </w:pPr>
            <w:r>
              <w:rPr>
                <w:sz w:val="18"/>
              </w:rPr>
              <w:t>LastPurchaseDate</w:t>
            </w:r>
          </w:p>
        </w:tc>
        <w:tc>
          <w:tcPr>
            <w:tcW w:w="3408" w:type="dxa"/>
            <w:vAlign w:val="center"/>
          </w:tcPr>
          <w:p w14:paraId="24345513">
            <w:pPr>
              <w:spacing w:after="0" w:line="240" w:lineRule="auto"/>
            </w:pPr>
            <w:r>
              <w:rPr>
                <w:sz w:val="18"/>
              </w:rPr>
              <w:t>datetime64[ns]</w:t>
            </w:r>
          </w:p>
        </w:tc>
        <w:tc>
          <w:tcPr>
            <w:tcW w:w="3408" w:type="dxa"/>
            <w:vAlign w:val="center"/>
          </w:tcPr>
          <w:p w14:paraId="06B0867C">
            <w:pPr>
              <w:spacing w:after="0" w:line="240" w:lineRule="auto"/>
            </w:pPr>
            <w:r>
              <w:rPr>
                <w:sz w:val="18"/>
              </w:rPr>
              <w:t>2025-01-01 to 2025-11-12</w:t>
            </w:r>
          </w:p>
        </w:tc>
      </w:tr>
      <w:tr w14:paraId="55C4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59E9C68">
            <w:pPr>
              <w:spacing w:after="0" w:line="240" w:lineRule="auto"/>
            </w:pPr>
            <w:r>
              <w:rPr>
                <w:sz w:val="18"/>
              </w:rPr>
              <w:t>MonthsActive_Treated</w:t>
            </w:r>
          </w:p>
        </w:tc>
        <w:tc>
          <w:tcPr>
            <w:tcW w:w="3408" w:type="dxa"/>
            <w:vAlign w:val="center"/>
          </w:tcPr>
          <w:p w14:paraId="50E31A6C">
            <w:pPr>
              <w:spacing w:after="0" w:line="240" w:lineRule="auto"/>
            </w:pPr>
            <w:r>
              <w:rPr>
                <w:sz w:val="18"/>
              </w:rPr>
              <w:t>int64</w:t>
            </w:r>
          </w:p>
        </w:tc>
        <w:tc>
          <w:tcPr>
            <w:tcW w:w="3408" w:type="dxa"/>
            <w:vAlign w:val="center"/>
          </w:tcPr>
          <w:p w14:paraId="33797681">
            <w:pPr>
              <w:spacing w:after="0" w:line="240" w:lineRule="auto"/>
            </w:pPr>
            <w:r>
              <w:rPr>
                <w:sz w:val="18"/>
              </w:rPr>
              <w:t>1 to 12</w:t>
            </w:r>
          </w:p>
        </w:tc>
      </w:tr>
      <w:tr w14:paraId="74C0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B78FA76">
            <w:pPr>
              <w:spacing w:after="0" w:line="240" w:lineRule="auto"/>
            </w:pPr>
            <w:r>
              <w:rPr>
                <w:sz w:val="18"/>
              </w:rPr>
              <w:t>PurchaseFrequencyPerMonth_Treated</w:t>
            </w:r>
          </w:p>
        </w:tc>
        <w:tc>
          <w:tcPr>
            <w:tcW w:w="3408" w:type="dxa"/>
            <w:vAlign w:val="center"/>
          </w:tcPr>
          <w:p w14:paraId="4B2D5E9A">
            <w:pPr>
              <w:spacing w:after="0" w:line="240" w:lineRule="auto"/>
            </w:pPr>
            <w:r>
              <w:rPr>
                <w:sz w:val="18"/>
              </w:rPr>
              <w:t>float64</w:t>
            </w:r>
          </w:p>
        </w:tc>
        <w:tc>
          <w:tcPr>
            <w:tcW w:w="3408" w:type="dxa"/>
            <w:vAlign w:val="center"/>
          </w:tcPr>
          <w:p w14:paraId="26931CB4">
            <w:pPr>
              <w:spacing w:after="0" w:line="240" w:lineRule="auto"/>
            </w:pPr>
            <w:r>
              <w:rPr>
                <w:sz w:val="18"/>
              </w:rPr>
              <w:t>0.00 to 2.82</w:t>
            </w:r>
          </w:p>
        </w:tc>
      </w:tr>
      <w:tr w14:paraId="3933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9CB3AE">
            <w:pPr>
              <w:spacing w:after="0" w:line="240" w:lineRule="auto"/>
            </w:pPr>
            <w:r>
              <w:rPr>
                <w:sz w:val="18"/>
              </w:rPr>
              <w:t>OfferResponseRate_Treated</w:t>
            </w:r>
          </w:p>
        </w:tc>
        <w:tc>
          <w:tcPr>
            <w:tcW w:w="3408" w:type="dxa"/>
            <w:vAlign w:val="center"/>
          </w:tcPr>
          <w:p w14:paraId="41A5EEA8">
            <w:pPr>
              <w:spacing w:after="0" w:line="240" w:lineRule="auto"/>
            </w:pPr>
            <w:r>
              <w:rPr>
                <w:sz w:val="18"/>
              </w:rPr>
              <w:t>float64</w:t>
            </w:r>
          </w:p>
        </w:tc>
        <w:tc>
          <w:tcPr>
            <w:tcW w:w="3408" w:type="dxa"/>
            <w:vAlign w:val="center"/>
          </w:tcPr>
          <w:p w14:paraId="15C171B5">
            <w:pPr>
              <w:spacing w:after="0" w:line="240" w:lineRule="auto"/>
            </w:pPr>
            <w:r>
              <w:rPr>
                <w:sz w:val="18"/>
              </w:rPr>
              <w:t>0.0800 to 0.4295</w:t>
            </w:r>
          </w:p>
        </w:tc>
      </w:tr>
      <w:tr w14:paraId="743D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559942">
            <w:pPr>
              <w:spacing w:after="0" w:line="240" w:lineRule="auto"/>
            </w:pPr>
            <w:r>
              <w:rPr>
                <w:sz w:val="18"/>
              </w:rPr>
              <w:t>DiscountSensitivity</w:t>
            </w:r>
          </w:p>
        </w:tc>
        <w:tc>
          <w:tcPr>
            <w:tcW w:w="3408" w:type="dxa"/>
            <w:vAlign w:val="center"/>
          </w:tcPr>
          <w:p w14:paraId="60E535BE">
            <w:pPr>
              <w:spacing w:after="0" w:line="240" w:lineRule="auto"/>
            </w:pPr>
            <w:r>
              <w:rPr>
                <w:sz w:val="18"/>
              </w:rPr>
              <w:t>int64</w:t>
            </w:r>
          </w:p>
        </w:tc>
        <w:tc>
          <w:tcPr>
            <w:tcW w:w="3408" w:type="dxa"/>
            <w:vAlign w:val="center"/>
          </w:tcPr>
          <w:p w14:paraId="544B9FC6">
            <w:pPr>
              <w:spacing w:after="0" w:line="240" w:lineRule="auto"/>
            </w:pPr>
            <w:r>
              <w:rPr>
                <w:sz w:val="18"/>
              </w:rPr>
              <w:t>0 to 1</w:t>
            </w:r>
          </w:p>
        </w:tc>
      </w:tr>
      <w:tr w14:paraId="7CA6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F49302">
            <w:pPr>
              <w:spacing w:after="0" w:line="240" w:lineRule="auto"/>
            </w:pPr>
            <w:r>
              <w:rPr>
                <w:sz w:val="18"/>
              </w:rPr>
              <w:t>LTV_Treated</w:t>
            </w:r>
          </w:p>
        </w:tc>
        <w:tc>
          <w:tcPr>
            <w:tcW w:w="3408" w:type="dxa"/>
            <w:vAlign w:val="center"/>
          </w:tcPr>
          <w:p w14:paraId="4EB89728">
            <w:pPr>
              <w:spacing w:after="0" w:line="240" w:lineRule="auto"/>
            </w:pPr>
            <w:r>
              <w:rPr>
                <w:sz w:val="18"/>
              </w:rPr>
              <w:t>float64</w:t>
            </w:r>
          </w:p>
        </w:tc>
        <w:tc>
          <w:tcPr>
            <w:tcW w:w="3408" w:type="dxa"/>
            <w:vAlign w:val="center"/>
          </w:tcPr>
          <w:p w14:paraId="1A8BB4DF">
            <w:pPr>
              <w:spacing w:after="0" w:line="240" w:lineRule="auto"/>
            </w:pPr>
            <w:r>
              <w:rPr>
                <w:sz w:val="18"/>
              </w:rPr>
              <w:t>0.00 to 59.21</w:t>
            </w:r>
          </w:p>
        </w:tc>
      </w:tr>
    </w:tbl>
    <w:p w14:paraId="1D52CB48"/>
    <w:p w14:paraId="0C4D3897">
      <w:r>
        <w:rPr>
          <w:rFonts w:ascii="Aptos Display" w:hAnsi="Aptos Display"/>
          <w:b/>
          <w:sz w:val="24"/>
        </w:rPr>
        <w:t>Engagement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E1A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0980AB83">
            <w:pPr>
              <w:spacing w:after="0" w:line="240" w:lineRule="auto"/>
            </w:pPr>
            <w:r>
              <w:rPr>
                <w:b/>
                <w:sz w:val="18"/>
              </w:rPr>
              <w:t>Attribute</w:t>
            </w:r>
          </w:p>
        </w:tc>
        <w:tc>
          <w:tcPr>
            <w:tcW w:w="3408" w:type="dxa"/>
            <w:shd w:val="clear" w:color="auto" w:fill="D9EAF7"/>
          </w:tcPr>
          <w:p w14:paraId="28406BFA">
            <w:pPr>
              <w:spacing w:after="0" w:line="240" w:lineRule="auto"/>
            </w:pPr>
            <w:r>
              <w:rPr>
                <w:b/>
                <w:sz w:val="18"/>
              </w:rPr>
              <w:t>Data type</w:t>
            </w:r>
          </w:p>
        </w:tc>
        <w:tc>
          <w:tcPr>
            <w:tcW w:w="3408" w:type="dxa"/>
            <w:shd w:val="clear" w:color="auto" w:fill="D9EAF7"/>
          </w:tcPr>
          <w:p w14:paraId="4A7B0FD1">
            <w:pPr>
              <w:spacing w:after="0" w:line="240" w:lineRule="auto"/>
            </w:pPr>
            <w:r>
              <w:rPr>
                <w:b/>
                <w:sz w:val="18"/>
              </w:rPr>
              <w:t>Range / cardinality</w:t>
            </w:r>
          </w:p>
        </w:tc>
      </w:tr>
      <w:tr w14:paraId="6480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EDF209">
            <w:pPr>
              <w:spacing w:after="0" w:line="240" w:lineRule="auto"/>
            </w:pPr>
            <w:r>
              <w:rPr>
                <w:sz w:val="18"/>
              </w:rPr>
              <w:t>PlayerID</w:t>
            </w:r>
          </w:p>
        </w:tc>
        <w:tc>
          <w:tcPr>
            <w:tcW w:w="3408" w:type="dxa"/>
            <w:vAlign w:val="center"/>
          </w:tcPr>
          <w:p w14:paraId="426B0BBA">
            <w:pPr>
              <w:spacing w:after="0" w:line="240" w:lineRule="auto"/>
            </w:pPr>
            <w:r>
              <w:rPr>
                <w:sz w:val="18"/>
              </w:rPr>
              <w:t>object</w:t>
            </w:r>
          </w:p>
        </w:tc>
        <w:tc>
          <w:tcPr>
            <w:tcW w:w="3408" w:type="dxa"/>
            <w:vAlign w:val="center"/>
          </w:tcPr>
          <w:p w14:paraId="1FADAADA">
            <w:pPr>
              <w:spacing w:after="0" w:line="240" w:lineRule="auto"/>
            </w:pPr>
            <w:r>
              <w:rPr>
                <w:sz w:val="18"/>
              </w:rPr>
              <w:t>43,058 unique categories</w:t>
            </w:r>
          </w:p>
        </w:tc>
      </w:tr>
      <w:tr w14:paraId="14AD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1EDFE1B">
            <w:pPr>
              <w:spacing w:after="0" w:line="240" w:lineRule="auto"/>
            </w:pPr>
            <w:r>
              <w:rPr>
                <w:sz w:val="18"/>
              </w:rPr>
              <w:t>Age</w:t>
            </w:r>
          </w:p>
        </w:tc>
        <w:tc>
          <w:tcPr>
            <w:tcW w:w="3408" w:type="dxa"/>
            <w:vAlign w:val="center"/>
          </w:tcPr>
          <w:p w14:paraId="423A28F3">
            <w:pPr>
              <w:spacing w:after="0" w:line="240" w:lineRule="auto"/>
            </w:pPr>
            <w:r>
              <w:rPr>
                <w:sz w:val="18"/>
              </w:rPr>
              <w:t>int64</w:t>
            </w:r>
          </w:p>
        </w:tc>
        <w:tc>
          <w:tcPr>
            <w:tcW w:w="3408" w:type="dxa"/>
            <w:vAlign w:val="center"/>
          </w:tcPr>
          <w:p w14:paraId="4C41D5A2">
            <w:pPr>
              <w:spacing w:after="0" w:line="240" w:lineRule="auto"/>
            </w:pPr>
            <w:r>
              <w:rPr>
                <w:sz w:val="18"/>
              </w:rPr>
              <w:t>15 to 49</w:t>
            </w:r>
          </w:p>
        </w:tc>
      </w:tr>
      <w:tr w14:paraId="0D4B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E807E8B">
            <w:pPr>
              <w:spacing w:after="0" w:line="240" w:lineRule="auto"/>
            </w:pPr>
            <w:r>
              <w:rPr>
                <w:sz w:val="18"/>
              </w:rPr>
              <w:t>Gender</w:t>
            </w:r>
          </w:p>
        </w:tc>
        <w:tc>
          <w:tcPr>
            <w:tcW w:w="3408" w:type="dxa"/>
            <w:vAlign w:val="center"/>
          </w:tcPr>
          <w:p w14:paraId="028371F1">
            <w:pPr>
              <w:spacing w:after="0" w:line="240" w:lineRule="auto"/>
            </w:pPr>
            <w:r>
              <w:rPr>
                <w:sz w:val="18"/>
              </w:rPr>
              <w:t>object</w:t>
            </w:r>
          </w:p>
        </w:tc>
        <w:tc>
          <w:tcPr>
            <w:tcW w:w="3408" w:type="dxa"/>
            <w:vAlign w:val="center"/>
          </w:tcPr>
          <w:p w14:paraId="07B6DD0E">
            <w:pPr>
              <w:spacing w:after="0" w:line="240" w:lineRule="auto"/>
            </w:pPr>
            <w:r>
              <w:rPr>
                <w:sz w:val="18"/>
              </w:rPr>
              <w:t>3 unique categories</w:t>
            </w:r>
          </w:p>
        </w:tc>
      </w:tr>
      <w:tr w14:paraId="7360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6F9C1CA">
            <w:pPr>
              <w:spacing w:after="0" w:line="240" w:lineRule="auto"/>
            </w:pPr>
            <w:r>
              <w:rPr>
                <w:sz w:val="18"/>
              </w:rPr>
              <w:t>Location</w:t>
            </w:r>
          </w:p>
        </w:tc>
        <w:tc>
          <w:tcPr>
            <w:tcW w:w="3408" w:type="dxa"/>
            <w:vAlign w:val="center"/>
          </w:tcPr>
          <w:p w14:paraId="068C136B">
            <w:pPr>
              <w:spacing w:after="0" w:line="240" w:lineRule="auto"/>
            </w:pPr>
            <w:r>
              <w:rPr>
                <w:sz w:val="18"/>
              </w:rPr>
              <w:t>object</w:t>
            </w:r>
          </w:p>
        </w:tc>
        <w:tc>
          <w:tcPr>
            <w:tcW w:w="3408" w:type="dxa"/>
            <w:vAlign w:val="center"/>
          </w:tcPr>
          <w:p w14:paraId="46D1A2D2">
            <w:pPr>
              <w:spacing w:after="0" w:line="240" w:lineRule="auto"/>
            </w:pPr>
            <w:r>
              <w:rPr>
                <w:sz w:val="18"/>
              </w:rPr>
              <w:t>8 unique categories</w:t>
            </w:r>
          </w:p>
        </w:tc>
      </w:tr>
      <w:tr w14:paraId="62A4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E809D84">
            <w:pPr>
              <w:spacing w:after="0" w:line="240" w:lineRule="auto"/>
            </w:pPr>
            <w:r>
              <w:rPr>
                <w:sz w:val="18"/>
              </w:rPr>
              <w:t>GameGenre</w:t>
            </w:r>
          </w:p>
        </w:tc>
        <w:tc>
          <w:tcPr>
            <w:tcW w:w="3408" w:type="dxa"/>
            <w:vAlign w:val="center"/>
          </w:tcPr>
          <w:p w14:paraId="3727C312">
            <w:pPr>
              <w:spacing w:after="0" w:line="240" w:lineRule="auto"/>
            </w:pPr>
            <w:r>
              <w:rPr>
                <w:sz w:val="18"/>
              </w:rPr>
              <w:t>object</w:t>
            </w:r>
          </w:p>
        </w:tc>
        <w:tc>
          <w:tcPr>
            <w:tcW w:w="3408" w:type="dxa"/>
            <w:vAlign w:val="center"/>
          </w:tcPr>
          <w:p w14:paraId="0B735585">
            <w:pPr>
              <w:spacing w:after="0" w:line="240" w:lineRule="auto"/>
            </w:pPr>
            <w:r>
              <w:rPr>
                <w:sz w:val="18"/>
              </w:rPr>
              <w:t>9 unique categories</w:t>
            </w:r>
          </w:p>
        </w:tc>
      </w:tr>
      <w:tr w14:paraId="0F31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48AB43">
            <w:pPr>
              <w:spacing w:after="0" w:line="240" w:lineRule="auto"/>
            </w:pPr>
            <w:r>
              <w:rPr>
                <w:sz w:val="18"/>
              </w:rPr>
              <w:t>PlayTimeHours_Treated</w:t>
            </w:r>
          </w:p>
        </w:tc>
        <w:tc>
          <w:tcPr>
            <w:tcW w:w="3408" w:type="dxa"/>
            <w:vAlign w:val="center"/>
          </w:tcPr>
          <w:p w14:paraId="47DEFEFC">
            <w:pPr>
              <w:spacing w:after="0" w:line="240" w:lineRule="auto"/>
            </w:pPr>
            <w:r>
              <w:rPr>
                <w:sz w:val="18"/>
              </w:rPr>
              <w:t>float64</w:t>
            </w:r>
          </w:p>
        </w:tc>
        <w:tc>
          <w:tcPr>
            <w:tcW w:w="3408" w:type="dxa"/>
            <w:vAlign w:val="center"/>
          </w:tcPr>
          <w:p w14:paraId="50E8D4A0">
            <w:pPr>
              <w:spacing w:after="0" w:line="240" w:lineRule="auto"/>
            </w:pPr>
            <w:r>
              <w:rPr>
                <w:sz w:val="18"/>
              </w:rPr>
              <w:t>0.0001 to 38.35</w:t>
            </w:r>
          </w:p>
        </w:tc>
      </w:tr>
      <w:tr w14:paraId="458B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63CB026">
            <w:pPr>
              <w:spacing w:after="0" w:line="240" w:lineRule="auto"/>
            </w:pPr>
            <w:r>
              <w:rPr>
                <w:sz w:val="18"/>
              </w:rPr>
              <w:t>InGamePurchases</w:t>
            </w:r>
          </w:p>
        </w:tc>
        <w:tc>
          <w:tcPr>
            <w:tcW w:w="3408" w:type="dxa"/>
            <w:vAlign w:val="center"/>
          </w:tcPr>
          <w:p w14:paraId="613E4C96">
            <w:pPr>
              <w:spacing w:after="0" w:line="240" w:lineRule="auto"/>
            </w:pPr>
            <w:r>
              <w:rPr>
                <w:sz w:val="18"/>
              </w:rPr>
              <w:t>int64</w:t>
            </w:r>
          </w:p>
        </w:tc>
        <w:tc>
          <w:tcPr>
            <w:tcW w:w="3408" w:type="dxa"/>
            <w:vAlign w:val="center"/>
          </w:tcPr>
          <w:p w14:paraId="2E0D0BD5">
            <w:pPr>
              <w:spacing w:after="0" w:line="240" w:lineRule="auto"/>
            </w:pPr>
            <w:r>
              <w:rPr>
                <w:sz w:val="18"/>
              </w:rPr>
              <w:t>0 to 19</w:t>
            </w:r>
          </w:p>
        </w:tc>
      </w:tr>
      <w:tr w14:paraId="3934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C8CE7D">
            <w:pPr>
              <w:spacing w:after="0" w:line="240" w:lineRule="auto"/>
            </w:pPr>
            <w:r>
              <w:rPr>
                <w:sz w:val="18"/>
              </w:rPr>
              <w:t>GameDifficulty</w:t>
            </w:r>
          </w:p>
        </w:tc>
        <w:tc>
          <w:tcPr>
            <w:tcW w:w="3408" w:type="dxa"/>
            <w:vAlign w:val="center"/>
          </w:tcPr>
          <w:p w14:paraId="24A64FAD">
            <w:pPr>
              <w:spacing w:after="0" w:line="240" w:lineRule="auto"/>
            </w:pPr>
            <w:r>
              <w:rPr>
                <w:sz w:val="18"/>
              </w:rPr>
              <w:t>object</w:t>
            </w:r>
          </w:p>
        </w:tc>
        <w:tc>
          <w:tcPr>
            <w:tcW w:w="3408" w:type="dxa"/>
            <w:vAlign w:val="center"/>
          </w:tcPr>
          <w:p w14:paraId="1B4B7784">
            <w:pPr>
              <w:spacing w:after="0" w:line="240" w:lineRule="auto"/>
            </w:pPr>
            <w:r>
              <w:rPr>
                <w:sz w:val="18"/>
              </w:rPr>
              <w:t>3 unique categories</w:t>
            </w:r>
          </w:p>
        </w:tc>
      </w:tr>
      <w:tr w14:paraId="41A3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44093C">
            <w:pPr>
              <w:spacing w:after="0" w:line="240" w:lineRule="auto"/>
            </w:pPr>
            <w:r>
              <w:rPr>
                <w:sz w:val="18"/>
              </w:rPr>
              <w:t>SessionsPerWeek</w:t>
            </w:r>
          </w:p>
        </w:tc>
        <w:tc>
          <w:tcPr>
            <w:tcW w:w="3408" w:type="dxa"/>
            <w:vAlign w:val="center"/>
          </w:tcPr>
          <w:p w14:paraId="02230629">
            <w:pPr>
              <w:spacing w:after="0" w:line="240" w:lineRule="auto"/>
            </w:pPr>
            <w:r>
              <w:rPr>
                <w:sz w:val="18"/>
              </w:rPr>
              <w:t>int64</w:t>
            </w:r>
          </w:p>
        </w:tc>
        <w:tc>
          <w:tcPr>
            <w:tcW w:w="3408" w:type="dxa"/>
            <w:vAlign w:val="center"/>
          </w:tcPr>
          <w:p w14:paraId="14B011B0">
            <w:pPr>
              <w:spacing w:after="0" w:line="240" w:lineRule="auto"/>
            </w:pPr>
            <w:r>
              <w:rPr>
                <w:sz w:val="18"/>
              </w:rPr>
              <w:t>0 to 19</w:t>
            </w:r>
          </w:p>
        </w:tc>
      </w:tr>
      <w:tr w14:paraId="6567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0273CF5">
            <w:pPr>
              <w:spacing w:after="0" w:line="240" w:lineRule="auto"/>
            </w:pPr>
            <w:r>
              <w:rPr>
                <w:sz w:val="18"/>
              </w:rPr>
              <w:t>AvgSessionDurationMinutes</w:t>
            </w:r>
          </w:p>
        </w:tc>
        <w:tc>
          <w:tcPr>
            <w:tcW w:w="3408" w:type="dxa"/>
            <w:vAlign w:val="center"/>
          </w:tcPr>
          <w:p w14:paraId="6C5A5A5E">
            <w:pPr>
              <w:spacing w:after="0" w:line="240" w:lineRule="auto"/>
            </w:pPr>
            <w:r>
              <w:rPr>
                <w:sz w:val="18"/>
              </w:rPr>
              <w:t>int64</w:t>
            </w:r>
          </w:p>
        </w:tc>
        <w:tc>
          <w:tcPr>
            <w:tcW w:w="3408" w:type="dxa"/>
            <w:vAlign w:val="center"/>
          </w:tcPr>
          <w:p w14:paraId="6149C068">
            <w:pPr>
              <w:spacing w:after="0" w:line="240" w:lineRule="auto"/>
            </w:pPr>
            <w:r>
              <w:rPr>
                <w:sz w:val="18"/>
              </w:rPr>
              <w:t>10 to 179</w:t>
            </w:r>
          </w:p>
        </w:tc>
      </w:tr>
      <w:tr w14:paraId="3141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5AE5500">
            <w:pPr>
              <w:spacing w:after="0" w:line="240" w:lineRule="auto"/>
            </w:pPr>
            <w:r>
              <w:rPr>
                <w:sz w:val="18"/>
              </w:rPr>
              <w:t>PlayerLevel</w:t>
            </w:r>
          </w:p>
        </w:tc>
        <w:tc>
          <w:tcPr>
            <w:tcW w:w="3408" w:type="dxa"/>
            <w:vAlign w:val="center"/>
          </w:tcPr>
          <w:p w14:paraId="4BFFA9C1">
            <w:pPr>
              <w:spacing w:after="0" w:line="240" w:lineRule="auto"/>
            </w:pPr>
            <w:r>
              <w:rPr>
                <w:sz w:val="18"/>
              </w:rPr>
              <w:t>int64</w:t>
            </w:r>
          </w:p>
        </w:tc>
        <w:tc>
          <w:tcPr>
            <w:tcW w:w="3408" w:type="dxa"/>
            <w:vAlign w:val="center"/>
          </w:tcPr>
          <w:p w14:paraId="2A203944">
            <w:pPr>
              <w:spacing w:after="0" w:line="240" w:lineRule="auto"/>
            </w:pPr>
            <w:r>
              <w:rPr>
                <w:sz w:val="18"/>
              </w:rPr>
              <w:t>1 to 99</w:t>
            </w:r>
          </w:p>
        </w:tc>
      </w:tr>
      <w:tr w14:paraId="26D2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616B92">
            <w:pPr>
              <w:spacing w:after="0" w:line="240" w:lineRule="auto"/>
            </w:pPr>
            <w:r>
              <w:rPr>
                <w:sz w:val="18"/>
              </w:rPr>
              <w:t>AchievementsUnlocked_Treated</w:t>
            </w:r>
          </w:p>
        </w:tc>
        <w:tc>
          <w:tcPr>
            <w:tcW w:w="3408" w:type="dxa"/>
            <w:vAlign w:val="center"/>
          </w:tcPr>
          <w:p w14:paraId="17688919">
            <w:pPr>
              <w:spacing w:after="0" w:line="240" w:lineRule="auto"/>
            </w:pPr>
            <w:r>
              <w:rPr>
                <w:sz w:val="18"/>
              </w:rPr>
              <w:t>float64</w:t>
            </w:r>
          </w:p>
        </w:tc>
        <w:tc>
          <w:tcPr>
            <w:tcW w:w="3408" w:type="dxa"/>
            <w:vAlign w:val="center"/>
          </w:tcPr>
          <w:p w14:paraId="20603B62">
            <w:pPr>
              <w:spacing w:after="0" w:line="240" w:lineRule="auto"/>
            </w:pPr>
            <w:r>
              <w:rPr>
                <w:sz w:val="18"/>
              </w:rPr>
              <w:t>0.0 to 75.5</w:t>
            </w:r>
          </w:p>
        </w:tc>
      </w:tr>
      <w:tr w14:paraId="7DCD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1CD794">
            <w:pPr>
              <w:spacing w:after="0" w:line="240" w:lineRule="auto"/>
            </w:pPr>
            <w:r>
              <w:rPr>
                <w:sz w:val="18"/>
              </w:rPr>
              <w:t>EngagementLevel</w:t>
            </w:r>
          </w:p>
        </w:tc>
        <w:tc>
          <w:tcPr>
            <w:tcW w:w="3408" w:type="dxa"/>
            <w:vAlign w:val="center"/>
          </w:tcPr>
          <w:p w14:paraId="4A8703BC">
            <w:pPr>
              <w:spacing w:after="0" w:line="240" w:lineRule="auto"/>
            </w:pPr>
            <w:r>
              <w:rPr>
                <w:sz w:val="18"/>
              </w:rPr>
              <w:t>object</w:t>
            </w:r>
          </w:p>
        </w:tc>
        <w:tc>
          <w:tcPr>
            <w:tcW w:w="3408" w:type="dxa"/>
            <w:vAlign w:val="center"/>
          </w:tcPr>
          <w:p w14:paraId="38A71B44">
            <w:pPr>
              <w:spacing w:after="0" w:line="240" w:lineRule="auto"/>
            </w:pPr>
            <w:r>
              <w:rPr>
                <w:sz w:val="18"/>
              </w:rPr>
              <w:t>3 unique categories</w:t>
            </w:r>
          </w:p>
        </w:tc>
      </w:tr>
    </w:tbl>
    <w:p w14:paraId="5A81B94D"/>
    <w:p w14:paraId="3DAE9990">
      <w:pPr>
        <w:spacing w:before="200" w:after="100"/>
      </w:pPr>
      <w:r>
        <w:rPr>
          <w:rFonts w:ascii="Aptos Display" w:hAnsi="Aptos Display"/>
          <w:b/>
          <w:sz w:val="30"/>
        </w:rPr>
        <w:t xml:space="preserve">7. Key Updates </w:t>
      </w:r>
    </w:p>
    <w:p w14:paraId="6E45F3F0">
      <w:r>
        <w:rPr>
          <w:rFonts w:ascii="Aptos Display" w:hAnsi="Aptos Display"/>
          <w:b/>
          <w:sz w:val="24"/>
        </w:rPr>
        <w:t>7.1 Statistical Outlier Capping ($1.5 × IQR) &amp; Justifications</w:t>
      </w:r>
    </w:p>
    <w:p w14:paraId="0CAC3B19">
      <w:pPr>
        <w:pStyle w:val="24"/>
      </w:pPr>
      <w:r>
        <w:t>InAppPurchaseAmount: Upper bound calculated at $50.845 (Q1 = 9.82, Q3 = 26.23, IQR = 16.41). A total of 2,964 outlier records (values running up to $4,964.45) were capped to eliminate severe right-skewness.</w:t>
      </w:r>
    </w:p>
    <w:p w14:paraId="4663D9C4">
      <w:pPr>
        <w:pStyle w:val="24"/>
      </w:pPr>
      <w:r>
        <w:t>FirstPurchaseDaysAfterInstall: Upper bound calculated at 22.50 days (Q1 = 3.0, Q3 = 21.0, IQR = 18.0). Capped 8,735 records to normalize onboarding lifecycle metrics.</w:t>
      </w:r>
    </w:p>
    <w:p w14:paraId="7FA60A11">
      <w:pPr>
        <w:pStyle w:val="24"/>
      </w:pPr>
      <w:r>
        <w:t>PurchaseFrequencyPerMonth: Upper bound calculated at 2.82 purchases/month (Q1 = 0.32, Q3 = 1.32, IQR = 1.00). Capped 1,835 outlier records (values extending up to 11.66).</w:t>
      </w:r>
    </w:p>
    <w:p w14:paraId="1FDD3486">
      <w:pPr>
        <w:pStyle w:val="24"/>
      </w:pPr>
      <w:r>
        <w:t>OfferResponseRate: Upper bound calculated at 0.4295 (Q1 = 0.098, Q3 = 0.231, IQR = 0.132). Capped 958 records and normalized precision.</w:t>
      </w:r>
    </w:p>
    <w:p w14:paraId="0434C662">
      <w:pPr>
        <w:pStyle w:val="24"/>
      </w:pPr>
      <w:r>
        <w:t>LTV (Lifetime Value): Upper bound calculated at $59.21 (Q1 = 11.31, Q3 = 30.47, IQR = 19.16). Capped 3,172 outlier records (values extending up to $5,994.12).</w:t>
      </w:r>
    </w:p>
    <w:p w14:paraId="77AB5EF0">
      <w:pPr>
        <w:pStyle w:val="24"/>
      </w:pPr>
      <w:r>
        <w:t>PlayTimeHours: Upper bound calculated at 38.35 hours (Q1 = 6.47, Q3 = 19.22, IQR = 12.75). Capped 2,446 extreme gameplay records.</w:t>
      </w:r>
    </w:p>
    <w:p w14:paraId="04660604">
      <w:pPr>
        <w:pStyle w:val="24"/>
      </w:pPr>
      <w:r>
        <w:t>AchievementsUnlocked: Upper bound calculated at 75.50 achievements (Q1 = 13.0, Q3 = 38.0, IQR = 25.0). Capped 708 power-player records.</w:t>
      </w:r>
    </w:p>
    <w:p w14:paraId="59017F6C">
      <w:r>
        <w:rPr>
          <w:rFonts w:ascii="Aptos Display" w:hAnsi="Aptos Display"/>
          <w:b/>
          <w:sz w:val="24"/>
        </w:rPr>
        <w:t>7.2 Metrics Retained Without Capping (Domain &amp; Statistical Rationale)</w:t>
      </w:r>
    </w:p>
    <w:p w14:paraId="29824660">
      <w:pPr>
        <w:pStyle w:val="24"/>
      </w:pPr>
      <w:r>
        <w:t>InGamePurchases (Retained 0 to 19): Despite the statistical upper bound being 2.5, 74.7% of players are non-buyers (0) and 19.1% bought only 1 item. The remaining 5.9% (3 to 19 purchases) represent legitimate 'Whale' (VIP) spending behavior. Capping them would destroy essential revenue segmentation data.</w:t>
      </w:r>
    </w:p>
    <w:p w14:paraId="05D2992F">
      <w:pPr>
        <w:pStyle w:val="24"/>
      </w:pPr>
      <w:r>
        <w:t>AvgSessionDurationMinutes (10 to 179 minutes): The mathematical upper bound is 258.5 minutes; all actual data points fall naturally within bounds (0 outliers).</w:t>
      </w:r>
    </w:p>
    <w:p w14:paraId="7B4B5E69">
      <w:pPr>
        <w:pStyle w:val="24"/>
      </w:pPr>
      <w:r>
        <w:t>PlayerLevel (Level 1 to 99): The mathematical upper bound is 145.5; all player levels fall naturally within bounds (0 outliers).</w:t>
      </w:r>
    </w:p>
    <w:p w14:paraId="1571E725">
      <w:r>
        <w:rPr>
          <w:rFonts w:ascii="Aptos Display" w:hAnsi="Aptos Display"/>
          <w:b/>
          <w:sz w:val="24"/>
        </w:rPr>
        <w:t>7.3 Imputation &amp; Formatting Enhancements</w:t>
      </w:r>
    </w:p>
    <w:p w14:paraId="4DBD39CD">
      <w:pPr>
        <w:pStyle w:val="24"/>
      </w:pPr>
      <w:r>
        <w:t>Replaced prior static imputation notes with Median Imputation across all numerical fields (InAppPurchaseAmount, FirstPurchaseDaysAfterInstall, LTV) to preserve authentic central tendencies.</w:t>
      </w:r>
    </w:p>
    <w:p w14:paraId="6F5F52A0">
      <w:pPr>
        <w:pStyle w:val="24"/>
      </w:pPr>
      <w:r>
        <w:t>Documented explicit currency formatting ($), standard ISO date standardization (YYYY-MM-DD), and text casing normalization across Location and PaymentMethod.</w:t>
      </w:r>
    </w:p>
    <w:p w14:paraId="36F1A635">
      <w:pPr>
        <w:spacing w:before="200" w:after="100"/>
      </w:pPr>
      <w:r>
        <w:rPr>
          <w:rFonts w:ascii="Aptos Display" w:hAnsi="Aptos Display"/>
          <w:b/>
          <w:sz w:val="30"/>
        </w:rPr>
        <w:t>8. Drafting Preliminary Business Hypotheses</w:t>
      </w:r>
    </w:p>
    <w:p w14:paraId="6F821040">
      <w:pPr>
        <w:spacing w:after="100"/>
      </w:pPr>
      <w:r>
        <w:t>Here are four structured, domain-aligned hypotheses based directly on the cleaned dataset observations:</w:t>
      </w:r>
    </w:p>
    <w:p w14:paraId="6BB64EA6">
      <w:r>
        <w:rPr>
          <w:rFonts w:ascii="Aptos Display" w:hAnsi="Aptos Display"/>
          <w:b/>
          <w:sz w:val="24"/>
        </w:rPr>
        <w:t>Hypothesis 1: Engagement vs. Monetization Conversion</w:t>
      </w:r>
    </w:p>
    <w:p w14:paraId="4BF4299E">
      <w:pPr>
        <w:pStyle w:val="24"/>
      </w:pPr>
      <w:r>
        <w:t>Statement: Players with higher weekly gameplay hours (PlayTimeHours_Treated) and higher session frequency (SessionsPerWeek) have a significantly higher In-App Purchase spending amount (InAppPurchaseAmount_Treated).</w:t>
      </w:r>
    </w:p>
    <w:p w14:paraId="70ED8137">
      <w:pPr>
        <w:pStyle w:val="24"/>
      </w:pPr>
      <w:r>
        <w:t>Business Objective: Determine whether game-loop stickiness directly converts into in-game purchases.</w:t>
      </w:r>
    </w:p>
    <w:p w14:paraId="62830D9E">
      <w:r>
        <w:rPr>
          <w:rFonts w:ascii="Aptos Display" w:hAnsi="Aptos Display"/>
          <w:b/>
          <w:sz w:val="24"/>
        </w:rPr>
        <w:t>Hypothesis 2: Spending Tier vs. Offer Sensitivity</w:t>
      </w:r>
    </w:p>
    <w:p w14:paraId="58AE634D">
      <w:pPr>
        <w:pStyle w:val="24"/>
      </w:pPr>
      <w:r>
        <w:t>Statement: Lower-tier spenders (Minnows) exhibit a significantly higher OfferResponseRate and DiscountSensitivity compared to Whales.</w:t>
      </w:r>
    </w:p>
    <w:p w14:paraId="3524794F">
      <w:pPr>
        <w:pStyle w:val="24"/>
      </w:pPr>
      <w:r>
        <w:t>Business Objective: Design targeted discounting strategies without cannibalizing full-price purchases from high-value players.</w:t>
      </w:r>
    </w:p>
    <w:p w14:paraId="534E9A99">
      <w:r>
        <w:rPr>
          <w:rFonts w:ascii="Aptos Display" w:hAnsi="Aptos Display"/>
          <w:b/>
          <w:sz w:val="24"/>
        </w:rPr>
        <w:t>Hypothesis 3: Onboarding Speed vs. Player Lifetime Value (LTV)</w:t>
      </w:r>
    </w:p>
    <w:p w14:paraId="098DC3B1">
      <w:pPr>
        <w:pStyle w:val="24"/>
      </w:pPr>
      <w:r>
        <w:t>Statement: Players who make their first purchase early after installation (FirstPurchaseDaysAfterInstall_Treated ≤ 7 days) generate higher long-term LTV than late converters.</w:t>
      </w:r>
    </w:p>
    <w:p w14:paraId="1E990431">
      <w:pPr>
        <w:pStyle w:val="24"/>
      </w:pPr>
      <w:r>
        <w:t>Business Objective: Optimize first-week onboarding offers to accelerate early monetization.</w:t>
      </w:r>
    </w:p>
    <w:p w14:paraId="263DBFF2">
      <w:pPr>
        <w:pStyle w:val="24"/>
        <w:numPr>
          <w:ilvl w:val="0"/>
          <w:numId w:val="0"/>
        </w:numPr>
        <w:ind w:left="360"/>
      </w:pPr>
    </w:p>
    <w:p w14:paraId="6F4289B0">
      <w:r>
        <w:rPr>
          <w:rFonts w:ascii="Aptos Display" w:hAnsi="Aptos Display"/>
          <w:b/>
          <w:sz w:val="24"/>
        </w:rPr>
        <w:t>Hypothesis 4: Demographics &amp; Platform Preference</w:t>
      </w:r>
    </w:p>
    <w:p w14:paraId="66A9267D">
      <w:pPr>
        <w:pStyle w:val="24"/>
      </w:pPr>
      <w:r>
        <w:t>Statement: Gameplay duration and spending segments vary significantly across geographic regions (Location) and preferred play times (PreferredPlaytimeWindow).</w:t>
      </w:r>
    </w:p>
    <w:p w14:paraId="02366580">
      <w:pPr>
        <w:pStyle w:val="24"/>
      </w:pPr>
      <w:r>
        <w:t>Business Objective: Tailor regional marketing campaigns and time-limited in-game event drops.</w:t>
      </w:r>
    </w:p>
    <w:p w14:paraId="7BE09C0A">
      <w:pPr>
        <w:spacing w:before="200" w:after="100"/>
      </w:pPr>
      <w:r>
        <w:rPr>
          <w:rFonts w:ascii="Aptos Display" w:hAnsi="Aptos Display"/>
          <w:b/>
          <w:sz w:val="30"/>
        </w:rPr>
        <w:t>9. Database Storage &amp; Project Setup</w:t>
      </w:r>
    </w:p>
    <w:p w14:paraId="72CF22D8">
      <w:pPr>
        <w:spacing w:after="100"/>
      </w:pPr>
      <w:r>
        <w:t>To transition the cleaned and validated datasets into production storage for SQL querying, Python analytics, and dashboarding, a relational database (MySQL/SQLite) setup was executed.</w:t>
      </w:r>
    </w:p>
    <w:p w14:paraId="0F78A8F0">
      <w:r>
        <w:rPr>
          <w:rFonts w:ascii="Aptos Display" w:hAnsi="Aptos Display"/>
          <w:b/>
          <w:sz w:val="24"/>
        </w:rPr>
        <w:t>9.1 Ingestion Methodology</w:t>
      </w:r>
    </w:p>
    <w:p w14:paraId="22F5CB64">
      <w:pPr>
        <w:pStyle w:val="24"/>
      </w:pPr>
      <w:r>
        <w:t>Cleaned datasets (PlayerEngagement, PlayerMonetisation, PlayerBehaviorExtensions) were exported from structured .xlsx to standardized UTF-8 .csv and relational database tables using the MySQL Table Data Import Wizard / Python SQLAlchemy pipeline (to_sql).</w:t>
      </w:r>
    </w:p>
    <w:p w14:paraId="4A888AC0">
      <w:pPr>
        <w:pStyle w:val="24"/>
      </w:pPr>
      <w:r>
        <w:t>Ensured 100% data integrity with 43,058 records loaded into each of the 3 tables without record duplication or loss.</w:t>
      </w:r>
    </w:p>
    <w:p w14:paraId="686E6BD6">
      <w:pPr>
        <w:pStyle w:val="24"/>
        <w:numPr>
          <w:ilvl w:val="0"/>
          <w:numId w:val="0"/>
        </w:numPr>
        <w:ind w:left="360" w:hanging="360"/>
      </w:pPr>
    </w:p>
    <w:p w14:paraId="03150D9C">
      <w:pPr>
        <w:pStyle w:val="24"/>
        <w:numPr>
          <w:ilvl w:val="0"/>
          <w:numId w:val="0"/>
        </w:numPr>
        <w:ind w:left="360" w:hanging="36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76B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733FD644">
            <w:pPr>
              <w:spacing w:after="0" w:line="240" w:lineRule="auto"/>
            </w:pPr>
            <w:r>
              <w:rPr>
                <w:b/>
                <w:sz w:val="18"/>
              </w:rPr>
              <w:t>Database table</w:t>
            </w:r>
          </w:p>
        </w:tc>
        <w:tc>
          <w:tcPr>
            <w:tcW w:w="3408" w:type="dxa"/>
            <w:shd w:val="clear" w:color="auto" w:fill="D9EAF7"/>
          </w:tcPr>
          <w:p w14:paraId="730BEBD5">
            <w:pPr>
              <w:spacing w:after="0" w:line="240" w:lineRule="auto"/>
            </w:pPr>
            <w:r>
              <w:rPr>
                <w:b/>
                <w:sz w:val="18"/>
              </w:rPr>
              <w:t>Key</w:t>
            </w:r>
          </w:p>
        </w:tc>
        <w:tc>
          <w:tcPr>
            <w:tcW w:w="3408" w:type="dxa"/>
            <w:shd w:val="clear" w:color="auto" w:fill="D9EAF7"/>
          </w:tcPr>
          <w:p w14:paraId="2B633168">
            <w:pPr>
              <w:spacing w:after="0" w:line="240" w:lineRule="auto"/>
            </w:pPr>
            <w:r>
              <w:rPr>
                <w:b/>
                <w:sz w:val="18"/>
              </w:rPr>
              <w:t>Purpose</w:t>
            </w:r>
          </w:p>
        </w:tc>
      </w:tr>
      <w:tr w14:paraId="79BC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69D0179">
            <w:pPr>
              <w:spacing w:after="0" w:line="240" w:lineRule="auto"/>
            </w:pPr>
            <w:r>
              <w:rPr>
                <w:sz w:val="18"/>
              </w:rPr>
              <w:t>PlayerEngagement</w:t>
            </w:r>
          </w:p>
        </w:tc>
        <w:tc>
          <w:tcPr>
            <w:tcW w:w="3408" w:type="dxa"/>
            <w:vAlign w:val="center"/>
          </w:tcPr>
          <w:p w14:paraId="504E3E45">
            <w:pPr>
              <w:spacing w:after="0" w:line="240" w:lineRule="auto"/>
            </w:pPr>
            <w:r>
              <w:rPr>
                <w:sz w:val="18"/>
              </w:rPr>
              <w:t>PlayerID</w:t>
            </w:r>
          </w:p>
        </w:tc>
        <w:tc>
          <w:tcPr>
            <w:tcW w:w="3408" w:type="dxa"/>
            <w:vAlign w:val="center"/>
          </w:tcPr>
          <w:p w14:paraId="64B7C990">
            <w:pPr>
              <w:spacing w:after="0" w:line="240" w:lineRule="auto"/>
            </w:pPr>
            <w:r>
              <w:rPr>
                <w:sz w:val="18"/>
              </w:rPr>
              <w:t>Player demographics, gameplay and engagement metrics</w:t>
            </w:r>
          </w:p>
        </w:tc>
      </w:tr>
      <w:tr w14:paraId="0776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B16FCE">
            <w:pPr>
              <w:spacing w:after="0" w:line="240" w:lineRule="auto"/>
            </w:pPr>
            <w:r>
              <w:rPr>
                <w:sz w:val="18"/>
              </w:rPr>
              <w:t>PlayerMonetisation</w:t>
            </w:r>
          </w:p>
        </w:tc>
        <w:tc>
          <w:tcPr>
            <w:tcW w:w="3408" w:type="dxa"/>
            <w:vAlign w:val="center"/>
          </w:tcPr>
          <w:p w14:paraId="2B1B10C6">
            <w:pPr>
              <w:spacing w:after="0" w:line="240" w:lineRule="auto"/>
            </w:pPr>
            <w:r>
              <w:rPr>
                <w:sz w:val="18"/>
              </w:rPr>
              <w:t>PlayerID</w:t>
            </w:r>
          </w:p>
        </w:tc>
        <w:tc>
          <w:tcPr>
            <w:tcW w:w="3408" w:type="dxa"/>
            <w:vAlign w:val="center"/>
          </w:tcPr>
          <w:p w14:paraId="485F34BA">
            <w:pPr>
              <w:spacing w:after="0" w:line="240" w:lineRule="auto"/>
            </w:pPr>
            <w:r>
              <w:rPr>
                <w:sz w:val="18"/>
              </w:rPr>
              <w:t>Spending, purchase, offer and LTV metrics</w:t>
            </w:r>
          </w:p>
        </w:tc>
      </w:tr>
      <w:tr w14:paraId="7957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AFEBC4">
            <w:pPr>
              <w:spacing w:after="0" w:line="240" w:lineRule="auto"/>
            </w:pPr>
            <w:r>
              <w:rPr>
                <w:sz w:val="18"/>
              </w:rPr>
              <w:t>PlayerBehaviorExtensions</w:t>
            </w:r>
          </w:p>
        </w:tc>
        <w:tc>
          <w:tcPr>
            <w:tcW w:w="3408" w:type="dxa"/>
            <w:vAlign w:val="center"/>
          </w:tcPr>
          <w:p w14:paraId="79F4A706">
            <w:pPr>
              <w:spacing w:after="0" w:line="240" w:lineRule="auto"/>
            </w:pPr>
            <w:r>
              <w:rPr>
                <w:sz w:val="18"/>
              </w:rPr>
              <w:t>PlayerID</w:t>
            </w:r>
          </w:p>
        </w:tc>
        <w:tc>
          <w:tcPr>
            <w:tcW w:w="3408" w:type="dxa"/>
            <w:vAlign w:val="center"/>
          </w:tcPr>
          <w:p w14:paraId="39B895CE">
            <w:pPr>
              <w:spacing w:after="0" w:line="240" w:lineRule="auto"/>
            </w:pPr>
            <w:r>
              <w:rPr>
                <w:sz w:val="18"/>
              </w:rPr>
              <w:t>Game mode, preferred playtime and item-category behaviour</w:t>
            </w:r>
          </w:p>
        </w:tc>
      </w:tr>
    </w:tbl>
    <w:p w14:paraId="3772341C"/>
    <w:p w14:paraId="3345F269">
      <w:pPr>
        <w:rPr>
          <w:rFonts w:ascii="Aptos Display" w:hAnsi="Aptos Display"/>
          <w:b/>
          <w:sz w:val="24"/>
        </w:rPr>
      </w:pPr>
      <w:r>
        <w:rPr>
          <w:rFonts w:ascii="Aptos Display" w:hAnsi="Aptos Display"/>
          <w:b/>
          <w:sz w:val="24"/>
        </w:rPr>
        <w:t>9.2 Git Repository</w:t>
      </w:r>
    </w:p>
    <w:p w14:paraId="2D53CF4A">
      <w:pPr>
        <w:pStyle w:val="24"/>
      </w:pPr>
      <w:r>
        <w:fldChar w:fldCharType="begin"/>
      </w:r>
      <w:r>
        <w:instrText xml:space="preserve"> HYPERLINK "https://myrepos.stackroute.niit.com/1968475_Sayeda" </w:instrText>
      </w:r>
      <w:r>
        <w:fldChar w:fldCharType="separate"/>
      </w:r>
      <w:r>
        <w:rPr>
          <w:rStyle w:val="20"/>
        </w:rPr>
        <w:t>Sayeda Husnain F · GitLab</w:t>
      </w:r>
      <w:r>
        <w:rPr>
          <w:rStyle w:val="20"/>
        </w:rPr>
        <w:fldChar w:fldCharType="end"/>
      </w:r>
    </w:p>
    <w:p w14:paraId="07F06B5F">
      <w:pPr>
        <w:pStyle w:val="24"/>
      </w:pPr>
      <w:r>
        <w:fldChar w:fldCharType="begin"/>
      </w:r>
      <w:r>
        <w:instrText xml:space="preserve"> HYPERLINK "https://myrepos.stackroute.niit.com/1827671_RAHUL" </w:instrText>
      </w:r>
      <w:r>
        <w:fldChar w:fldCharType="separate"/>
      </w:r>
      <w:r>
        <w:rPr>
          <w:rStyle w:val="20"/>
        </w:rPr>
        <w:t>RAHUL PANDEY · GitLab</w:t>
      </w:r>
      <w:r>
        <w:rPr>
          <w:rStyle w:val="20"/>
        </w:rPr>
        <w:fldChar w:fldCharType="end"/>
      </w:r>
      <w:r>
        <w:br w:type="textWrapping"/>
      </w:r>
    </w:p>
    <w:p w14:paraId="0930F7D8">
      <w:pPr>
        <w:spacing w:before="200" w:after="100"/>
      </w:pPr>
      <w:r>
        <w:rPr>
          <w:rFonts w:ascii="Aptos Display" w:hAnsi="Aptos Display"/>
          <w:b/>
          <w:sz w:val="30"/>
        </w:rPr>
        <w:t>10. Phase 2 Completion Summary</w:t>
      </w:r>
    </w:p>
    <w:p w14:paraId="36A0DD5B">
      <w:pPr>
        <w:spacing w:after="100"/>
      </w:pPr>
      <w:r>
        <w:t>Phase 2 establishes a cleaned, validated and analysis-ready foundation for the player analytics project. All three datasets contain 43,058 unique players linked through PlayerID. The major data-quality work was concentrated in Monetisation, where missing values, categorical inconsistencies and positively skewed numerical outliers were treated using median imputation, mode-based categorical treatment, standardized formatting and $1.5 × IQR upper-bound capping. Engagement outliers were assessed with domain-aware logic, retaining genuine high-value 'Whale' purchase behaviour.</w:t>
      </w:r>
    </w:p>
    <w:p w14:paraId="5458CC42">
      <w:pPr>
        <w:spacing w:after="100"/>
      </w:pPr>
      <w:r>
        <w:t>The cleaned datasets are structured for relational database storage, SQL analysis, Python analytics and dashboard development. The four preliminary business hypotheses provide the analytical direction for subsequent phases.</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8D7BD">
    <w:pPr>
      <w:pStyle w:val="18"/>
      <w:jc w:val="center"/>
    </w:pPr>
    <w:r>
      <w:rPr>
        <w:sz w:val="16"/>
      </w:rPr>
      <w:t>Phase 2 Project Document | Player Engagement, Monetisation &amp; Behaviour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2FC3"/>
    <w:rsid w:val="0029639D"/>
    <w:rsid w:val="00326F90"/>
    <w:rsid w:val="00340E0D"/>
    <w:rsid w:val="00420D4A"/>
    <w:rsid w:val="00585D29"/>
    <w:rsid w:val="006A1665"/>
    <w:rsid w:val="00813FC9"/>
    <w:rsid w:val="00AA1D8D"/>
    <w:rsid w:val="00B47730"/>
    <w:rsid w:val="00CB0664"/>
    <w:rsid w:val="00CE764F"/>
    <w:rsid w:val="00E50E22"/>
    <w:rsid w:val="00F649ED"/>
    <w:rsid w:val="00F84A1D"/>
    <w:rsid w:val="00FC693F"/>
    <w:rsid w:val="51361D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1886</Words>
  <Characters>12194</Characters>
  <Lines>101</Lines>
  <Paragraphs>28</Paragraphs>
  <TotalTime>905</TotalTime>
  <ScaleCrop>false</ScaleCrop>
  <LinksUpToDate>false</LinksUpToDate>
  <CharactersWithSpaces>13751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Sayeda Husnain</dc:creator>
  <cp:lastModifiedBy>Rahul Pandey</cp:lastModifiedBy>
  <dcterms:modified xsi:type="dcterms:W3CDTF">2026-08-21T15:08:39Z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eyJoZGlkIjoiM2E2ODYyZmFlZmI3MjBhY2QzZDkyZGYzNWNlZTFhOTIiLCJ1c2VySWQiOiI1Njc2NTMzNTIzNzcifQ==</vt:lpwstr>
  </property>
  <property fmtid="{D5CDD505-2E9C-101B-9397-08002B2CF9AE}" pid="3" name="KSOProductBuildVer">
    <vt:lpwstr>1033-12.1.0.28032</vt:lpwstr>
  </property>
  <property fmtid="{D5CDD505-2E9C-101B-9397-08002B2CF9AE}" pid="4" name="ICV">
    <vt:lpwstr>3AF3760816AE4042B4CD7B96C344EA79_12</vt:lpwstr>
  </property>
</Properties>
</file>