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2F9CB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lang w:val="en-US"/>
        </w:rPr>
        <w:t>x</w:t>
      </w:r>
      <w:bookmarkStart w:id="0" w:name="_GoBack"/>
      <w:bookmarkEnd w:id="0"/>
      <w:r>
        <w:rPr>
          <w:rFonts w:hint="default" w:ascii="Arial" w:hAnsi="Arial" w:eastAsia="sans-serif" w:cs="Arial"/>
        </w:rPr>
        <w:t>PHASE 3 PROJECT DOCUMENT</w:t>
      </w:r>
    </w:p>
    <w:p w14:paraId="0990533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Business Problem Definition &amp; Hypothesis Framing</w:t>
      </w:r>
    </w:p>
    <w:p w14:paraId="5F54533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i/>
          <w:iCs/>
        </w:rPr>
        <w:t xml:space="preserve">Player Engagement, </w:t>
      </w:r>
      <w:r>
        <w:rPr>
          <w:rFonts w:hint="default" w:ascii="Arial" w:hAnsi="Arial" w:eastAsia="sans-serif" w:cs="Arial"/>
          <w:i/>
          <w:iCs/>
          <w:lang w:val="en-US"/>
        </w:rPr>
        <w:t>Monetization</w:t>
      </w:r>
      <w:r>
        <w:rPr>
          <w:rFonts w:hint="default" w:ascii="Arial" w:hAnsi="Arial" w:eastAsia="sans-serif" w:cs="Arial"/>
          <w:i/>
          <w:iCs/>
        </w:rPr>
        <w:t xml:space="preserve"> &amp; Behaviour Analysis (Topic 6 - GameTech)</w:t>
      </w:r>
    </w:p>
    <w:p w14:paraId="35BDF84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1. Business Problem Statement</w:t>
      </w:r>
    </w:p>
    <w:p w14:paraId="376FE18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In the competitive </w:t>
      </w:r>
      <w:r>
        <w:rPr>
          <w:rFonts w:hint="default" w:ascii="Arial" w:hAnsi="Arial" w:eastAsia="sans-serif" w:cs="Arial"/>
          <w:lang w:val="en-US"/>
        </w:rPr>
        <w:t>premium</w:t>
      </w:r>
      <w:r>
        <w:rPr>
          <w:rFonts w:hint="default" w:ascii="Arial" w:hAnsi="Arial" w:eastAsia="sans-serif" w:cs="Arial"/>
        </w:rPr>
        <w:t xml:space="preserve"> mobile and video gaming industry, studios face significant challenges in converting active players into paying customers, preventing </w:t>
      </w:r>
      <w:r>
        <w:rPr>
          <w:rFonts w:hint="default" w:ascii="Arial" w:hAnsi="Arial" w:eastAsia="sans-serif" w:cs="Arial"/>
          <w:lang w:val="en-US"/>
        </w:rPr>
        <w:t>mid-life cycle</w:t>
      </w:r>
      <w:r>
        <w:rPr>
          <w:rFonts w:hint="default" w:ascii="Arial" w:hAnsi="Arial" w:eastAsia="sans-serif" w:cs="Arial"/>
        </w:rPr>
        <w:t xml:space="preserve"> churn, and tailoring promotional offers without hurting user engagement. </w:t>
      </w:r>
    </w:p>
    <w:p w14:paraId="462A288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The primary business challenge is the disconnect between player activity (playtime, sessions, achievements) and monetization outcomes (in-app purchases, spending tiers, and long-term Lifetime Value). Without data-backed behavioral segmentation, game publishers risk offering misaligned discounts to high-value spenders ("Whales") or losing price-sensitive casual players ("Minnows") due to poor on</w:t>
      </w:r>
      <w:r>
        <w:rPr>
          <w:rFonts w:hint="default" w:ascii="Arial" w:hAnsi="Arial" w:eastAsia="sans-serif" w:cs="Arial"/>
          <w:lang w:val="en-US"/>
        </w:rPr>
        <w:t xml:space="preserve"> </w:t>
      </w:r>
      <w:r>
        <w:rPr>
          <w:rFonts w:hint="default" w:ascii="Arial" w:hAnsi="Arial" w:eastAsia="sans-serif" w:cs="Arial"/>
        </w:rPr>
        <w:t xml:space="preserve">boarding strategies. </w:t>
      </w:r>
    </w:p>
    <w:p w14:paraId="5B4A312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2. Strategic Objectives to Analytical Questions Mapping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2645"/>
        <w:gridCol w:w="5532"/>
      </w:tblGrid>
      <w:tr w14:paraId="46D9C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115B1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F8E15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Core Business Objective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DCF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Strategic Analytical Question (AQ)</w:t>
            </w:r>
          </w:p>
        </w:tc>
      </w:tr>
      <w:tr w14:paraId="5CC3F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28E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2275D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Player Profiling &amp; Demographics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7B9F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AQ1:</w:t>
            </w:r>
            <w:r>
              <w:rPr>
                <w:rFonts w:hint="default" w:ascii="Arial" w:hAnsi="Arial" w:eastAsia="sans-serif" w:cs="Arial"/>
              </w:rPr>
              <w:t xml:space="preserve"> Is there a significant dependency between a player's geographic location (</w:t>
            </w:r>
            <w:r>
              <w:rPr>
                <w:rStyle w:val="6"/>
                <w:rFonts w:hint="default" w:ascii="Arial" w:hAnsi="Arial" w:eastAsia="sans-serif" w:cs="Arial"/>
              </w:rPr>
              <w:t>Location</w:t>
            </w:r>
            <w:r>
              <w:rPr>
                <w:rFonts w:hint="default" w:ascii="Arial" w:hAnsi="Arial" w:eastAsia="sans-serif" w:cs="Arial"/>
              </w:rPr>
              <w:t>) and their preferred game genre (</w:t>
            </w:r>
            <w:r>
              <w:rPr>
                <w:rStyle w:val="6"/>
                <w:rFonts w:hint="default" w:ascii="Arial" w:hAnsi="Arial" w:eastAsia="sans-serif" w:cs="Arial"/>
              </w:rPr>
              <w:t>GameGenre</w:t>
            </w:r>
            <w:r>
              <w:rPr>
                <w:rFonts w:hint="default" w:ascii="Arial" w:hAnsi="Arial" w:eastAsia="sans-serif" w:cs="Arial"/>
              </w:rPr>
              <w:t xml:space="preserve">)? </w:t>
            </w:r>
          </w:p>
        </w:tc>
      </w:tr>
      <w:tr w14:paraId="503A4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EFEA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61BC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Engagement Dynamics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40A50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AQ2:</w:t>
            </w:r>
            <w:r>
              <w:rPr>
                <w:rFonts w:hint="default" w:ascii="Arial" w:hAnsi="Arial" w:eastAsia="sans-serif" w:cs="Arial"/>
              </w:rPr>
              <w:t xml:space="preserve"> Do highly active players (above-median weekly playtime) exhibit a significantly higher conversion rate into paying users compared to low-active players? </w:t>
            </w:r>
          </w:p>
        </w:tc>
      </w:tr>
      <w:tr w14:paraId="70E83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BD4BD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D14FA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Monetization &amp; Spending Segments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88DB4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AQ3:</w:t>
            </w:r>
            <w:r>
              <w:rPr>
                <w:rFonts w:hint="default" w:ascii="Arial" w:hAnsi="Arial" w:eastAsia="sans-serif" w:cs="Arial"/>
              </w:rPr>
              <w:t xml:space="preserve"> Is there a statistically significant association between a player's engagement level (</w:t>
            </w:r>
            <w:r>
              <w:rPr>
                <w:rStyle w:val="6"/>
                <w:rFonts w:hint="default" w:ascii="Arial" w:hAnsi="Arial" w:eastAsia="sans-serif" w:cs="Arial"/>
              </w:rPr>
              <w:t>Low</w:t>
            </w:r>
            <w:r>
              <w:rPr>
                <w:rFonts w:hint="default" w:ascii="Arial" w:hAnsi="Arial" w:eastAsia="sans-serif" w:cs="Arial"/>
              </w:rPr>
              <w:t xml:space="preserve">, </w:t>
            </w:r>
            <w:r>
              <w:rPr>
                <w:rStyle w:val="6"/>
                <w:rFonts w:hint="default" w:ascii="Arial" w:hAnsi="Arial" w:eastAsia="sans-serif" w:cs="Arial"/>
              </w:rPr>
              <w:t>Medium</w:t>
            </w:r>
            <w:r>
              <w:rPr>
                <w:rFonts w:hint="default" w:ascii="Arial" w:hAnsi="Arial" w:eastAsia="sans-serif" w:cs="Arial"/>
              </w:rPr>
              <w:t xml:space="preserve">, </w:t>
            </w:r>
            <w:r>
              <w:rPr>
                <w:rStyle w:val="6"/>
                <w:rFonts w:hint="default" w:ascii="Arial" w:hAnsi="Arial" w:eastAsia="sans-serif" w:cs="Arial"/>
              </w:rPr>
              <w:t>High</w:t>
            </w:r>
            <w:r>
              <w:rPr>
                <w:rFonts w:hint="default" w:ascii="Arial" w:hAnsi="Arial" w:eastAsia="sans-serif" w:cs="Arial"/>
              </w:rPr>
              <w:t>) and their spending segment (</w:t>
            </w:r>
            <w:r>
              <w:rPr>
                <w:rStyle w:val="6"/>
                <w:rFonts w:hint="default" w:ascii="Arial" w:hAnsi="Arial" w:eastAsia="sans-serif" w:cs="Arial"/>
              </w:rPr>
              <w:t>Minnow</w:t>
            </w:r>
            <w:r>
              <w:rPr>
                <w:rFonts w:hint="default" w:ascii="Arial" w:hAnsi="Arial" w:eastAsia="sans-serif" w:cs="Arial"/>
              </w:rPr>
              <w:t xml:space="preserve">, </w:t>
            </w:r>
            <w:r>
              <w:rPr>
                <w:rStyle w:val="6"/>
                <w:rFonts w:hint="default" w:ascii="Arial" w:hAnsi="Arial" w:eastAsia="sans-serif" w:cs="Arial"/>
              </w:rPr>
              <w:t>Dolphin</w:t>
            </w:r>
            <w:r>
              <w:rPr>
                <w:rFonts w:hint="default" w:ascii="Arial" w:hAnsi="Arial" w:eastAsia="sans-serif" w:cs="Arial"/>
              </w:rPr>
              <w:t xml:space="preserve">, </w:t>
            </w:r>
            <w:r>
              <w:rPr>
                <w:rStyle w:val="6"/>
                <w:rFonts w:hint="default" w:ascii="Arial" w:hAnsi="Arial" w:eastAsia="sans-serif" w:cs="Arial"/>
              </w:rPr>
              <w:t>Whale</w:t>
            </w:r>
            <w:r>
              <w:rPr>
                <w:rFonts w:hint="default" w:ascii="Arial" w:hAnsi="Arial" w:eastAsia="sans-serif" w:cs="Arial"/>
              </w:rPr>
              <w:t xml:space="preserve">)? </w:t>
            </w:r>
          </w:p>
        </w:tc>
      </w:tr>
      <w:tr w14:paraId="1B5C4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3AE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4431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Offer &amp; Discount Sensitivity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B792D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AQ4:</w:t>
            </w:r>
            <w:r>
              <w:rPr>
                <w:rFonts w:hint="default" w:ascii="Arial" w:hAnsi="Arial" w:eastAsia="sans-serif" w:cs="Arial"/>
              </w:rPr>
              <w:t xml:space="preserve"> Do price-sensitive </w:t>
            </w:r>
            <w:r>
              <w:rPr>
                <w:rStyle w:val="6"/>
                <w:rFonts w:hint="default" w:ascii="Arial" w:hAnsi="Arial" w:eastAsia="sans-serif" w:cs="Arial"/>
              </w:rPr>
              <w:t>Minnow</w:t>
            </w:r>
            <w:r>
              <w:rPr>
                <w:rFonts w:hint="default" w:ascii="Arial" w:hAnsi="Arial" w:eastAsia="sans-serif" w:cs="Arial"/>
              </w:rPr>
              <w:t xml:space="preserve"> spenders exhibit a significantly higher mean </w:t>
            </w:r>
            <w:r>
              <w:rPr>
                <w:rStyle w:val="6"/>
                <w:rFonts w:hint="default" w:ascii="Arial" w:hAnsi="Arial" w:eastAsia="sans-serif" w:cs="Arial"/>
              </w:rPr>
              <w:t>OfferResponseRate</w:t>
            </w:r>
            <w:r>
              <w:rPr>
                <w:rFonts w:hint="default" w:ascii="Arial" w:hAnsi="Arial" w:eastAsia="sans-serif" w:cs="Arial"/>
              </w:rPr>
              <w:t xml:space="preserve"> compared to high-value </w:t>
            </w:r>
            <w:r>
              <w:rPr>
                <w:rStyle w:val="6"/>
                <w:rFonts w:hint="default" w:ascii="Arial" w:hAnsi="Arial" w:eastAsia="sans-serif" w:cs="Arial"/>
              </w:rPr>
              <w:t>Whale</w:t>
            </w:r>
            <w:r>
              <w:rPr>
                <w:rFonts w:hint="default" w:ascii="Arial" w:hAnsi="Arial" w:eastAsia="sans-serif" w:cs="Arial"/>
              </w:rPr>
              <w:t xml:space="preserve"> spenders? </w:t>
            </w:r>
          </w:p>
        </w:tc>
      </w:tr>
      <w:tr w14:paraId="443A2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17A03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4AFB4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Early Conversion Dynamics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6FD5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AQ5:</w:t>
            </w:r>
            <w:r>
              <w:rPr>
                <w:rFonts w:hint="default" w:ascii="Arial" w:hAnsi="Arial" w:eastAsia="sans-serif" w:cs="Arial"/>
              </w:rPr>
              <w:t xml:space="preserve"> Do players who make their first in-game purchase within the first 7 days after installation achieve a significantly higher mean </w:t>
            </w:r>
            <w:r>
              <w:rPr>
                <w:rStyle w:val="6"/>
                <w:rFonts w:hint="default" w:ascii="Arial" w:hAnsi="Arial" w:eastAsia="sans-serif" w:cs="Arial"/>
              </w:rPr>
              <w:t>LTV</w:t>
            </w:r>
            <w:r>
              <w:rPr>
                <w:rFonts w:hint="default" w:ascii="Arial" w:hAnsi="Arial" w:eastAsia="sans-serif" w:cs="Arial"/>
              </w:rPr>
              <w:t xml:space="preserve"> than late converters? </w:t>
            </w:r>
          </w:p>
        </w:tc>
      </w:tr>
      <w:tr w14:paraId="70576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3A48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D822F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Behavioral Patterns &amp; Predictive LTV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9D31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AQ6:</w:t>
            </w:r>
            <w:r>
              <w:rPr>
                <w:rFonts w:hint="default" w:ascii="Arial" w:hAnsi="Arial" w:eastAsia="sans-serif" w:cs="Arial"/>
              </w:rPr>
              <w:t xml:space="preserve"> Does monthly in-app purchase spending have a statistically significant linear relationship to predict total Player Lifetime Value (</w:t>
            </w:r>
            <w:r>
              <w:rPr>
                <w:rStyle w:val="6"/>
                <w:rFonts w:hint="default" w:ascii="Arial" w:hAnsi="Arial" w:eastAsia="sans-serif" w:cs="Arial"/>
              </w:rPr>
              <w:t>LTV</w:t>
            </w:r>
            <w:r>
              <w:rPr>
                <w:rFonts w:hint="default" w:ascii="Arial" w:hAnsi="Arial" w:eastAsia="sans-serif" w:cs="Arial"/>
              </w:rPr>
              <w:t xml:space="preserve">)? </w:t>
            </w:r>
          </w:p>
        </w:tc>
      </w:tr>
    </w:tbl>
    <w:p w14:paraId="60AE188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3. Formulated Testable Hypotheses &amp; Validation Framework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1"/>
        <w:gridCol w:w="1300"/>
        <w:gridCol w:w="1300"/>
        <w:gridCol w:w="3204"/>
        <w:gridCol w:w="1501"/>
      </w:tblGrid>
      <w:tr w14:paraId="3472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EDCA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Hypothesis 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6162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Null Hypothesis (H0​)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1D1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Alternative Hypothesis (H1​)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8F50E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Target Metrics &amp; Variables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AA94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Statistical Validation Method</w:t>
            </w:r>
          </w:p>
        </w:tc>
      </w:tr>
      <w:tr w14:paraId="0DCCC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CEFFA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H1: Regional Genre Preference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1D69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lang w:val="en-US"/>
              </w:rPr>
              <w:t>H</w:t>
            </w: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o</m:t>
              </m:r>
            </m:oMath>
            <w:r>
              <w:rPr>
                <w:rFonts w:hint="default" w:ascii="Arial" w:hAnsi="Arial" w:eastAsia="sans-serif" w:cs="Arial"/>
                <w:b/>
                <w:bCs/>
              </w:rPr>
              <w:t>:</w:t>
            </w:r>
            <w:r>
              <w:rPr>
                <w:rFonts w:hint="default" w:ascii="Arial" w:hAnsi="Arial" w:eastAsia="sans-serif" w:cs="Arial"/>
              </w:rPr>
              <w:t xml:space="preserve"> Player game genre preference is independent of geographic location.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B904A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hAnsi="Cambria Math" w:eastAsia="sans-serif" w:cs="Arial"/>
                <w:b/>
                <w:bCs/>
                <w:i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H</w:t>
            </w: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</m:oMath>
          </w:p>
          <w:p w14:paraId="467E157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:</w:t>
            </w:r>
            <w:r>
              <w:rPr>
                <w:rFonts w:hint="default" w:ascii="Arial" w:hAnsi="Arial" w:eastAsia="sans-serif" w:cs="Arial"/>
              </w:rPr>
              <w:t xml:space="preserve"> Player game genre preference is significantly dependent on geographic location.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9EC3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6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Location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GameGenre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516B6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hAnsi="Arial" w:eastAsia="sans-serif" w:cs="Arial"/>
                <w:b/>
                <w:bCs/>
                <w:i w:val="0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Chi-Square (</w:t>
            </w:r>
            <m:oMath>
              <m:sSup>
                <m:sSupPr>
                  <m:ctrlPr>
                    <w:rPr>
                      <w:rFonts w:hint="default" w:ascii="Cambria Math" w:hAnsi="Cambria Math" w:eastAsia="sans-serif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</w:rPr>
                    <m:t>χ</m:t>
                  </m:r>
                  <m:ctrlPr>
                    <w:rPr>
                      <w:rFonts w:ascii="Cambria Math" w:hAnsi="Cambria Math" w:eastAsia="sans-serif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</w:rPr>
                    <m:t>2</m:t>
                  </m:r>
                  <m:ctrlPr>
                    <w:rPr>
                      <w:rFonts w:ascii="Cambria Math" w:hAnsi="Cambria Math" w:eastAsia="sans-serif"/>
                    </w:rPr>
                  </m:ctrlPr>
                </m:sup>
              </m:sSup>
            </m:oMath>
          </w:p>
          <w:p w14:paraId="3530174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) Test of Independence</w:t>
            </w:r>
          </w:p>
        </w:tc>
      </w:tr>
      <w:tr w14:paraId="2BE65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4744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H2: High vs. Low Playtime Conversion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629CE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hAnsi="Arial" w:eastAsia="sans-serif" w:cs="Arial"/>
                <w:i w:val="0"/>
              </w:rPr>
            </w:pPr>
            <w:r>
              <w:rPr>
                <w:rFonts w:hint="default" w:ascii="Arial" w:hAnsi="Arial" w:eastAsia="sans-serif" w:cs="Arial"/>
                <w:b/>
                <w:bCs/>
                <w:lang w:val="en-US"/>
              </w:rPr>
              <w:t>H</w:t>
            </w: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o</m:t>
              </m:r>
            </m:oMath>
            <w:r>
              <w:rPr>
                <w:rFonts w:hint="default" w:ascii="Arial" w:hAnsi="Arial" w:eastAsia="sans-serif" w:cs="Arial"/>
                <w:b/>
                <w:bCs/>
              </w:rPr>
              <w:t>:</w:t>
            </w:r>
            <w:r>
              <w:rPr>
                <w:rFonts w:hint="default" w:ascii="Arial" w:hAnsi="Arial" w:eastAsia="sans-serif" w:cs="Arial"/>
              </w:rPr>
              <w:t xml:space="preserve"> The proportion of paying players in the high-playtime group equals the proportion in the low-playtime group (</w:t>
            </w:r>
            <m:oMath>
              <m:sSub>
                <m:sSubPr>
                  <m:ctrlPr>
                    <w:rPr>
                      <w:rFonts w:hint="default" w:ascii="Cambria Math" w:hAnsi="Cambria Math" w:eastAsia="sans-serif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</w:rPr>
                    <m:t>p</m:t>
                  </m:r>
                  <m:ctrlPr>
                    <w:rPr>
                      <w:rFonts w:ascii="Cambria Math" w:hAnsi="Cambria Math" w:eastAsia="sans-serif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</w:rPr>
                    <m:t>1</m:t>
                  </m:r>
                  <m:ctrlPr>
                    <w:rPr>
                      <w:rFonts w:ascii="Cambria Math" w:hAnsi="Cambria Math" w:eastAsia="sans-serif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eastAsia="sans-serif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</w:rPr>
                    <m:t>p</m:t>
                  </m:r>
                  <m:ctrlPr>
                    <w:rPr>
                      <w:rFonts w:ascii="Cambria Math" w:hAnsi="Cambria Math" w:eastAsia="sans-serif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</w:rPr>
                    <m:t>2</m:t>
                  </m:r>
                  <m:ctrlPr>
                    <w:rPr>
                      <w:rFonts w:ascii="Cambria Math" w:hAnsi="Cambria Math" w:eastAsia="sans-serif"/>
                    </w:rPr>
                  </m:ctrlPr>
                </m:sub>
              </m:sSub>
            </m:oMath>
          </w:p>
          <w:p w14:paraId="4AA9188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).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80DCF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hAnsi="Arial" w:eastAsia="sans-serif" w:cs="Arial"/>
                <w:i w:val="0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H</w:t>
            </w: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</m:oMath>
            <w:r>
              <w:rPr>
                <w:rFonts w:hint="default" w:ascii="Arial" w:hAnsi="Arial" w:eastAsia="sans-serif" w:cs="Arial"/>
                <w:b/>
                <w:bCs/>
              </w:rPr>
              <w:t>:</w:t>
            </w:r>
            <w:r>
              <w:rPr>
                <w:rFonts w:hint="default" w:ascii="Arial" w:hAnsi="Arial" w:eastAsia="sans-serif" w:cs="Arial"/>
              </w:rPr>
              <w:t xml:space="preserve"> The proportion of paying players in the high-playtime group is significantly greater than in the low-playtime group (</w:t>
            </w:r>
            <m:oMath>
              <m:sSub>
                <m:sSubPr>
                  <m:ctrlPr>
                    <w:rPr>
                      <w:rFonts w:hint="default" w:ascii="Cambria Math" w:hAnsi="Cambria Math" w:eastAsia="sans-serif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</w:rPr>
                    <m:t>p</m:t>
                  </m:r>
                  <m:ctrlPr>
                    <w:rPr>
                      <w:rFonts w:ascii="Cambria Math" w:hAnsi="Cambria Math" w:eastAsia="sans-serif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</w:rPr>
                    <m:t>1</m:t>
                  </m:r>
                  <m:ctrlPr>
                    <w:rPr>
                      <w:rFonts w:ascii="Cambria Math" w:hAnsi="Cambria Math" w:eastAsia="sans-serif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</w:rPr>
                <m:t>&gt;</m:t>
              </m:r>
              <m:sSub>
                <m:sSubPr>
                  <m:ctrlPr>
                    <w:rPr>
                      <w:rFonts w:hint="default" w:ascii="Cambria Math" w:hAnsi="Cambria Math" w:eastAsia="sans-serif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</w:rPr>
                    <m:t>p</m:t>
                  </m:r>
                  <m:ctrlPr>
                    <w:rPr>
                      <w:rFonts w:ascii="Cambria Math" w:hAnsi="Cambria Math" w:eastAsia="sans-serif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</w:rPr>
                    <m:t>2</m:t>
                  </m:r>
                  <m:ctrlPr>
                    <w:rPr>
                      <w:rFonts w:ascii="Cambria Math" w:hAnsi="Cambria Math" w:eastAsia="sans-serif"/>
                    </w:rPr>
                  </m:ctrlPr>
                </m:sub>
              </m:sSub>
            </m:oMath>
          </w:p>
          <w:p w14:paraId="25D4C6D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).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83F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6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PlayTimeHours_Treated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InGamePurchases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 xml:space="preserve"> (Buyer vs. Non-Buyer flag)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FAEEC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Two-Sample Z-Test for Proportions</w:t>
            </w:r>
          </w:p>
        </w:tc>
      </w:tr>
      <w:tr w14:paraId="5F47F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ECCD4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H3: Engagement Tier vs. Spending Segment</w:t>
            </w:r>
          </w:p>
        </w:tc>
        <w:tc>
          <w:tcPr>
            <w:tcW w:w="0" w:type="auto"/>
            <w:tcBorders>
              <w:top w:val="nil"/>
              <w:left w:val="single" w:color="C4C7C5" w:sz="4" w:space="0"/>
              <w:bottom w:val="nil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4C5D4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lang w:val="en-US"/>
              </w:rPr>
              <w:t>H</w:t>
            </w: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o</m:t>
              </m:r>
            </m:oMath>
            <w:r>
              <w:rPr>
                <w:rFonts w:hint="default" w:ascii="Arial" w:hAnsi="Arial" w:eastAsia="sans-serif" w:cs="Arial"/>
                <w:b/>
                <w:bCs/>
              </w:rPr>
              <w:t>:</w:t>
            </w:r>
            <w:r>
              <w:rPr>
                <w:rFonts w:hint="default" w:ascii="Arial" w:hAnsi="Arial" w:eastAsia="sans-serif" w:cs="Arial"/>
              </w:rPr>
              <w:t xml:space="preserve"> Player engagement tier is independent of the player's spending segment. </w:t>
            </w:r>
          </w:p>
        </w:tc>
        <w:tc>
          <w:tcPr>
            <w:tcW w:w="0" w:type="auto"/>
            <w:tcBorders>
              <w:top w:val="nil"/>
              <w:left w:val="single" w:color="C4C7C5" w:sz="4" w:space="0"/>
              <w:bottom w:val="nil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712AE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hAnsi="Cambria Math" w:eastAsia="sans-serif" w:cs="Arial"/>
                <w:b/>
                <w:bCs/>
                <w:i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H</w:t>
            </w: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</m:oMath>
          </w:p>
          <w:p w14:paraId="6DBB353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:</w:t>
            </w:r>
            <w:r>
              <w:rPr>
                <w:rFonts w:hint="default" w:ascii="Arial" w:hAnsi="Arial" w:eastAsia="sans-serif" w:cs="Arial"/>
              </w:rPr>
              <w:t xml:space="preserve"> Player engagement tier is significantly associated with the player's spending segment. </w:t>
            </w:r>
          </w:p>
        </w:tc>
        <w:tc>
          <w:tcPr>
            <w:tcW w:w="0" w:type="auto"/>
            <w:tcBorders>
              <w:top w:val="nil"/>
              <w:left w:val="single" w:color="C4C7C5" w:sz="4" w:space="0"/>
              <w:bottom w:val="nil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AA3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6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EngagementLevel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SpendingSegment</w:t>
            </w:r>
          </w:p>
        </w:tc>
        <w:tc>
          <w:tcPr>
            <w:tcW w:w="0" w:type="auto"/>
            <w:tcBorders>
              <w:top w:val="nil"/>
              <w:left w:val="single" w:color="C4C7C5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D9A1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Chi-Square (</w:t>
            </w:r>
            <m:oMath>
              <m:sSup>
                <m:sSupPr>
                  <m:ctrlPr>
                    <w:rPr>
                      <w:rFonts w:hint="default" w:ascii="Cambria Math" w:hAnsi="Cambria Math" w:eastAsia="sans-serif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</w:rPr>
                    <m:t>χ</m:t>
                  </m:r>
                  <m:ctrlPr>
                    <w:rPr>
                      <w:rFonts w:ascii="Cambria Math" w:hAnsi="Cambria Math" w:eastAsia="sans-serif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</w:rPr>
                    <m:t>2</m:t>
                  </m:r>
                  <m:ctrlPr>
                    <w:rPr>
                      <w:rFonts w:ascii="Cambria Math" w:hAnsi="Cambria Math" w:eastAsia="sans-serif"/>
                    </w:rPr>
                  </m:ctrlPr>
                </m:sup>
              </m:sSup>
            </m:oMath>
            <w:r>
              <w:rPr>
                <w:rFonts w:hint="default" w:ascii="Arial" w:hAnsi="Arial" w:eastAsia="sans-serif" w:cs="Arial"/>
                <w:b/>
                <w:bCs/>
              </w:rPr>
              <w:t>) Test of Independence</w:t>
            </w:r>
          </w:p>
        </w:tc>
      </w:tr>
      <w:tr w14:paraId="644FD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83D49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H4: Offer Response Sensitivity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43A15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hAnsi="Cambria Math" w:eastAsia="sans-serif"/>
                <w:i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b/>
                <w:bCs/>
                <w:lang w:val="en-US"/>
              </w:rPr>
              <w:t>H</w:t>
            </w: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o</m:t>
              </m:r>
            </m:oMath>
            <w:r>
              <w:rPr>
                <w:rFonts w:hint="default" w:ascii="Arial" w:hAnsi="Arial" w:eastAsia="sans-serif" w:cs="Arial"/>
                <w:b/>
                <w:bCs/>
              </w:rPr>
              <w:t>:</w:t>
            </w:r>
            <w:r>
              <w:rPr>
                <w:rFonts w:hint="default" w:ascii="Arial" w:hAnsi="Arial" w:eastAsia="sans-serif" w:cs="Arial"/>
              </w:rPr>
              <w:t xml:space="preserve"> The mean offer response rate of Minnow spenders is equal to that of Whale spenders (</w:t>
            </w: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μ</m:t>
              </m:r>
            </m:oMath>
            <w:r>
              <w:rPr>
                <w:rFonts w:hint="default" w:hAnsi="Cambria Math" w:eastAsia="sans-serif"/>
                <w:i w:val="0"/>
                <w:sz w:val="24"/>
                <w:lang w:val="en-US"/>
              </w:rPr>
              <w:t xml:space="preserve"> </w:t>
            </w:r>
            <w:r>
              <w:rPr>
                <w:rFonts w:hint="default" w:hAnsi="Cambria Math" w:eastAsia="sans-serif"/>
                <w:i w:val="0"/>
                <w:sz w:val="16"/>
                <w:szCs w:val="16"/>
                <w:lang w:val="en-US"/>
              </w:rPr>
              <w:t>Minnow</w:t>
            </w:r>
            <w:r>
              <w:rPr>
                <w:rFonts w:hint="default" w:hAnsi="Cambria Math" w:eastAsia="sans-serif"/>
                <w:i w:val="0"/>
                <w:sz w:val="21"/>
                <w:szCs w:val="21"/>
                <w:lang w:val="en-US"/>
              </w:rPr>
              <w:t>=</w:t>
            </w:r>
            <m:oMath>
              <m:r>
                <m:rPr/>
                <w:rPr>
                  <w:rFonts w:hint="default" w:ascii="Cambria Math" w:hAnsi="Cambria Math" w:eastAsia="sans-serif"/>
                  <w:sz w:val="21"/>
                </w:rPr>
                <m:t>μ</m:t>
              </m:r>
            </m:oMath>
          </w:p>
          <w:p w14:paraId="574345E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hAnsi="Cambria Math" w:eastAsia="sans-serif"/>
                <w:i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hAnsi="Cambria Math" w:eastAsia="sans-serif"/>
                <w:i w:val="0"/>
                <w:kern w:val="0"/>
                <w:sz w:val="16"/>
                <w:szCs w:val="16"/>
                <w:lang w:val="en-US" w:eastAsia="zh-CN" w:bidi="ar"/>
              </w:rPr>
              <w:t>Whale</w:t>
            </w:r>
          </w:p>
          <w:p w14:paraId="4771357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).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84E3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hAnsi="Cambria Math" w:eastAsia="sans-serif"/>
                <w:i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H</w:t>
            </w: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</m:oMath>
            <w:r>
              <w:rPr>
                <w:rFonts w:hint="default" w:ascii="Arial" w:hAnsi="Arial" w:eastAsia="sans-serif" w:cs="Arial"/>
                <w:b/>
                <w:bCs/>
              </w:rPr>
              <w:t>:</w:t>
            </w:r>
            <w:r>
              <w:rPr>
                <w:rFonts w:hint="default" w:ascii="Arial" w:hAnsi="Arial" w:eastAsia="sans-serif" w:cs="Arial"/>
              </w:rPr>
              <w:t xml:space="preserve"> The mean offer response rate of Minnow spenders is significantly higher than Whale spenders (</w:t>
            </w: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μ</m:t>
              </m:r>
            </m:oMath>
            <w:r>
              <w:rPr>
                <w:rFonts w:hint="default" w:hAnsi="Cambria Math" w:eastAsia="sans-serif"/>
                <w:i w:val="0"/>
                <w:sz w:val="24"/>
                <w:lang w:val="en-US"/>
              </w:rPr>
              <w:t xml:space="preserve"> </w:t>
            </w:r>
            <w:r>
              <w:rPr>
                <w:rFonts w:hint="default" w:hAnsi="Cambria Math" w:eastAsia="sans-serif"/>
                <w:i w:val="0"/>
                <w:sz w:val="16"/>
                <w:szCs w:val="16"/>
                <w:lang w:val="en-US"/>
              </w:rPr>
              <w:t>Minnow</w:t>
            </w:r>
            <w:r>
              <w:rPr>
                <w:rFonts w:hint="default" w:hAnsi="Cambria Math" w:eastAsia="sans-serif"/>
                <w:i w:val="0"/>
                <w:sz w:val="28"/>
                <w:szCs w:val="28"/>
                <w:lang w:val="en-US"/>
              </w:rPr>
              <w:t>&gt;</w:t>
            </w:r>
            <m:oMath>
              <m:r>
                <m:rPr/>
                <w:rPr>
                  <w:rFonts w:hint="default" w:ascii="Cambria Math" w:hAnsi="Cambria Math" w:eastAsia="sans-serif"/>
                  <w:sz w:val="21"/>
                </w:rPr>
                <m:t>μ</m:t>
              </m:r>
            </m:oMath>
          </w:p>
          <w:p w14:paraId="5DA51CF6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hAnsi="Cambria Math" w:eastAsia="sans-serif"/>
                <w:i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hAnsi="Cambria Math" w:eastAsia="sans-serif"/>
                <w:i w:val="0"/>
                <w:kern w:val="0"/>
                <w:sz w:val="16"/>
                <w:szCs w:val="16"/>
                <w:lang w:val="en-US" w:eastAsia="zh-CN" w:bidi="ar"/>
              </w:rPr>
              <w:t>Whale</w:t>
            </w:r>
          </w:p>
          <w:p w14:paraId="7276964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).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9B44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6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OfferResponseRate_Treated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SpendingSegment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602D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Two-Sample Independent T-Test</w:t>
            </w:r>
          </w:p>
        </w:tc>
      </w:tr>
      <w:tr w14:paraId="55615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5939A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H5: Early Onboarding Impact on LTV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C0D6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jc w:val="left"/>
              <w:rPr>
                <w:rFonts w:hint="default" w:hAnsi="Arial" w:eastAsia="sans-serif" w:cs="Arial"/>
                <w:i w:val="0"/>
              </w:rPr>
            </w:pPr>
            <w:r>
              <w:rPr>
                <w:rFonts w:hint="default" w:ascii="Arial" w:hAnsi="Arial" w:eastAsia="sans-serif" w:cs="Arial"/>
                <w:b/>
                <w:bCs/>
                <w:lang w:val="en-US"/>
              </w:rPr>
              <w:t>H</w:t>
            </w: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o</m:t>
              </m:r>
            </m:oMath>
            <w:r>
              <w:rPr>
                <w:rFonts w:hint="default" w:ascii="Arial" w:hAnsi="Arial" w:eastAsia="sans-serif" w:cs="Arial"/>
                <w:b/>
                <w:bCs/>
              </w:rPr>
              <w:t>:</w:t>
            </w:r>
            <w:r>
              <w:rPr>
                <w:rFonts w:hint="default" w:ascii="Arial" w:hAnsi="Arial" w:eastAsia="sans-serif" w:cs="Arial"/>
              </w:rPr>
              <w:t xml:space="preserve"> Mean LTV of early converters (</w:t>
            </w:r>
            <m:oMath>
              <m:r>
                <m:rPr/>
                <w:rPr>
                  <w:rFonts w:hint="default" w:ascii="Cambria Math" w:hAnsi="Cambria Math" w:eastAsia="sans-serif"/>
                </w:rPr>
                <m:t>≤7days</m:t>
              </m:r>
            </m:oMath>
          </w:p>
          <w:p w14:paraId="05E070A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jc w:val="left"/>
              <w:rPr>
                <w:rFonts w:hAnsi="sans-serif" w:eastAsia="sans-serif" w:cs="sans-serif"/>
                <w:i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</w:rPr>
              <w:t>) equals mean LTV of late converters (</w:t>
            </w: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$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μ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Early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24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μ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Late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</m:oMath>
          </w:p>
          <w:p w14:paraId="774DCAF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).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019A5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hAnsi="Arial" w:eastAsia="sans-serif" w:cs="Arial"/>
                <w:i w:val="0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H</w:t>
            </w: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</m:oMath>
            <w:r>
              <w:rPr>
                <w:rFonts w:hint="default" w:ascii="Arial" w:hAnsi="Arial" w:eastAsia="sans-serif" w:cs="Arial"/>
                <w:b/>
                <w:bCs/>
              </w:rPr>
              <w:t>:</w:t>
            </w:r>
            <w:r>
              <w:rPr>
                <w:rFonts w:hint="default" w:ascii="Arial" w:hAnsi="Arial" w:eastAsia="sans-serif" w:cs="Arial"/>
              </w:rPr>
              <w:t xml:space="preserve"> Mean LTV of early converters is significantly higher than late converters (</w:t>
            </w:r>
            <m:oMath>
              <m:sSub>
                <m:sSubPr>
                  <m:ctrlPr>
                    <w:rPr>
                      <w:rFonts w:hint="default" w:ascii="Cambria Math" w:hAnsi="Cambria Math" w:eastAsia="sans-serif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</w:rPr>
                    <m:t>μ</m:t>
                  </m:r>
                  <m:ctrlPr>
                    <w:rPr>
                      <w:rFonts w:ascii="Cambria Math" w:hAnsi="Cambria Math" w:eastAsia="sans-serif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</w:rPr>
                    <m:t>Early</m:t>
                  </m:r>
                  <m:ctrlPr>
                    <w:rPr>
                      <w:rFonts w:ascii="Cambria Math" w:hAnsi="Cambria Math" w:eastAsia="sans-serif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</w:rPr>
                <m:t>&gt;</m:t>
              </m:r>
              <m:sSub>
                <m:sSubPr>
                  <m:ctrlPr>
                    <w:rPr>
                      <w:rFonts w:hint="default" w:ascii="Cambria Math" w:hAnsi="Cambria Math" w:eastAsia="sans-serif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</w:rPr>
                    <m:t>μ</m:t>
                  </m:r>
                  <m:ctrlPr>
                    <w:rPr>
                      <w:rFonts w:ascii="Cambria Math" w:hAnsi="Cambria Math" w:eastAsia="sans-serif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</w:rPr>
                    <m:t>Late</m:t>
                  </m:r>
                  <m:ctrlPr>
                    <w:rPr>
                      <w:rFonts w:ascii="Cambria Math" w:hAnsi="Cambria Math" w:eastAsia="sans-serif"/>
                    </w:rPr>
                  </m:ctrlPr>
                </m:sub>
              </m:sSub>
            </m:oMath>
          </w:p>
          <w:p w14:paraId="664B561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).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83D28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6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FirstPurchaseDaysAfterInstall_Treated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LTV_Treated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F3246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Two-Sample Independent T-Test</w:t>
            </w:r>
          </w:p>
        </w:tc>
      </w:tr>
      <w:tr w14:paraId="35CED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E5DBE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H6: Linear Predictability of LTV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B933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hAnsi="Arial" w:eastAsia="sans-serif" w:cs="Arial"/>
                <w:i w:val="0"/>
              </w:rPr>
            </w:pPr>
            <w:r>
              <w:rPr>
                <w:rFonts w:hint="default" w:ascii="Arial" w:hAnsi="Arial" w:eastAsia="sans-serif" w:cs="Arial"/>
                <w:b/>
                <w:bCs/>
                <w:lang w:val="en-US"/>
              </w:rPr>
              <w:t>H</w:t>
            </w: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o</m:t>
              </m:r>
            </m:oMath>
            <w:r>
              <w:rPr>
                <w:rFonts w:hint="default" w:ascii="Arial" w:hAnsi="Arial" w:eastAsia="sans-serif" w:cs="Arial"/>
                <w:b/>
                <w:bCs/>
              </w:rPr>
              <w:t>:</w:t>
            </w:r>
            <w:r>
              <w:rPr>
                <w:rFonts w:hint="default" w:ascii="Arial" w:hAnsi="Arial" w:eastAsia="sans-serif" w:cs="Arial"/>
              </w:rPr>
              <w:t xml:space="preserve"> The slope coefficient (</w:t>
            </w:r>
            <m:oMath>
              <m:sSub>
                <m:sSubPr>
                  <m:ctrlPr>
                    <w:rPr>
                      <w:rFonts w:hint="default" w:ascii="Cambria Math" w:hAnsi="Cambria Math" w:eastAsia="sans-serif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</w:rPr>
                    <m:t>β</m:t>
                  </m:r>
                  <m:ctrlPr>
                    <w:rPr>
                      <w:rFonts w:ascii="Cambria Math" w:hAnsi="Cambria Math" w:eastAsia="sans-serif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</w:rPr>
                    <m:t>1</m:t>
                  </m:r>
                  <m:ctrlPr>
                    <w:rPr>
                      <w:rFonts w:ascii="Cambria Math" w:hAnsi="Cambria Math" w:eastAsia="sans-serif"/>
                    </w:rPr>
                  </m:ctrlPr>
                </m:sub>
              </m:sSub>
            </m:oMath>
            <w:r>
              <w:rPr>
                <w:rFonts w:hint="default" w:ascii="Arial" w:hAnsi="Arial" w:eastAsia="sans-serif" w:cs="Arial"/>
              </w:rPr>
              <w:t>) between in-app purchase spending and LTV is zero (</w:t>
            </w:r>
            <m:oMath>
              <m:sSub>
                <m:sSubPr>
                  <m:ctrlPr>
                    <w:rPr>
                      <w:rFonts w:hint="default" w:ascii="Cambria Math" w:hAnsi="Cambria Math" w:eastAsia="sans-serif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</w:rPr>
                    <m:t>β</m:t>
                  </m:r>
                  <m:ctrlPr>
                    <w:rPr>
                      <w:rFonts w:ascii="Cambria Math" w:hAnsi="Cambria Math" w:eastAsia="sans-serif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</w:rPr>
                    <m:t>1</m:t>
                  </m:r>
                  <m:ctrlPr>
                    <w:rPr>
                      <w:rFonts w:ascii="Cambria Math" w:hAnsi="Cambria Math" w:eastAsia="sans-serif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</w:rPr>
                <m:t>=0</m:t>
              </m:r>
            </m:oMath>
          </w:p>
          <w:p w14:paraId="2FC3A92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).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3EFDC0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hAnsi="Cambria Math" w:eastAsia="sans-serif" w:cs="Arial"/>
                <w:b/>
                <w:bCs/>
                <w:i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H</w:t>
            </w:r>
            <m:oMath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</m:oMath>
          </w:p>
          <w:p w14:paraId="3D7ADA2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hAnsi="Arial" w:eastAsia="sans-serif" w:cs="Arial"/>
                <w:i w:val="0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:</w:t>
            </w:r>
            <w:r>
              <w:rPr>
                <w:rFonts w:hint="default" w:ascii="Arial" w:hAnsi="Arial" w:eastAsia="sans-serif" w:cs="Arial"/>
              </w:rPr>
              <w:t xml:space="preserve"> The slope coefficient (</w:t>
            </w:r>
            <m:oMath>
              <m:sSub>
                <m:sSubPr>
                  <m:ctrlPr>
                    <w:rPr>
                      <w:rFonts w:hint="default" w:ascii="Cambria Math" w:hAnsi="Cambria Math" w:eastAsia="sans-serif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</w:rPr>
                    <m:t>β</m:t>
                  </m:r>
                  <m:ctrlPr>
                    <w:rPr>
                      <w:rFonts w:ascii="Cambria Math" w:hAnsi="Cambria Math" w:eastAsia="sans-serif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</w:rPr>
                    <m:t>1</m:t>
                  </m:r>
                  <m:ctrlPr>
                    <w:rPr>
                      <w:rFonts w:ascii="Cambria Math" w:hAnsi="Cambria Math" w:eastAsia="sans-serif"/>
                    </w:rPr>
                  </m:ctrlPr>
                </m:sub>
              </m:sSub>
            </m:oMath>
            <w:r>
              <w:rPr>
                <w:rFonts w:hint="default" w:ascii="Arial" w:hAnsi="Arial" w:eastAsia="sans-serif" w:cs="Arial"/>
              </w:rPr>
              <w:t xml:space="preserve">) between in-app purchase spending and LTV is significantly greater than zero </w:t>
            </w:r>
            <m:oMath>
              <m:sSub>
                <m:sSubPr>
                  <m:ctrlPr>
                    <w:rPr>
                      <w:rFonts w:hint="default" w:ascii="Cambria Math" w:hAnsi="Cambria Math" w:eastAsia="sans-serif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</w:rPr>
                    <m:t>β</m:t>
                  </m:r>
                  <m:ctrlPr>
                    <w:rPr>
                      <w:rFonts w:ascii="Cambria Math" w:hAnsi="Cambria Math" w:eastAsia="sans-serif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</w:rPr>
                    <m:t>1</m:t>
                  </m:r>
                  <m:ctrlPr>
                    <w:rPr>
                      <w:rFonts w:ascii="Cambria Math" w:hAnsi="Cambria Math" w:eastAsia="sans-serif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</w:rPr>
                <m:t>&gt;0</m:t>
              </m:r>
            </m:oMath>
          </w:p>
          <w:p w14:paraId="2C8C535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).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9BD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6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InAppPurchaseAmount_Treated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LTV_Treated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F1E33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hAnsi="Arial" w:eastAsia="sans-serif" w:cs="Arial"/>
                <w:b/>
                <w:bCs/>
                <w:i w:val="0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Simple Linear Regression (</w:t>
            </w:r>
            <m:oMath>
              <m:sSup>
                <m:sSupPr>
                  <m:ctrlPr>
                    <w:rPr>
                      <w:rFonts w:hint="default" w:ascii="Cambria Math" w:hAnsi="Cambria Math" w:eastAsia="sans-serif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</w:rPr>
                    <m:t>R</m:t>
                  </m:r>
                  <m:ctrlPr>
                    <w:rPr>
                      <w:rFonts w:ascii="Cambria Math" w:hAnsi="Cambria Math" w:eastAsia="sans-serif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</w:rPr>
                    <m:t>2</m:t>
                  </m:r>
                  <m:ctrlPr>
                    <w:rPr>
                      <w:rFonts w:ascii="Cambria Math" w:hAnsi="Cambria Math" w:eastAsia="sans-serif"/>
                    </w:rPr>
                  </m:ctrlPr>
                </m:sup>
              </m:sSup>
            </m:oMath>
          </w:p>
          <w:p w14:paraId="7291FC7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, F-Statistic, p-value)</w:t>
            </w:r>
          </w:p>
        </w:tc>
      </w:tr>
    </w:tbl>
    <w:p w14:paraId="5BEFD87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4. Preliminary Feasibility &amp; Data Verification</w:t>
      </w:r>
    </w:p>
    <w:p w14:paraId="03F8953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Data Completeness:</w:t>
      </w:r>
      <w:r>
        <w:rPr>
          <w:rFonts w:hint="default" w:ascii="Arial" w:hAnsi="Arial" w:eastAsia="sans-serif" w:cs="Arial"/>
        </w:rPr>
        <w:t xml:space="preserve"> All required fields (</w:t>
      </w:r>
      <w:r>
        <w:rPr>
          <w:rStyle w:val="6"/>
          <w:rFonts w:hint="default" w:ascii="Arial" w:hAnsi="Arial" w:eastAsia="sans-serif" w:cs="Arial"/>
        </w:rPr>
        <w:t>Location</w:t>
      </w:r>
      <w:r>
        <w:rPr>
          <w:rFonts w:hint="default" w:ascii="Arial" w:hAnsi="Arial" w:eastAsia="sans-serif" w:cs="Arial"/>
        </w:rPr>
        <w:t xml:space="preserve">, </w:t>
      </w:r>
      <w:r>
        <w:rPr>
          <w:rStyle w:val="6"/>
          <w:rFonts w:hint="default" w:ascii="Arial" w:hAnsi="Arial" w:eastAsia="sans-serif" w:cs="Arial"/>
        </w:rPr>
        <w:t>GameGenre</w:t>
      </w:r>
      <w:r>
        <w:rPr>
          <w:rFonts w:hint="default" w:ascii="Arial" w:hAnsi="Arial" w:eastAsia="sans-serif" w:cs="Arial"/>
        </w:rPr>
        <w:t xml:space="preserve">, </w:t>
      </w:r>
      <w:r>
        <w:rPr>
          <w:rStyle w:val="6"/>
          <w:rFonts w:hint="default" w:ascii="Arial" w:hAnsi="Arial" w:eastAsia="sans-serif" w:cs="Arial"/>
        </w:rPr>
        <w:t>PlayTimeHours_Treated</w:t>
      </w:r>
      <w:r>
        <w:rPr>
          <w:rFonts w:hint="default" w:ascii="Arial" w:hAnsi="Arial" w:eastAsia="sans-serif" w:cs="Arial"/>
        </w:rPr>
        <w:t xml:space="preserve">, </w:t>
      </w:r>
      <w:r>
        <w:rPr>
          <w:rStyle w:val="6"/>
          <w:rFonts w:hint="default" w:ascii="Arial" w:hAnsi="Arial" w:eastAsia="sans-serif" w:cs="Arial"/>
        </w:rPr>
        <w:t>InAppPurchaseAmount_Treated</w:t>
      </w:r>
      <w:r>
        <w:rPr>
          <w:rFonts w:hint="default" w:ascii="Arial" w:hAnsi="Arial" w:eastAsia="sans-serif" w:cs="Arial"/>
        </w:rPr>
        <w:t xml:space="preserve">, </w:t>
      </w:r>
      <w:r>
        <w:rPr>
          <w:rStyle w:val="6"/>
          <w:rFonts w:hint="default" w:ascii="Arial" w:hAnsi="Arial" w:eastAsia="sans-serif" w:cs="Arial"/>
        </w:rPr>
        <w:t>SpendingSegment</w:t>
      </w:r>
      <w:r>
        <w:rPr>
          <w:rFonts w:hint="default" w:ascii="Arial" w:hAnsi="Arial" w:eastAsia="sans-serif" w:cs="Arial"/>
        </w:rPr>
        <w:t xml:space="preserve">, </w:t>
      </w:r>
      <w:r>
        <w:rPr>
          <w:rStyle w:val="6"/>
          <w:rFonts w:hint="default" w:ascii="Arial" w:hAnsi="Arial" w:eastAsia="sans-serif" w:cs="Arial"/>
        </w:rPr>
        <w:t>OfferResponseRate_Treated</w:t>
      </w:r>
      <w:r>
        <w:rPr>
          <w:rFonts w:hint="default" w:ascii="Arial" w:hAnsi="Arial" w:eastAsia="sans-serif" w:cs="Arial"/>
        </w:rPr>
        <w:t xml:space="preserve">, </w:t>
      </w:r>
      <w:r>
        <w:rPr>
          <w:rStyle w:val="6"/>
          <w:rFonts w:hint="default" w:ascii="Arial" w:hAnsi="Arial" w:eastAsia="sans-serif" w:cs="Arial"/>
        </w:rPr>
        <w:t>LTV_Treated</w:t>
      </w:r>
      <w:r>
        <w:rPr>
          <w:rFonts w:hint="default" w:ascii="Arial" w:hAnsi="Arial" w:eastAsia="sans-serif" w:cs="Arial"/>
        </w:rPr>
        <w:t xml:space="preserve">) have been 100% verified with zero missing values across all 43,058 records. </w:t>
      </w:r>
    </w:p>
    <w:p w14:paraId="54CB70A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hAnsi="Arial" w:eastAsia="sans-serif" w:cs="Arial"/>
          <w:i w:val="0"/>
        </w:rPr>
      </w:pPr>
      <w:r>
        <w:rPr>
          <w:rFonts w:hint="default" w:ascii="Arial" w:hAnsi="Arial" w:eastAsia="sans-serif" w:cs="Arial"/>
          <w:b/>
          <w:bCs/>
        </w:rPr>
        <w:t>Statistical Assumption Feasibility:</w:t>
      </w:r>
      <w:r>
        <w:rPr>
          <w:rFonts w:hint="default" w:ascii="Arial" w:hAnsi="Arial" w:eastAsia="sans-serif" w:cs="Arial"/>
        </w:rPr>
        <w:t xml:space="preserve"> With </w:t>
      </w:r>
      <m:oMath>
        <m:r>
          <m:rPr/>
          <w:rPr>
            <w:rFonts w:hint="default" w:ascii="Cambria Math" w:hAnsi="Cambria Math" w:eastAsia="sans-serif"/>
          </w:rPr>
          <m:t>N=43,058</m:t>
        </m:r>
      </m:oMath>
    </w:p>
    <w:p w14:paraId="63ED540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hAnsi="Arial" w:eastAsia="sans-serif" w:cs="Arial"/>
          <w:i w:val="0"/>
        </w:rPr>
      </w:pPr>
      <w:r>
        <w:rPr>
          <w:rFonts w:hint="default" w:ascii="Arial" w:hAnsi="Arial" w:eastAsia="sans-serif" w:cs="Arial"/>
        </w:rPr>
        <w:t>, sample size criteria for Chi-Square expected frequencies (</w:t>
      </w:r>
      <m:oMath>
        <m:sSub>
          <m:sSubPr>
            <m:ctrlPr>
              <w:rPr>
                <w:rFonts w:hint="default" w:ascii="Cambria Math" w:hAnsi="Cambria Math" w:eastAsia="sans-serif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</w:rPr>
              <m:t>E</m:t>
            </m:r>
            <m:ctrlPr>
              <w:rPr>
                <w:rFonts w:ascii="Cambria Math" w:hAnsi="Cambria Math" w:eastAsia="sans-serif"/>
              </w:rPr>
            </m:ctrlPr>
          </m:e>
          <m:sub>
            <m:r>
              <m:rPr/>
              <w:rPr>
                <w:rFonts w:hint="default" w:ascii="Cambria Math" w:hAnsi="Cambria Math" w:eastAsia="sans-serif"/>
              </w:rPr>
              <m:t>ij</m:t>
            </m:r>
            <m:ctrlPr>
              <w:rPr>
                <w:rFonts w:ascii="Cambria Math" w:hAnsi="Cambria Math" w:eastAsia="sans-serif"/>
              </w:rPr>
            </m:ctrlPr>
          </m:sub>
        </m:sSub>
        <m:r>
          <m:rPr/>
          <w:rPr>
            <w:rFonts w:hint="default" w:ascii="Cambria Math" w:hAnsi="Cambria Math" w:eastAsia="sans-serif"/>
          </w:rPr>
          <m:t>≥5</m:t>
        </m:r>
      </m:oMath>
    </w:p>
    <w:p w14:paraId="1614179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) and Central Limit Theorem conditions for Z-Test and T-Test are satisfied. </w:t>
      </w:r>
    </w:p>
    <w:p w14:paraId="715CB50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Outlier Regularization:</w:t>
      </w:r>
      <w:r>
        <w:rPr>
          <w:rFonts w:hint="default" w:ascii="Arial" w:hAnsi="Arial" w:eastAsia="sans-serif" w:cs="Arial"/>
        </w:rPr>
        <w:t xml:space="preserve"> Variables have been regularized using </w:t>
      </w:r>
      <m:oMath>
        <m:r>
          <m:rPr/>
          <w:rPr>
            <w:rFonts w:hint="default" w:ascii="Cambria Math" w:hAnsi="Cambria Math" w:eastAsia="sans-serif"/>
          </w:rPr>
          <m:t>1.5×IQR</m:t>
        </m:r>
      </m:oMath>
      <w:r>
        <w:rPr>
          <w:rFonts w:hint="default" w:ascii="Arial" w:hAnsi="Arial" w:eastAsia="sans-serif" w:cs="Arial"/>
        </w:rPr>
        <w:t xml:space="preserve"> capping, stabilizing sample variance for inferential testing. </w:t>
      </w:r>
    </w:p>
    <w:p w14:paraId="3AA010C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5. Downstream Execution Alignment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1"/>
        <w:gridCol w:w="2097"/>
        <w:gridCol w:w="5428"/>
      </w:tblGrid>
      <w:tr w14:paraId="23ECB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CD5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FF3B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Tool / Method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89D2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Hypotheses &amp; Deliverables Addressed</w:t>
            </w:r>
          </w:p>
        </w:tc>
      </w:tr>
      <w:tr w14:paraId="65FBB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EAF07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Phase 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38078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Advanced Excel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92531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Pivot tables, cross-tabulations, and descriptive summaries for H1, H2, and H3. </w:t>
            </w:r>
          </w:p>
        </w:tc>
      </w:tr>
      <w:tr w14:paraId="5AADF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18C7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Phase 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441F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Python EDA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6AC74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Distribution plots, boxplot comparisons, and correlation analysis for H4, H5, and H6. </w:t>
            </w:r>
          </w:p>
        </w:tc>
      </w:tr>
      <w:tr w14:paraId="41331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2EEF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Phase 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89F61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SQL Query Engine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B16A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Aggregations, CTEs, and cohort segmentations supporting statistical groupings. </w:t>
            </w:r>
          </w:p>
        </w:tc>
      </w:tr>
      <w:tr w14:paraId="41F45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9BD7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Phase 7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E41DA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Power BI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900ED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Interactive executive dashboard showing KPI cards, conversion funnels, and demographic slicers. </w:t>
            </w:r>
          </w:p>
        </w:tc>
      </w:tr>
      <w:tr w14:paraId="7E417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C5F20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Phase 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86D6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Inferential Statistics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7369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Execution of </w:t>
            </w:r>
            <w:r>
              <w:rPr>
                <w:rFonts w:hint="default" w:ascii="Arial" w:hAnsi="Arial" w:eastAsia="sans-serif" w:cs="Arial"/>
                <w:b/>
                <w:bCs/>
              </w:rPr>
              <w:t>Chi-Square Tests</w:t>
            </w:r>
            <w:r>
              <w:rPr>
                <w:rFonts w:hint="default" w:ascii="Arial" w:hAnsi="Arial" w:eastAsia="sans-serif" w:cs="Arial"/>
              </w:rPr>
              <w:t xml:space="preserve">, </w:t>
            </w:r>
            <w:r>
              <w:rPr>
                <w:rFonts w:hint="default" w:ascii="Arial" w:hAnsi="Arial" w:eastAsia="sans-serif" w:cs="Arial"/>
                <w:b/>
                <w:bCs/>
              </w:rPr>
              <w:t>Z-Tests</w:t>
            </w:r>
            <w:r>
              <w:rPr>
                <w:rFonts w:hint="default" w:ascii="Arial" w:hAnsi="Arial" w:eastAsia="sans-serif" w:cs="Arial"/>
              </w:rPr>
              <w:t xml:space="preserve">, and </w:t>
            </w:r>
            <w:r>
              <w:rPr>
                <w:rFonts w:hint="default" w:ascii="Arial" w:hAnsi="Arial" w:eastAsia="sans-serif" w:cs="Arial"/>
                <w:b/>
                <w:bCs/>
              </w:rPr>
              <w:t>T-Tests</w:t>
            </w:r>
            <w:r>
              <w:rPr>
                <w:rFonts w:hint="default" w:ascii="Arial" w:hAnsi="Arial" w:eastAsia="sans-serif" w:cs="Arial"/>
              </w:rPr>
              <w:t xml:space="preserve"> (</w:t>
            </w:r>
            <m:oMath>
              <m:r>
                <m:rPr/>
                <w:rPr>
                  <w:rFonts w:hint="default" w:ascii="Cambria Math" w:hAnsi="Cambria Math" w:eastAsia="sans-serif"/>
                </w:rPr>
                <m:t>p</m:t>
              </m:r>
            </m:oMath>
            <w:r>
              <w:rPr>
                <w:rFonts w:hint="default" w:ascii="Arial" w:hAnsi="Arial" w:eastAsia="sans-serif" w:cs="Arial"/>
              </w:rPr>
              <w:t xml:space="preserve">-values, test statistics). </w:t>
            </w:r>
          </w:p>
        </w:tc>
      </w:tr>
      <w:tr w14:paraId="06C42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6F9BE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</w:rPr>
              <w:t>Phase 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0E66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Machine Learning / Stats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4CB43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hAnsi="Arial" w:eastAsia="sans-serif" w:cs="Arial"/>
                <w:b w:val="0"/>
                <w:i w:val="0"/>
              </w:rPr>
            </w:pPr>
            <w:r>
              <w:rPr>
                <w:rFonts w:hint="default" w:ascii="Arial" w:hAnsi="Arial" w:eastAsia="sans-serif" w:cs="Arial"/>
              </w:rPr>
              <w:t xml:space="preserve">Execution of </w:t>
            </w:r>
            <w:r>
              <w:rPr>
                <w:rFonts w:hint="default" w:ascii="Arial" w:hAnsi="Arial" w:eastAsia="sans-serif" w:cs="Arial"/>
                <w:b/>
                <w:bCs/>
              </w:rPr>
              <w:t>Simple Linear Regression</w:t>
            </w:r>
            <w:r>
              <w:rPr>
                <w:rFonts w:hint="default" w:ascii="Arial" w:hAnsi="Arial" w:eastAsia="sans-serif" w:cs="Arial"/>
              </w:rPr>
              <w:t xml:space="preserve"> on </w:t>
            </w:r>
            <w:r>
              <w:rPr>
                <w:rStyle w:val="6"/>
                <w:rFonts w:hint="default" w:ascii="Arial" w:hAnsi="Arial" w:eastAsia="sans-serif" w:cs="Arial"/>
              </w:rPr>
              <w:t>LTV_Treated</w:t>
            </w:r>
            <w:r>
              <w:rPr>
                <w:rFonts w:hint="default" w:ascii="Arial" w:hAnsi="Arial" w:eastAsia="sans-serif" w:cs="Arial"/>
              </w:rPr>
              <w:t xml:space="preserve"> (</w:t>
            </w:r>
            <m:oMath>
              <m:sSup>
                <m:sSupPr>
                  <m:ctrlPr>
                    <w:rPr>
                      <w:rFonts w:hint="default" w:ascii="Cambria Math" w:hAnsi="Cambria Math" w:eastAsia="sans-serif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</w:rPr>
                    <m:t>R</m:t>
                  </m:r>
                  <m:ctrlPr>
                    <w:rPr>
                      <w:rFonts w:ascii="Cambria Math" w:hAnsi="Cambria Math" w:eastAsia="sans-serif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</w:rPr>
                    <m:t>2</m:t>
                  </m:r>
                  <m:ctrlPr>
                    <w:rPr>
                      <w:rFonts w:ascii="Cambria Math" w:hAnsi="Cambria Math" w:eastAsia="sans-serif"/>
                    </w:rPr>
                  </m:ctrlPr>
                </m:sup>
              </m:sSup>
            </m:oMath>
          </w:p>
          <w:p w14:paraId="0D259F8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</w:rPr>
              <w:t xml:space="preserve">, MAE, RMSE evaluation). </w:t>
            </w:r>
          </w:p>
        </w:tc>
      </w:tr>
    </w:tbl>
    <w:p w14:paraId="04BA284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44318"/>
    <w:rsid w:val="176D617B"/>
    <w:rsid w:val="23D7455C"/>
    <w:rsid w:val="2B6B7E4B"/>
    <w:rsid w:val="39A0476E"/>
    <w:rsid w:val="44375CFD"/>
    <w:rsid w:val="5FD376CB"/>
    <w:rsid w:val="61BD035E"/>
    <w:rsid w:val="62844318"/>
    <w:rsid w:val="6D9D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806</Words>
  <Characters>4728</Characters>
  <Lines>0</Lines>
  <Paragraphs>0</Paragraphs>
  <TotalTime>432</TotalTime>
  <ScaleCrop>false</ScaleCrop>
  <LinksUpToDate>false</LinksUpToDate>
  <CharactersWithSpaces>5383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2026-08-20T08:49:00Z</dcterms:created>
  <dc:creator>Rahul Pandey</dc:creator>
  <cp:lastModifiedBy>Rahul Pandey</cp:lastModifiedBy>
  <dcterms:modified xsi:type="dcterms:W3CDTF">2026-08-26T20:36:18Z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62D5BE7813AB446AB0A7A76E48116A12_11</vt:lpwstr>
  </property>
  <property fmtid="{D5CDD505-2E9C-101B-9397-08002B2CF9AE}" pid="4" name="KSOTemplateDocerSaveRecord">
    <vt:lpwstr>eyJoZGlkIjoiM2E2ODYyZmFlZmI3MjBhY2QzZDkyZGYzNWNlZTFhOTIiLCJ1c2VySWQiOiI1Njc2NTMzNTIzNzcifQ==</vt:lpwstr>
  </property>
</Properties>
</file>