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86D8" w14:textId="77777777" w:rsidR="0040061D" w:rsidRDefault="00000000" w:rsidP="006014BE">
      <w:pPr>
        <w:spacing w:after="240"/>
        <w:rPr>
          <w:b/>
          <w:sz w:val="34"/>
          <w:szCs w:val="34"/>
        </w:rPr>
      </w:pPr>
      <w:r w:rsidRPr="006014BE">
        <w:rPr>
          <w:b/>
          <w:sz w:val="34"/>
          <w:szCs w:val="34"/>
        </w:rPr>
        <w:t>Protection of Software and Digital Assets Using Intellectual Property Rights</w:t>
      </w:r>
    </w:p>
    <w:p w14:paraId="1CA07297" w14:textId="77777777" w:rsidR="006014BE" w:rsidRPr="006014BE" w:rsidRDefault="006014BE" w:rsidP="006014BE">
      <w:pPr>
        <w:spacing w:after="240"/>
        <w:rPr>
          <w:sz w:val="20"/>
          <w:szCs w:val="20"/>
        </w:rPr>
      </w:pPr>
    </w:p>
    <w:p w14:paraId="6F801C72" w14:textId="0FC6EA41" w:rsidR="0040061D" w:rsidRDefault="006014BE">
      <w:pPr>
        <w:spacing w:after="120"/>
      </w:pPr>
      <w:r w:rsidRPr="006014BE">
        <w:rPr>
          <w:b/>
          <w:bCs/>
          <w:sz w:val="34"/>
          <w:szCs w:val="34"/>
        </w:rPr>
        <w:t>Title</w:t>
      </w:r>
      <w:r>
        <w:t xml:space="preserve">: </w:t>
      </w:r>
      <w:r w:rsidR="00000000">
        <w:t>A startup discovers unauthorized copying of its software, source code, logo, and digital content.</w:t>
      </w:r>
    </w:p>
    <w:p w14:paraId="311799BA" w14:textId="77777777" w:rsidR="006014BE" w:rsidRPr="006014BE" w:rsidRDefault="006014BE">
      <w:pPr>
        <w:spacing w:after="120"/>
        <w:rPr>
          <w:sz w:val="20"/>
          <w:szCs w:val="14"/>
        </w:rPr>
      </w:pPr>
    </w:p>
    <w:p w14:paraId="70A8B9C3" w14:textId="77777777" w:rsidR="0040061D" w:rsidRPr="006014BE" w:rsidRDefault="00000000" w:rsidP="006014BE">
      <w:pPr>
        <w:spacing w:before="200" w:after="100"/>
        <w:jc w:val="both"/>
        <w:rPr>
          <w:sz w:val="34"/>
          <w:szCs w:val="34"/>
        </w:rPr>
      </w:pPr>
      <w:r w:rsidRPr="006014BE">
        <w:rPr>
          <w:b/>
          <w:sz w:val="34"/>
          <w:szCs w:val="34"/>
        </w:rPr>
        <w:t>1. Introduction</w:t>
      </w:r>
    </w:p>
    <w:p w14:paraId="13EB5398" w14:textId="77777777" w:rsidR="0040061D" w:rsidRDefault="00000000" w:rsidP="006014BE">
      <w:pPr>
        <w:spacing w:after="120"/>
        <w:jc w:val="both"/>
      </w:pPr>
      <w:r>
        <w:t>In the digital economy, software, source code, databases, product designs, logos, website content, and confidential business information can be among a startup’s most valuable assets. These assets help a company differentiate its products, attract customers, and build trust. However, digital assets can be copied, shared, modified, or stolen quickly if appropriate legal and technical safeguards are missing.</w:t>
      </w:r>
    </w:p>
    <w:p w14:paraId="45F2BB78" w14:textId="77777777" w:rsidR="0040061D" w:rsidRDefault="00000000" w:rsidP="006014BE">
      <w:pPr>
        <w:spacing w:after="120"/>
        <w:jc w:val="both"/>
      </w:pPr>
      <w:r>
        <w:t>Intellectual Property Rights (IPR) provide legal protection for eligible creations and distinctive business identifiers. Information-security controls help prevent unauthorized access, alteration, disclosure, or loss. A strong protection strategy combines both approaches: legal rights establish ownership and remedies, while security measures reduce the likelihood and impact of misuse.</w:t>
      </w:r>
    </w:p>
    <w:p w14:paraId="1EBDD327" w14:textId="77777777" w:rsidR="006014BE" w:rsidRPr="006014BE" w:rsidRDefault="006014BE" w:rsidP="006014BE">
      <w:pPr>
        <w:spacing w:after="120"/>
        <w:jc w:val="both"/>
        <w:rPr>
          <w:sz w:val="20"/>
          <w:szCs w:val="14"/>
        </w:rPr>
      </w:pPr>
    </w:p>
    <w:p w14:paraId="0C0ECEDA" w14:textId="77777777" w:rsidR="0040061D" w:rsidRPr="006014BE" w:rsidRDefault="00000000" w:rsidP="006014BE">
      <w:pPr>
        <w:spacing w:before="200" w:after="100"/>
        <w:jc w:val="both"/>
        <w:rPr>
          <w:sz w:val="34"/>
          <w:szCs w:val="34"/>
        </w:rPr>
      </w:pPr>
      <w:r w:rsidRPr="006014BE">
        <w:rPr>
          <w:b/>
          <w:sz w:val="34"/>
          <w:szCs w:val="34"/>
        </w:rPr>
        <w:t>2. Organization Profile</w:t>
      </w:r>
    </w:p>
    <w:p w14:paraId="2F223605" w14:textId="77777777" w:rsidR="0040061D" w:rsidRDefault="00000000" w:rsidP="006014BE">
      <w:pPr>
        <w:spacing w:after="120"/>
        <w:jc w:val="both"/>
      </w:pPr>
      <w:r>
        <w:t>BrightByte Technologies Pvt. Ltd. is a fictional Ahmedabad-based startup that develops a cloud-based inventory and billing platform for small retailers. Its assets include application source code, a product database, user-interface designs, a company logo, marketing videos, website text, technical documentation, and confidential pricing plans. The company has eight employees and uses cloud repositories and online collaboration tools to develop and operate its product.</w:t>
      </w:r>
    </w:p>
    <w:p w14:paraId="68162170" w14:textId="77777777" w:rsidR="006014BE" w:rsidRPr="006014BE" w:rsidRDefault="006014BE" w:rsidP="006014BE">
      <w:pPr>
        <w:spacing w:after="120"/>
        <w:jc w:val="both"/>
        <w:rPr>
          <w:sz w:val="20"/>
          <w:szCs w:val="14"/>
        </w:rPr>
      </w:pPr>
    </w:p>
    <w:p w14:paraId="4E7F39D4" w14:textId="77777777" w:rsidR="0040061D" w:rsidRPr="006014BE" w:rsidRDefault="00000000" w:rsidP="006014BE">
      <w:pPr>
        <w:spacing w:before="200" w:after="100"/>
        <w:jc w:val="both"/>
        <w:rPr>
          <w:sz w:val="34"/>
          <w:szCs w:val="34"/>
        </w:rPr>
      </w:pPr>
      <w:r w:rsidRPr="006014BE">
        <w:rPr>
          <w:b/>
          <w:sz w:val="34"/>
          <w:szCs w:val="34"/>
        </w:rPr>
        <w:lastRenderedPageBreak/>
        <w:t>3. Case Background and Problem</w:t>
      </w:r>
    </w:p>
    <w:p w14:paraId="01DA55F5" w14:textId="77777777" w:rsidR="0040061D" w:rsidRDefault="00000000" w:rsidP="006014BE">
      <w:pPr>
        <w:spacing w:after="120"/>
        <w:jc w:val="both"/>
      </w:pPr>
      <w:r>
        <w:t>After launching its product, BrightByte notices that a competing website is advertising a tool with a similar interface and features. A former contractor is also suspected of sharing portions of BrightByte’s source code and internal screenshots with an outside party. The competing website appears to use a logo that could confuse customers, while several paragraphs from BrightByte’s website and user guide have been reproduced.</w:t>
      </w:r>
    </w:p>
    <w:p w14:paraId="3020469C" w14:textId="77777777" w:rsidR="0040061D" w:rsidRDefault="00000000" w:rsidP="006014BE">
      <w:pPr>
        <w:spacing w:after="120"/>
        <w:jc w:val="both"/>
      </w:pPr>
      <w:r>
        <w:t>The startup discovers that access to its source-code repository was shared through a personal account, former contractor access was not disabled immediately, and the company had not maintained a complete register of its intellectual property. It is therefore difficult to determine exactly which assets were copied, who accessed them, and what evidence should be preserved.</w:t>
      </w:r>
    </w:p>
    <w:p w14:paraId="0B06C033" w14:textId="77777777" w:rsidR="006014BE" w:rsidRPr="006014BE" w:rsidRDefault="006014BE" w:rsidP="006014BE">
      <w:pPr>
        <w:spacing w:after="120"/>
        <w:jc w:val="both"/>
        <w:rPr>
          <w:sz w:val="20"/>
          <w:szCs w:val="14"/>
        </w:rPr>
      </w:pPr>
    </w:p>
    <w:p w14:paraId="6141A7C3" w14:textId="77777777" w:rsidR="0040061D" w:rsidRPr="006014BE" w:rsidRDefault="00000000" w:rsidP="006014BE">
      <w:pPr>
        <w:spacing w:before="200" w:after="100"/>
        <w:jc w:val="both"/>
        <w:rPr>
          <w:sz w:val="34"/>
          <w:szCs w:val="34"/>
        </w:rPr>
      </w:pPr>
      <w:r w:rsidRPr="006014BE">
        <w:rPr>
          <w:b/>
          <w:sz w:val="34"/>
          <w:szCs w:val="34"/>
        </w:rPr>
        <w:t>4. Key Concepts Covered</w:t>
      </w:r>
    </w:p>
    <w:p w14:paraId="2ECDD38F" w14:textId="77777777" w:rsidR="0040061D" w:rsidRDefault="00000000" w:rsidP="006014BE">
      <w:pPr>
        <w:pStyle w:val="ListBullet"/>
        <w:spacing w:after="60" w:line="264" w:lineRule="auto"/>
        <w:jc w:val="both"/>
      </w:pPr>
      <w:r>
        <w:t>Data classification: Categorizing information by sensitivity, such as public, internal, confidential, and restricted.</w:t>
      </w:r>
    </w:p>
    <w:p w14:paraId="2939E81F" w14:textId="77777777" w:rsidR="0040061D" w:rsidRDefault="00000000" w:rsidP="006014BE">
      <w:pPr>
        <w:pStyle w:val="ListBullet"/>
        <w:spacing w:after="60" w:line="264" w:lineRule="auto"/>
        <w:jc w:val="both"/>
      </w:pPr>
      <w:r>
        <w:t>Digital assets: Source code, software builds, databases, designs, logos, domain names, documents, media, and confidential business information.</w:t>
      </w:r>
    </w:p>
    <w:p w14:paraId="2D8AB891" w14:textId="77777777" w:rsidR="0040061D" w:rsidRDefault="00000000" w:rsidP="006014BE">
      <w:pPr>
        <w:pStyle w:val="ListBullet"/>
        <w:spacing w:after="60" w:line="264" w:lineRule="auto"/>
        <w:jc w:val="both"/>
      </w:pPr>
      <w:r>
        <w:t>Copyright: May protect original source code, written documentation, website content, graphics, videos, and other original expression, subject to applicable law.</w:t>
      </w:r>
    </w:p>
    <w:p w14:paraId="3DD75B35" w14:textId="77777777" w:rsidR="0040061D" w:rsidRDefault="00000000" w:rsidP="006014BE">
      <w:pPr>
        <w:pStyle w:val="ListBullet"/>
        <w:spacing w:after="60" w:line="264" w:lineRule="auto"/>
        <w:jc w:val="both"/>
      </w:pPr>
      <w:r>
        <w:t>Patent: May protect an invention that satisfies legal requirements, including novelty, inventive step, and patentable subject matter. Software-related patentability requires careful legal assessment.</w:t>
      </w:r>
    </w:p>
    <w:p w14:paraId="09D2D381" w14:textId="77777777" w:rsidR="0040061D" w:rsidRDefault="00000000" w:rsidP="006014BE">
      <w:pPr>
        <w:pStyle w:val="ListBullet"/>
        <w:spacing w:after="60" w:line="264" w:lineRule="auto"/>
        <w:jc w:val="both"/>
      </w:pPr>
      <w:r>
        <w:t>Trademark: May protect a distinctive brand name, logo, or other source identifier used for goods or services.</w:t>
      </w:r>
    </w:p>
    <w:p w14:paraId="7808A7C5" w14:textId="77777777" w:rsidR="0040061D" w:rsidRDefault="00000000" w:rsidP="006014BE">
      <w:pPr>
        <w:pStyle w:val="ListBullet"/>
        <w:spacing w:after="60" w:line="264" w:lineRule="auto"/>
        <w:jc w:val="both"/>
      </w:pPr>
      <w:r>
        <w:t>Design protection: May protect qualifying new or original visual features of an article, subject to statutory requirements; it does not automatically protect every screen or interface.</w:t>
      </w:r>
    </w:p>
    <w:p w14:paraId="7F191B56" w14:textId="77777777" w:rsidR="0040061D" w:rsidRDefault="00000000" w:rsidP="006014BE">
      <w:pPr>
        <w:pStyle w:val="ListBullet"/>
        <w:spacing w:after="60" w:line="264" w:lineRule="auto"/>
        <w:jc w:val="both"/>
      </w:pPr>
      <w:r>
        <w:lastRenderedPageBreak/>
        <w:t>Trade secrets and confidentiality: Valuable non-public information may need contractual and practical safeguards to preserve its confidential status.</w:t>
      </w:r>
    </w:p>
    <w:p w14:paraId="013AAC4E" w14:textId="77777777" w:rsidR="0040061D" w:rsidRDefault="00000000" w:rsidP="006014BE">
      <w:pPr>
        <w:pStyle w:val="ListBullet"/>
        <w:spacing w:after="60" w:line="264" w:lineRule="auto"/>
        <w:jc w:val="both"/>
      </w:pPr>
      <w:r>
        <w:t>Access control and risk management: Technical and organizational measures used to limit access and manage information-security risks.</w:t>
      </w:r>
    </w:p>
    <w:p w14:paraId="5B1D6991" w14:textId="77777777" w:rsidR="006014BE" w:rsidRPr="006014BE" w:rsidRDefault="006014BE" w:rsidP="006014BE">
      <w:pPr>
        <w:pStyle w:val="ListBullet"/>
        <w:numPr>
          <w:ilvl w:val="0"/>
          <w:numId w:val="0"/>
        </w:numPr>
        <w:spacing w:after="60" w:line="264" w:lineRule="auto"/>
        <w:ind w:left="360"/>
        <w:jc w:val="both"/>
        <w:rPr>
          <w:sz w:val="20"/>
          <w:szCs w:val="14"/>
        </w:rPr>
      </w:pPr>
    </w:p>
    <w:p w14:paraId="42F0DBC4" w14:textId="77777777" w:rsidR="0040061D" w:rsidRPr="006014BE" w:rsidRDefault="00000000" w:rsidP="006014BE">
      <w:pPr>
        <w:spacing w:before="200" w:after="100"/>
        <w:jc w:val="both"/>
        <w:rPr>
          <w:sz w:val="34"/>
          <w:szCs w:val="34"/>
        </w:rPr>
      </w:pPr>
      <w:r w:rsidRPr="006014BE">
        <w:rPr>
          <w:b/>
          <w:sz w:val="34"/>
          <w:szCs w:val="34"/>
        </w:rPr>
        <w:t>5. Identification and Classification of Digital Assets</w:t>
      </w:r>
    </w:p>
    <w:p w14:paraId="2D2BC738" w14:textId="77777777" w:rsidR="0040061D" w:rsidRDefault="00000000" w:rsidP="006014BE">
      <w:pPr>
        <w:spacing w:after="120"/>
        <w:jc w:val="both"/>
      </w:pPr>
      <w:r>
        <w:t>BrightByte should first create a digital asset register. Each asset should have an owner, location, sensitivity level, business value, access list, backup status, and relevant legal protection. A suggested classification is:</w:t>
      </w:r>
    </w:p>
    <w:p w14:paraId="03868C8F" w14:textId="77777777" w:rsidR="0040061D" w:rsidRDefault="00000000" w:rsidP="006014BE">
      <w:pPr>
        <w:pStyle w:val="ListBullet"/>
        <w:spacing w:after="60" w:line="264" w:lineRule="auto"/>
        <w:jc w:val="both"/>
      </w:pPr>
      <w:r>
        <w:t>Public: Published product brochures, public website pages, and approved marketing material.</w:t>
      </w:r>
    </w:p>
    <w:p w14:paraId="5BCAFBED" w14:textId="77777777" w:rsidR="0040061D" w:rsidRDefault="00000000" w:rsidP="006014BE">
      <w:pPr>
        <w:pStyle w:val="ListBullet"/>
        <w:spacing w:after="60" w:line="264" w:lineRule="auto"/>
        <w:jc w:val="both"/>
      </w:pPr>
      <w:r>
        <w:t>Internal: Meeting notes, internal procedures, and non-sensitive project plans.</w:t>
      </w:r>
    </w:p>
    <w:p w14:paraId="152F92DC" w14:textId="77777777" w:rsidR="0040061D" w:rsidRDefault="00000000" w:rsidP="006014BE">
      <w:pPr>
        <w:pStyle w:val="ListBullet"/>
        <w:spacing w:after="60" w:line="264" w:lineRule="auto"/>
        <w:jc w:val="both"/>
      </w:pPr>
      <w:r>
        <w:t>Confidential: Customer contracts, pricing strategy, unreleased product roadmaps, and partner information.</w:t>
      </w:r>
    </w:p>
    <w:p w14:paraId="5D21BAA4" w14:textId="77777777" w:rsidR="0040061D" w:rsidRDefault="00000000" w:rsidP="006014BE">
      <w:pPr>
        <w:pStyle w:val="ListBullet"/>
        <w:spacing w:after="60" w:line="264" w:lineRule="auto"/>
        <w:jc w:val="both"/>
      </w:pPr>
      <w:r>
        <w:t>Restricted: Source code, production credentials, encryption keys, security configurations, and sensitive customer data.</w:t>
      </w:r>
    </w:p>
    <w:p w14:paraId="720212AC" w14:textId="77777777" w:rsidR="0040061D" w:rsidRDefault="00000000" w:rsidP="006014BE">
      <w:pPr>
        <w:spacing w:after="120"/>
        <w:jc w:val="both"/>
      </w:pPr>
      <w:r>
        <w:t>The classification must guide storage, sharing, encryption, retention, and access decisions. Restricted assets should not be shared through personal accounts or public links.</w:t>
      </w:r>
    </w:p>
    <w:p w14:paraId="33D125C2" w14:textId="77777777" w:rsidR="006014BE" w:rsidRPr="006014BE" w:rsidRDefault="006014BE" w:rsidP="006014BE">
      <w:pPr>
        <w:spacing w:after="120"/>
        <w:jc w:val="both"/>
        <w:rPr>
          <w:sz w:val="20"/>
          <w:szCs w:val="14"/>
        </w:rPr>
      </w:pPr>
    </w:p>
    <w:p w14:paraId="54933C4E" w14:textId="77777777" w:rsidR="0040061D" w:rsidRPr="006014BE" w:rsidRDefault="00000000" w:rsidP="006014BE">
      <w:pPr>
        <w:spacing w:before="200" w:after="100"/>
        <w:jc w:val="both"/>
        <w:rPr>
          <w:sz w:val="34"/>
          <w:szCs w:val="34"/>
        </w:rPr>
      </w:pPr>
      <w:r w:rsidRPr="006014BE">
        <w:rPr>
          <w:b/>
          <w:sz w:val="34"/>
          <w:szCs w:val="34"/>
        </w:rPr>
        <w:t>6. Applicable Intellectual Property Rights in India</w:t>
      </w:r>
    </w:p>
    <w:p w14:paraId="2F7D64DD" w14:textId="77777777" w:rsidR="0040061D" w:rsidRDefault="00000000" w:rsidP="006014BE">
      <w:pPr>
        <w:spacing w:after="120"/>
        <w:jc w:val="both"/>
      </w:pPr>
      <w:r>
        <w:t>The startup should assess each asset separately because different rights protect different things. Rights may overlap, but one form of protection does not automatically replace another.</w:t>
      </w:r>
    </w:p>
    <w:p w14:paraId="789334AB" w14:textId="77777777" w:rsidR="0040061D" w:rsidRDefault="00000000" w:rsidP="006014BE">
      <w:pPr>
        <w:pStyle w:val="ListBullet"/>
        <w:spacing w:after="60" w:line="264" w:lineRule="auto"/>
        <w:jc w:val="both"/>
      </w:pPr>
      <w:r>
        <w:t>Copyright: The Copyright Act, 1957 may protect original literary and artistic works, including qualifying computer programs and documentation. BrightByte should preserve dated source-code commits, design files, authorship records, contracts, and publication history.</w:t>
      </w:r>
    </w:p>
    <w:p w14:paraId="425881C7" w14:textId="77777777" w:rsidR="0040061D" w:rsidRDefault="00000000" w:rsidP="006014BE">
      <w:pPr>
        <w:pStyle w:val="ListBullet"/>
        <w:spacing w:after="60" w:line="264" w:lineRule="auto"/>
        <w:jc w:val="both"/>
      </w:pPr>
      <w:r>
        <w:lastRenderedPageBreak/>
        <w:t>Patents: The Patents Act, 1970 governs patent protection. Before disclosing a potentially patentable technical invention publicly, BrightByte should obtain advice from a qualified patent professional. Not every software feature is patentable in India.</w:t>
      </w:r>
    </w:p>
    <w:p w14:paraId="58777A4C" w14:textId="77777777" w:rsidR="0040061D" w:rsidRDefault="00000000" w:rsidP="006014BE">
      <w:pPr>
        <w:pStyle w:val="ListBullet"/>
        <w:spacing w:after="60" w:line="264" w:lineRule="auto"/>
        <w:jc w:val="both"/>
      </w:pPr>
      <w:r>
        <w:t>Trademarks: The Trade Marks Act, 1999 provides a framework for protecting distinctive marks. BrightByte should conduct a clearance search and consider registration of its brand name and logo through official Indian IP resources.</w:t>
      </w:r>
    </w:p>
    <w:p w14:paraId="7A9B88A0" w14:textId="77777777" w:rsidR="0040061D" w:rsidRDefault="00000000" w:rsidP="006014BE">
      <w:pPr>
        <w:pStyle w:val="ListBullet"/>
        <w:spacing w:after="60" w:line="264" w:lineRule="auto"/>
        <w:jc w:val="both"/>
      </w:pPr>
      <w:r>
        <w:t>Industrial designs: The Designs Act, 2000 may protect qualifying visual features of articles. The company should check whether any product design is eligible and whether disclosure or registration requirements apply.</w:t>
      </w:r>
    </w:p>
    <w:p w14:paraId="3BD56C38" w14:textId="77777777" w:rsidR="0040061D" w:rsidRDefault="00000000" w:rsidP="006014BE">
      <w:pPr>
        <w:pStyle w:val="ListBullet"/>
        <w:spacing w:after="60" w:line="264" w:lineRule="auto"/>
        <w:jc w:val="both"/>
      </w:pPr>
      <w:r>
        <w:t>Contracts and confidentiality: Employment, contractor, vendor, and non-disclosure agreements should clearly address ownership, permitted use, confidentiality, return or deletion of materials, and cooperation with enforcement.</w:t>
      </w:r>
    </w:p>
    <w:p w14:paraId="05A57132" w14:textId="77777777" w:rsidR="0040061D" w:rsidRDefault="00000000" w:rsidP="006014BE">
      <w:pPr>
        <w:spacing w:after="120"/>
        <w:jc w:val="both"/>
      </w:pPr>
      <w:r>
        <w:t>BrightByte can begin its research through the official Intellectual Property India portal (ipindia.gov.in) and should seek professional advice before taking legal action or making filings.</w:t>
      </w:r>
    </w:p>
    <w:p w14:paraId="41AB6C76" w14:textId="77777777" w:rsidR="00FD1D91" w:rsidRPr="00FD1D91" w:rsidRDefault="00FD1D91" w:rsidP="006014BE">
      <w:pPr>
        <w:spacing w:after="120"/>
        <w:jc w:val="both"/>
        <w:rPr>
          <w:sz w:val="20"/>
          <w:szCs w:val="14"/>
        </w:rPr>
      </w:pPr>
    </w:p>
    <w:p w14:paraId="36F43E44" w14:textId="77777777" w:rsidR="0040061D" w:rsidRPr="00FD1D91" w:rsidRDefault="00000000" w:rsidP="006014BE">
      <w:pPr>
        <w:spacing w:before="200" w:after="100"/>
        <w:jc w:val="both"/>
        <w:rPr>
          <w:sz w:val="34"/>
          <w:szCs w:val="34"/>
        </w:rPr>
      </w:pPr>
      <w:r w:rsidRPr="00FD1D91">
        <w:rPr>
          <w:b/>
          <w:sz w:val="34"/>
          <w:szCs w:val="34"/>
        </w:rPr>
        <w:t>7. ISO/IEC 27001:2022 Information-Security Requirements</w:t>
      </w:r>
    </w:p>
    <w:p w14:paraId="53058BE5" w14:textId="77777777" w:rsidR="0040061D" w:rsidRDefault="00000000" w:rsidP="006014BE">
      <w:pPr>
        <w:spacing w:after="120"/>
        <w:jc w:val="both"/>
      </w:pPr>
      <w:r>
        <w:t>ISO/IEC 27001:2022 specifies requirements for establishing, implementing, maintaining, and continually improving an Information Security Management System (ISMS). It uses a risk-based approach. The organization defines the scope, assesses information-security risks, selects appropriate risk treatments and controls, assigns responsibilities, documents processes, monitors performance, and improves the system.</w:t>
      </w:r>
    </w:p>
    <w:p w14:paraId="16D4BE30" w14:textId="77777777" w:rsidR="0040061D" w:rsidRDefault="00000000" w:rsidP="006014BE">
      <w:pPr>
        <w:spacing w:after="120"/>
        <w:jc w:val="both"/>
      </w:pPr>
      <w:r>
        <w:t xml:space="preserve">For this case, relevant control themes in Annex A include inventory of information and other associated assets, acceptable use, information classification and labelling, access control, identity management, information-transfer security, supplier relationships, information deletion, backup, logging and monitoring, secure development, and protection of </w:t>
      </w:r>
      <w:r>
        <w:lastRenderedPageBreak/>
        <w:t>records. The exact controls selected should follow BrightByte’s risk assessment and Statement of Applicability; not every control is automatically applicable in the same way to every organization.</w:t>
      </w:r>
    </w:p>
    <w:p w14:paraId="7A9103C9" w14:textId="77777777" w:rsidR="0040061D" w:rsidRDefault="00000000" w:rsidP="006014BE">
      <w:pPr>
        <w:spacing w:after="120"/>
        <w:jc w:val="both"/>
      </w:pPr>
      <w:r>
        <w:t>ISO/IEC 27001 certification is not itself proof of ownership of intellectual property. It supports systematic information-security management and can help reduce the chance of unauthorized disclosure or misuse.</w:t>
      </w:r>
    </w:p>
    <w:p w14:paraId="30F0F7D9" w14:textId="77777777" w:rsidR="00FD1D91" w:rsidRPr="00FD1D91" w:rsidRDefault="00FD1D91" w:rsidP="006014BE">
      <w:pPr>
        <w:spacing w:after="120"/>
        <w:jc w:val="both"/>
        <w:rPr>
          <w:sz w:val="20"/>
          <w:szCs w:val="14"/>
        </w:rPr>
      </w:pPr>
    </w:p>
    <w:p w14:paraId="284B39BF" w14:textId="77777777" w:rsidR="0040061D" w:rsidRPr="00FD1D91" w:rsidRDefault="00000000" w:rsidP="006014BE">
      <w:pPr>
        <w:spacing w:before="200" w:after="100"/>
        <w:jc w:val="both"/>
        <w:rPr>
          <w:sz w:val="34"/>
          <w:szCs w:val="34"/>
        </w:rPr>
      </w:pPr>
      <w:r w:rsidRPr="00FD1D91">
        <w:rPr>
          <w:b/>
          <w:sz w:val="34"/>
          <w:szCs w:val="34"/>
        </w:rPr>
        <w:t>8. Risk Assessment</w:t>
      </w:r>
    </w:p>
    <w:p w14:paraId="68F31473" w14:textId="77777777" w:rsidR="0040061D" w:rsidRDefault="00000000" w:rsidP="006014BE">
      <w:pPr>
        <w:spacing w:after="120"/>
        <w:jc w:val="both"/>
      </w:pPr>
      <w:r>
        <w:t>BrightByte should record each risk, its likelihood, impact, existing controls, proposed treatment, responsible owner, and review date. A simple initial assessment is shown below.</w:t>
      </w:r>
    </w:p>
    <w:tbl>
      <w:tblPr>
        <w:tblStyle w:val="TableGrid"/>
        <w:tblW w:w="0" w:type="auto"/>
        <w:tblLook w:val="04A0" w:firstRow="1" w:lastRow="0" w:firstColumn="1" w:lastColumn="0" w:noHBand="0" w:noVBand="1"/>
      </w:tblPr>
      <w:tblGrid>
        <w:gridCol w:w="2484"/>
        <w:gridCol w:w="2484"/>
        <w:gridCol w:w="2484"/>
        <w:gridCol w:w="2484"/>
      </w:tblGrid>
      <w:tr w:rsidR="0040061D" w14:paraId="787270E2" w14:textId="77777777" w:rsidTr="00FD1D91">
        <w:tc>
          <w:tcPr>
            <w:tcW w:w="2484" w:type="dxa"/>
            <w:vAlign w:val="center"/>
          </w:tcPr>
          <w:p w14:paraId="5064653B" w14:textId="77777777" w:rsidR="0040061D" w:rsidRPr="00FD1D91" w:rsidRDefault="00000000" w:rsidP="00FD1D91">
            <w:pPr>
              <w:spacing w:after="40"/>
              <w:jc w:val="center"/>
              <w:rPr>
                <w:b/>
                <w:bCs/>
              </w:rPr>
            </w:pPr>
            <w:r w:rsidRPr="00FD1D91">
              <w:rPr>
                <w:b/>
                <w:bCs/>
              </w:rPr>
              <w:t>Risk</w:t>
            </w:r>
          </w:p>
        </w:tc>
        <w:tc>
          <w:tcPr>
            <w:tcW w:w="2484" w:type="dxa"/>
            <w:vAlign w:val="center"/>
          </w:tcPr>
          <w:p w14:paraId="368C6007" w14:textId="77777777" w:rsidR="0040061D" w:rsidRPr="00FD1D91" w:rsidRDefault="00000000" w:rsidP="00FD1D91">
            <w:pPr>
              <w:spacing w:after="40"/>
              <w:jc w:val="center"/>
              <w:rPr>
                <w:b/>
                <w:bCs/>
              </w:rPr>
            </w:pPr>
            <w:r w:rsidRPr="00FD1D91">
              <w:rPr>
                <w:b/>
                <w:bCs/>
              </w:rPr>
              <w:t>Likelihood</w:t>
            </w:r>
          </w:p>
        </w:tc>
        <w:tc>
          <w:tcPr>
            <w:tcW w:w="2484" w:type="dxa"/>
            <w:vAlign w:val="center"/>
          </w:tcPr>
          <w:p w14:paraId="424CACFB" w14:textId="77777777" w:rsidR="0040061D" w:rsidRPr="00FD1D91" w:rsidRDefault="00000000" w:rsidP="00FD1D91">
            <w:pPr>
              <w:spacing w:after="40"/>
              <w:jc w:val="center"/>
              <w:rPr>
                <w:b/>
                <w:bCs/>
              </w:rPr>
            </w:pPr>
            <w:r w:rsidRPr="00FD1D91">
              <w:rPr>
                <w:b/>
                <w:bCs/>
              </w:rPr>
              <w:t>Impact</w:t>
            </w:r>
          </w:p>
        </w:tc>
        <w:tc>
          <w:tcPr>
            <w:tcW w:w="2484" w:type="dxa"/>
            <w:vAlign w:val="center"/>
          </w:tcPr>
          <w:p w14:paraId="1294FB1E" w14:textId="77777777" w:rsidR="0040061D" w:rsidRPr="00FD1D91" w:rsidRDefault="00000000" w:rsidP="00FD1D91">
            <w:pPr>
              <w:spacing w:after="40"/>
              <w:jc w:val="center"/>
              <w:rPr>
                <w:b/>
                <w:bCs/>
              </w:rPr>
            </w:pPr>
            <w:r w:rsidRPr="00FD1D91">
              <w:rPr>
                <w:b/>
                <w:bCs/>
              </w:rPr>
              <w:t>Recommended Treatment</w:t>
            </w:r>
          </w:p>
        </w:tc>
      </w:tr>
      <w:tr w:rsidR="0040061D" w14:paraId="7BFF04CA" w14:textId="77777777" w:rsidTr="00FD1D91">
        <w:tc>
          <w:tcPr>
            <w:tcW w:w="2484" w:type="dxa"/>
            <w:vAlign w:val="center"/>
          </w:tcPr>
          <w:p w14:paraId="596176C6" w14:textId="77777777" w:rsidR="0040061D" w:rsidRDefault="00000000" w:rsidP="00FD1D91">
            <w:pPr>
              <w:spacing w:after="40"/>
              <w:jc w:val="center"/>
            </w:pPr>
            <w:r>
              <w:t>Unauthorized source-code access</w:t>
            </w:r>
          </w:p>
        </w:tc>
        <w:tc>
          <w:tcPr>
            <w:tcW w:w="2484" w:type="dxa"/>
            <w:vAlign w:val="center"/>
          </w:tcPr>
          <w:p w14:paraId="0B1680B2" w14:textId="77777777" w:rsidR="0040061D" w:rsidRDefault="00000000" w:rsidP="00FD1D91">
            <w:pPr>
              <w:spacing w:after="40"/>
              <w:jc w:val="center"/>
            </w:pPr>
            <w:r>
              <w:t>High</w:t>
            </w:r>
          </w:p>
        </w:tc>
        <w:tc>
          <w:tcPr>
            <w:tcW w:w="2484" w:type="dxa"/>
            <w:vAlign w:val="center"/>
          </w:tcPr>
          <w:p w14:paraId="7953DC51" w14:textId="77777777" w:rsidR="0040061D" w:rsidRDefault="00000000" w:rsidP="00FD1D91">
            <w:pPr>
              <w:spacing w:after="40"/>
              <w:jc w:val="center"/>
            </w:pPr>
            <w:r>
              <w:t>High</w:t>
            </w:r>
          </w:p>
        </w:tc>
        <w:tc>
          <w:tcPr>
            <w:tcW w:w="2484" w:type="dxa"/>
            <w:vAlign w:val="center"/>
          </w:tcPr>
          <w:p w14:paraId="2137FD59" w14:textId="77777777" w:rsidR="0040061D" w:rsidRDefault="00000000" w:rsidP="00FD1D91">
            <w:pPr>
              <w:spacing w:after="40"/>
              <w:jc w:val="center"/>
            </w:pPr>
            <w:r>
              <w:t>Multi-factor authentication, least privilege, protected branches, access reviews, audit logs</w:t>
            </w:r>
          </w:p>
        </w:tc>
      </w:tr>
      <w:tr w:rsidR="0040061D" w14:paraId="6296C8AD" w14:textId="77777777" w:rsidTr="00FD1D91">
        <w:tc>
          <w:tcPr>
            <w:tcW w:w="2484" w:type="dxa"/>
            <w:vAlign w:val="center"/>
          </w:tcPr>
          <w:p w14:paraId="0167A1D6" w14:textId="77777777" w:rsidR="0040061D" w:rsidRDefault="00000000" w:rsidP="00FD1D91">
            <w:pPr>
              <w:spacing w:after="40"/>
              <w:jc w:val="center"/>
            </w:pPr>
            <w:r>
              <w:t>Brand or logo imitation</w:t>
            </w:r>
          </w:p>
        </w:tc>
        <w:tc>
          <w:tcPr>
            <w:tcW w:w="2484" w:type="dxa"/>
            <w:vAlign w:val="center"/>
          </w:tcPr>
          <w:p w14:paraId="7FB84A4E" w14:textId="77777777" w:rsidR="0040061D" w:rsidRDefault="00000000" w:rsidP="00FD1D91">
            <w:pPr>
              <w:spacing w:after="40"/>
              <w:jc w:val="center"/>
            </w:pPr>
            <w:r>
              <w:t>Medium</w:t>
            </w:r>
          </w:p>
        </w:tc>
        <w:tc>
          <w:tcPr>
            <w:tcW w:w="2484" w:type="dxa"/>
            <w:vAlign w:val="center"/>
          </w:tcPr>
          <w:p w14:paraId="5C07A20C" w14:textId="77777777" w:rsidR="0040061D" w:rsidRDefault="00000000" w:rsidP="00FD1D91">
            <w:pPr>
              <w:spacing w:after="40"/>
              <w:jc w:val="center"/>
            </w:pPr>
            <w:r>
              <w:t>High</w:t>
            </w:r>
          </w:p>
        </w:tc>
        <w:tc>
          <w:tcPr>
            <w:tcW w:w="2484" w:type="dxa"/>
            <w:vAlign w:val="center"/>
          </w:tcPr>
          <w:p w14:paraId="2BE09A93" w14:textId="77777777" w:rsidR="0040061D" w:rsidRDefault="00000000" w:rsidP="00FD1D91">
            <w:pPr>
              <w:spacing w:after="40"/>
              <w:jc w:val="center"/>
            </w:pPr>
            <w:r>
              <w:t>Trademark clearance, consider registration, preserve evidence, monitor marketplace</w:t>
            </w:r>
          </w:p>
        </w:tc>
      </w:tr>
      <w:tr w:rsidR="0040061D" w14:paraId="57F03398" w14:textId="77777777" w:rsidTr="00FD1D91">
        <w:tc>
          <w:tcPr>
            <w:tcW w:w="2484" w:type="dxa"/>
            <w:vAlign w:val="center"/>
          </w:tcPr>
          <w:p w14:paraId="4D9D756E" w14:textId="77777777" w:rsidR="0040061D" w:rsidRDefault="00000000" w:rsidP="00FD1D91">
            <w:pPr>
              <w:spacing w:after="40"/>
              <w:jc w:val="center"/>
            </w:pPr>
            <w:r>
              <w:t>Copying of website text or graphics</w:t>
            </w:r>
          </w:p>
        </w:tc>
        <w:tc>
          <w:tcPr>
            <w:tcW w:w="2484" w:type="dxa"/>
            <w:vAlign w:val="center"/>
          </w:tcPr>
          <w:p w14:paraId="2CAEDBF9" w14:textId="77777777" w:rsidR="0040061D" w:rsidRDefault="00000000" w:rsidP="00FD1D91">
            <w:pPr>
              <w:spacing w:after="40"/>
              <w:jc w:val="center"/>
            </w:pPr>
            <w:r>
              <w:t>High</w:t>
            </w:r>
          </w:p>
        </w:tc>
        <w:tc>
          <w:tcPr>
            <w:tcW w:w="2484" w:type="dxa"/>
            <w:vAlign w:val="center"/>
          </w:tcPr>
          <w:p w14:paraId="4B399F38" w14:textId="77777777" w:rsidR="0040061D" w:rsidRDefault="00000000" w:rsidP="00FD1D91">
            <w:pPr>
              <w:spacing w:after="40"/>
              <w:jc w:val="center"/>
            </w:pPr>
            <w:r>
              <w:t>Medium</w:t>
            </w:r>
          </w:p>
        </w:tc>
        <w:tc>
          <w:tcPr>
            <w:tcW w:w="2484" w:type="dxa"/>
            <w:vAlign w:val="center"/>
          </w:tcPr>
          <w:p w14:paraId="7C9E1749" w14:textId="77777777" w:rsidR="0040061D" w:rsidRDefault="00000000" w:rsidP="00FD1D91">
            <w:pPr>
              <w:spacing w:after="40"/>
              <w:jc w:val="center"/>
            </w:pPr>
            <w:r>
              <w:t xml:space="preserve">Keep dated originals, maintain authorship records, use a takedown/legal </w:t>
            </w:r>
            <w:r>
              <w:lastRenderedPageBreak/>
              <w:t>process where appropriate</w:t>
            </w:r>
          </w:p>
        </w:tc>
      </w:tr>
      <w:tr w:rsidR="0040061D" w14:paraId="252C9AC5" w14:textId="77777777" w:rsidTr="00FD1D91">
        <w:tc>
          <w:tcPr>
            <w:tcW w:w="2484" w:type="dxa"/>
            <w:vAlign w:val="center"/>
          </w:tcPr>
          <w:p w14:paraId="34F83399" w14:textId="77777777" w:rsidR="0040061D" w:rsidRDefault="00000000" w:rsidP="00FD1D91">
            <w:pPr>
              <w:spacing w:after="40"/>
              <w:jc w:val="center"/>
            </w:pPr>
            <w:r>
              <w:lastRenderedPageBreak/>
              <w:t>Former contractor retains access</w:t>
            </w:r>
          </w:p>
        </w:tc>
        <w:tc>
          <w:tcPr>
            <w:tcW w:w="2484" w:type="dxa"/>
            <w:vAlign w:val="center"/>
          </w:tcPr>
          <w:p w14:paraId="30E04535" w14:textId="77777777" w:rsidR="0040061D" w:rsidRDefault="00000000" w:rsidP="00FD1D91">
            <w:pPr>
              <w:spacing w:after="40"/>
              <w:jc w:val="center"/>
            </w:pPr>
            <w:r>
              <w:t>Medium</w:t>
            </w:r>
          </w:p>
        </w:tc>
        <w:tc>
          <w:tcPr>
            <w:tcW w:w="2484" w:type="dxa"/>
            <w:vAlign w:val="center"/>
          </w:tcPr>
          <w:p w14:paraId="26CBC6D1" w14:textId="77777777" w:rsidR="0040061D" w:rsidRDefault="00000000" w:rsidP="00FD1D91">
            <w:pPr>
              <w:spacing w:after="40"/>
              <w:jc w:val="center"/>
            </w:pPr>
            <w:r>
              <w:t>High</w:t>
            </w:r>
          </w:p>
        </w:tc>
        <w:tc>
          <w:tcPr>
            <w:tcW w:w="2484" w:type="dxa"/>
            <w:vAlign w:val="center"/>
          </w:tcPr>
          <w:p w14:paraId="7296FB1E" w14:textId="77777777" w:rsidR="0040061D" w:rsidRDefault="00000000" w:rsidP="00FD1D91">
            <w:pPr>
              <w:spacing w:after="40"/>
              <w:jc w:val="center"/>
            </w:pPr>
            <w:r>
              <w:t>Immediate offboarding checklist, revoke tokens and accounts, rotate shared secrets</w:t>
            </w:r>
          </w:p>
        </w:tc>
      </w:tr>
      <w:tr w:rsidR="0040061D" w14:paraId="16D1A496" w14:textId="77777777" w:rsidTr="00FD1D91">
        <w:tc>
          <w:tcPr>
            <w:tcW w:w="2484" w:type="dxa"/>
            <w:vAlign w:val="center"/>
          </w:tcPr>
          <w:p w14:paraId="3B3A4E8F" w14:textId="77777777" w:rsidR="0040061D" w:rsidRDefault="00000000" w:rsidP="00FD1D91">
            <w:pPr>
              <w:spacing w:after="40"/>
              <w:jc w:val="center"/>
            </w:pPr>
            <w:r>
              <w:t>Loss or alteration of project files</w:t>
            </w:r>
          </w:p>
        </w:tc>
        <w:tc>
          <w:tcPr>
            <w:tcW w:w="2484" w:type="dxa"/>
            <w:vAlign w:val="center"/>
          </w:tcPr>
          <w:p w14:paraId="46E4995E" w14:textId="77777777" w:rsidR="0040061D" w:rsidRDefault="00000000" w:rsidP="00FD1D91">
            <w:pPr>
              <w:spacing w:after="40"/>
              <w:jc w:val="center"/>
            </w:pPr>
            <w:r>
              <w:t>Medium</w:t>
            </w:r>
          </w:p>
        </w:tc>
        <w:tc>
          <w:tcPr>
            <w:tcW w:w="2484" w:type="dxa"/>
            <w:vAlign w:val="center"/>
          </w:tcPr>
          <w:p w14:paraId="4ADC87AF" w14:textId="77777777" w:rsidR="0040061D" w:rsidRDefault="00000000" w:rsidP="00FD1D91">
            <w:pPr>
              <w:spacing w:after="40"/>
              <w:jc w:val="center"/>
            </w:pPr>
            <w:r>
              <w:t>High</w:t>
            </w:r>
          </w:p>
        </w:tc>
        <w:tc>
          <w:tcPr>
            <w:tcW w:w="2484" w:type="dxa"/>
            <w:vAlign w:val="center"/>
          </w:tcPr>
          <w:p w14:paraId="094E2AEE" w14:textId="77777777" w:rsidR="0040061D" w:rsidRDefault="00000000" w:rsidP="00FD1D91">
            <w:pPr>
              <w:spacing w:after="40"/>
              <w:jc w:val="center"/>
            </w:pPr>
            <w:r>
              <w:t>Version control, tested backups, restricted write access, recovery exercises</w:t>
            </w:r>
          </w:p>
        </w:tc>
      </w:tr>
    </w:tbl>
    <w:p w14:paraId="5176606D" w14:textId="77777777" w:rsidR="00FD1D91" w:rsidRPr="00FD1D91" w:rsidRDefault="00FD1D91" w:rsidP="006014BE">
      <w:pPr>
        <w:spacing w:before="200" w:after="100"/>
        <w:jc w:val="both"/>
        <w:rPr>
          <w:b/>
          <w:sz w:val="20"/>
          <w:szCs w:val="14"/>
        </w:rPr>
      </w:pPr>
    </w:p>
    <w:p w14:paraId="03A3C3D8" w14:textId="27610E82" w:rsidR="0040061D" w:rsidRPr="00FD1D91" w:rsidRDefault="00000000" w:rsidP="006014BE">
      <w:pPr>
        <w:spacing w:before="200" w:after="100"/>
        <w:jc w:val="both"/>
        <w:rPr>
          <w:sz w:val="34"/>
          <w:szCs w:val="34"/>
        </w:rPr>
      </w:pPr>
      <w:r w:rsidRPr="00FD1D91">
        <w:rPr>
          <w:b/>
          <w:sz w:val="34"/>
          <w:szCs w:val="34"/>
        </w:rPr>
        <w:t>9. Student Work and Analysis</w:t>
      </w:r>
    </w:p>
    <w:p w14:paraId="3C9CF588" w14:textId="77777777" w:rsidR="0040061D" w:rsidRDefault="00000000" w:rsidP="006014BE">
      <w:pPr>
        <w:spacing w:after="120"/>
        <w:jc w:val="both"/>
      </w:pPr>
      <w:r>
        <w:t>Step 1 — Identify assets and ownership. Prepare a complete register of software, code repositories, designs, content, logos, data, and confidential information. Record creators, creation dates, acquisition sources, licences, and contractual ownership.</w:t>
      </w:r>
    </w:p>
    <w:p w14:paraId="6C8447DB" w14:textId="77777777" w:rsidR="0040061D" w:rsidRDefault="00000000" w:rsidP="006014BE">
      <w:pPr>
        <w:spacing w:after="120"/>
        <w:jc w:val="both"/>
      </w:pPr>
      <w:r>
        <w:t>Step 2 — Map IPR to each asset. Identify which assets may be protected by copyright, trademarks, patents, designs, contracts, or confidentiality measures. Do not assume that all copying is automatically unlawful; assess the facts and applicable law.</w:t>
      </w:r>
    </w:p>
    <w:p w14:paraId="29C59A84" w14:textId="77777777" w:rsidR="0040061D" w:rsidRDefault="00000000" w:rsidP="006014BE">
      <w:pPr>
        <w:spacing w:after="120"/>
        <w:jc w:val="both"/>
      </w:pPr>
      <w:r>
        <w:t>Step 3 — Preserve evidence. Secure repository logs, access records, screenshots, URLs, timestamps, contracts, source-code history, and communications. Preserve original files and metadata, limit access to the investigation, and avoid altering potential evidence.</w:t>
      </w:r>
    </w:p>
    <w:p w14:paraId="1CC57A78" w14:textId="77777777" w:rsidR="0040061D" w:rsidRDefault="00000000" w:rsidP="006014BE">
      <w:pPr>
        <w:spacing w:after="120"/>
        <w:jc w:val="both"/>
      </w:pPr>
      <w:r>
        <w:t>Step 4 — Contain the security incident. Revoke suspicious sessions and obsolete accounts, rotate credentials and access tokens, enable multi-factor authentication, review permissions, and check for unauthorized repository changes. Preserve logs before routine retention deletes them.</w:t>
      </w:r>
    </w:p>
    <w:p w14:paraId="5EF81021" w14:textId="77777777" w:rsidR="0040061D" w:rsidRDefault="00000000" w:rsidP="006014BE">
      <w:pPr>
        <w:spacing w:after="120"/>
        <w:jc w:val="both"/>
      </w:pPr>
      <w:r>
        <w:lastRenderedPageBreak/>
        <w:t>Step 5 — Assess the incident. Determine what was accessed or copied, whether customer or personal data was involved, the duration of exposure, and whether other systems may be affected. Escalate any data-protection or reporting obligations to appropriate advisers.</w:t>
      </w:r>
    </w:p>
    <w:p w14:paraId="6D8FA737" w14:textId="77777777" w:rsidR="0040061D" w:rsidRDefault="00000000" w:rsidP="006014BE">
      <w:pPr>
        <w:spacing w:after="120"/>
        <w:jc w:val="both"/>
      </w:pPr>
      <w:r>
        <w:t>Step 6 — Select a response. With legal advice, BrightByte may contact the relevant platform, send a formal notice, negotiate, or pursue available legal remedies. It should avoid public accusations until the evidence has been reviewed.</w:t>
      </w:r>
    </w:p>
    <w:p w14:paraId="3B0ED208" w14:textId="77777777" w:rsidR="0040061D" w:rsidRDefault="00000000" w:rsidP="006014BE">
      <w:pPr>
        <w:spacing w:after="120"/>
        <w:jc w:val="both"/>
      </w:pPr>
      <w:r>
        <w:t>Step 7 — Improve prevention. Introduce written access policies, staff training, confidentiality clauses, secure development practices, periodic access reviews, backups, logging, and a documented incident-response process.</w:t>
      </w:r>
    </w:p>
    <w:p w14:paraId="447A6DBF" w14:textId="77777777" w:rsidR="00FD1D91" w:rsidRPr="00FD1D91" w:rsidRDefault="00FD1D91" w:rsidP="006014BE">
      <w:pPr>
        <w:spacing w:after="120"/>
        <w:jc w:val="both"/>
        <w:rPr>
          <w:sz w:val="20"/>
          <w:szCs w:val="14"/>
        </w:rPr>
      </w:pPr>
    </w:p>
    <w:p w14:paraId="429C49DC" w14:textId="77777777" w:rsidR="0040061D" w:rsidRPr="00FD1D91" w:rsidRDefault="00000000" w:rsidP="006014BE">
      <w:pPr>
        <w:spacing w:before="200" w:after="100"/>
        <w:jc w:val="both"/>
        <w:rPr>
          <w:sz w:val="34"/>
          <w:szCs w:val="34"/>
        </w:rPr>
      </w:pPr>
      <w:r w:rsidRPr="00FD1D91">
        <w:rPr>
          <w:b/>
          <w:sz w:val="34"/>
          <w:szCs w:val="34"/>
        </w:rPr>
        <w:t>10. Recommended Protection Framework</w:t>
      </w:r>
    </w:p>
    <w:p w14:paraId="00CA454F" w14:textId="77777777" w:rsidR="0040061D" w:rsidRDefault="00000000" w:rsidP="006014BE">
      <w:pPr>
        <w:pStyle w:val="ListBullet"/>
        <w:spacing w:after="60" w:line="264" w:lineRule="auto"/>
        <w:jc w:val="both"/>
      </w:pPr>
      <w:r>
        <w:t>Governance: Appoint an asset owner and information-security lead; maintain an approved policy and an IPR register.</w:t>
      </w:r>
    </w:p>
    <w:p w14:paraId="6AD186A4" w14:textId="77777777" w:rsidR="0040061D" w:rsidRDefault="00000000" w:rsidP="006014BE">
      <w:pPr>
        <w:pStyle w:val="ListBullet"/>
        <w:spacing w:after="60" w:line="264" w:lineRule="auto"/>
        <w:jc w:val="both"/>
      </w:pPr>
      <w:r>
        <w:t>People: Use employment and contractor agreements that define ownership and confidentiality; train staff to identify phishing, unsafe sharing, and IP risks.</w:t>
      </w:r>
    </w:p>
    <w:p w14:paraId="03274276" w14:textId="77777777" w:rsidR="0040061D" w:rsidRDefault="00000000" w:rsidP="006014BE">
      <w:pPr>
        <w:pStyle w:val="ListBullet"/>
        <w:spacing w:after="60" w:line="264" w:lineRule="auto"/>
        <w:jc w:val="both"/>
      </w:pPr>
      <w:r>
        <w:t>Process: Use onboarding/offboarding checklists, change approvals, supplier reviews, incident handling, and regular risk assessments.</w:t>
      </w:r>
    </w:p>
    <w:p w14:paraId="142D51B5" w14:textId="77777777" w:rsidR="0040061D" w:rsidRDefault="00000000" w:rsidP="006014BE">
      <w:pPr>
        <w:pStyle w:val="ListBullet"/>
        <w:spacing w:after="60" w:line="264" w:lineRule="auto"/>
        <w:jc w:val="both"/>
      </w:pPr>
      <w:r>
        <w:t>Technology: Apply least-privilege access, multi-factor authentication, encryption where appropriate, endpoint protection, repository protections, audit logging, backups, and vulnerability management.</w:t>
      </w:r>
    </w:p>
    <w:p w14:paraId="29A44002" w14:textId="77777777" w:rsidR="0040061D" w:rsidRDefault="00000000" w:rsidP="006014BE">
      <w:pPr>
        <w:pStyle w:val="ListBullet"/>
        <w:spacing w:after="60" w:line="264" w:lineRule="auto"/>
        <w:jc w:val="both"/>
      </w:pPr>
      <w:r>
        <w:t>Legal: Maintain records of creation and ownership, review third-party licences, conduct trademark searches, and seek specialist advice for registrations and disputes.</w:t>
      </w:r>
    </w:p>
    <w:p w14:paraId="1D386080" w14:textId="77777777" w:rsidR="0040061D" w:rsidRDefault="00000000" w:rsidP="006014BE">
      <w:pPr>
        <w:pStyle w:val="ListBullet"/>
        <w:spacing w:after="60" w:line="264" w:lineRule="auto"/>
        <w:jc w:val="both"/>
      </w:pPr>
      <w:r>
        <w:t>Monitoring: Review access logs, external websites and marketplaces, unusual downloads, and policy exceptions at planned intervals.</w:t>
      </w:r>
    </w:p>
    <w:p w14:paraId="1C7E182F" w14:textId="77777777" w:rsidR="00FD1D91" w:rsidRPr="00FD1D91" w:rsidRDefault="00FD1D91" w:rsidP="00FD1D91">
      <w:pPr>
        <w:pStyle w:val="ListBullet"/>
        <w:numPr>
          <w:ilvl w:val="0"/>
          <w:numId w:val="0"/>
        </w:numPr>
        <w:spacing w:after="60" w:line="264" w:lineRule="auto"/>
        <w:ind w:left="360"/>
        <w:jc w:val="both"/>
        <w:rPr>
          <w:sz w:val="20"/>
          <w:szCs w:val="14"/>
        </w:rPr>
      </w:pPr>
    </w:p>
    <w:p w14:paraId="16DAC4D3" w14:textId="77777777" w:rsidR="0040061D" w:rsidRPr="00FD1D91" w:rsidRDefault="00000000" w:rsidP="006014BE">
      <w:pPr>
        <w:spacing w:before="200" w:after="100"/>
        <w:jc w:val="both"/>
        <w:rPr>
          <w:sz w:val="34"/>
          <w:szCs w:val="34"/>
        </w:rPr>
      </w:pPr>
      <w:r w:rsidRPr="00FD1D91">
        <w:rPr>
          <w:b/>
          <w:sz w:val="34"/>
          <w:szCs w:val="34"/>
        </w:rPr>
        <w:t>11. Implementation Plan</w:t>
      </w:r>
    </w:p>
    <w:p w14:paraId="61BDA093" w14:textId="77777777" w:rsidR="0040061D" w:rsidRDefault="00000000" w:rsidP="006014BE">
      <w:pPr>
        <w:spacing w:after="120"/>
        <w:jc w:val="both"/>
      </w:pPr>
      <w:r>
        <w:lastRenderedPageBreak/>
        <w:t>First 7 days: Disable unnecessary access, secure repositories, rotate exposed credentials, preserve evidence, and identify affected assets.</w:t>
      </w:r>
    </w:p>
    <w:p w14:paraId="42C62402" w14:textId="77777777" w:rsidR="0040061D" w:rsidRDefault="00000000" w:rsidP="006014BE">
      <w:pPr>
        <w:spacing w:after="120"/>
        <w:jc w:val="both"/>
      </w:pPr>
      <w:r>
        <w:t>Within 30 days: Complete the asset register, classify information, review contracts and licences, conduct an initial risk assessment, and establish an incident-response checklist.</w:t>
      </w:r>
    </w:p>
    <w:p w14:paraId="46603D30" w14:textId="77777777" w:rsidR="0040061D" w:rsidRDefault="00000000" w:rsidP="006014BE">
      <w:pPr>
        <w:spacing w:after="120"/>
        <w:jc w:val="both"/>
      </w:pPr>
      <w:r>
        <w:t>Within 60–90 days: Prioritize IPR filings or professional reviews, formalize secure-development and access policies, test backups, train staff, and review relevant ISO/IEC 27001:2022 controls.</w:t>
      </w:r>
    </w:p>
    <w:p w14:paraId="751839D1" w14:textId="77777777" w:rsidR="0040061D" w:rsidRDefault="00000000" w:rsidP="006014BE">
      <w:pPr>
        <w:spacing w:after="120"/>
        <w:jc w:val="both"/>
      </w:pPr>
      <w:r>
        <w:t>Ongoing: Reassess risks, review access quarterly or after role changes, monitor for misuse, update the asset register, and improve controls based on incidents and audits.</w:t>
      </w:r>
    </w:p>
    <w:p w14:paraId="3DB3B6F9" w14:textId="77777777" w:rsidR="00FD1D91" w:rsidRPr="00FD1D91" w:rsidRDefault="00FD1D91" w:rsidP="006014BE">
      <w:pPr>
        <w:spacing w:after="120"/>
        <w:jc w:val="both"/>
        <w:rPr>
          <w:sz w:val="20"/>
          <w:szCs w:val="14"/>
        </w:rPr>
      </w:pPr>
    </w:p>
    <w:p w14:paraId="3D6F0FE5" w14:textId="77777777" w:rsidR="0040061D" w:rsidRPr="00FD1D91" w:rsidRDefault="00000000" w:rsidP="006014BE">
      <w:pPr>
        <w:spacing w:before="200" w:after="100"/>
        <w:jc w:val="both"/>
        <w:rPr>
          <w:sz w:val="34"/>
          <w:szCs w:val="34"/>
        </w:rPr>
      </w:pPr>
      <w:r w:rsidRPr="00FD1D91">
        <w:rPr>
          <w:b/>
          <w:sz w:val="34"/>
          <w:szCs w:val="34"/>
        </w:rPr>
        <w:t>12. Expected Outcomes</w:t>
      </w:r>
    </w:p>
    <w:p w14:paraId="68C19F87" w14:textId="77777777" w:rsidR="0040061D" w:rsidRDefault="00000000" w:rsidP="006014BE">
      <w:pPr>
        <w:spacing w:after="120"/>
        <w:jc w:val="both"/>
      </w:pPr>
      <w:r>
        <w:t>If BrightByte implements the framework, it should be better able to identify and demonstrate ownership, limit access to valuable assets, detect suspicious activity, preserve useful evidence, respond consistently to incidents, and reduce the risk of repeated unauthorized copying. The framework also improves accountability and provides a foundation for a risk-based ISMS aligned with ISO/IEC 27001:2022.</w:t>
      </w:r>
    </w:p>
    <w:p w14:paraId="583BFAD3" w14:textId="77777777" w:rsidR="00FD1D91" w:rsidRPr="00FD1D91" w:rsidRDefault="00FD1D91" w:rsidP="006014BE">
      <w:pPr>
        <w:spacing w:after="120"/>
        <w:jc w:val="both"/>
        <w:rPr>
          <w:sz w:val="20"/>
          <w:szCs w:val="14"/>
        </w:rPr>
      </w:pPr>
    </w:p>
    <w:p w14:paraId="6711E7FD" w14:textId="77777777" w:rsidR="0040061D" w:rsidRPr="00FD1D91" w:rsidRDefault="00000000" w:rsidP="006014BE">
      <w:pPr>
        <w:spacing w:before="200" w:after="100"/>
        <w:jc w:val="both"/>
        <w:rPr>
          <w:sz w:val="34"/>
          <w:szCs w:val="34"/>
        </w:rPr>
      </w:pPr>
      <w:r w:rsidRPr="00FD1D91">
        <w:rPr>
          <w:b/>
          <w:sz w:val="34"/>
          <w:szCs w:val="34"/>
        </w:rPr>
        <w:t>13. Conclusion</w:t>
      </w:r>
    </w:p>
    <w:p w14:paraId="34FDCEF8" w14:textId="77777777" w:rsidR="0040061D" w:rsidRDefault="00000000" w:rsidP="006014BE">
      <w:pPr>
        <w:spacing w:after="120"/>
        <w:jc w:val="both"/>
      </w:pPr>
      <w:r>
        <w:t>The BrightByte case demonstrates that protecting software and digital assets requires more than one legal registration or a single security tool. Copyright, trademarks, patents, designs, contracts, and confidentiality measures may each protect different aspects of a business. An asset register, risk assessment, access controls, secure development, evidence preservation, and incident response help make those protections practical. By combining IPR management with an ISO/IEC 27001:2022-aligned security approach, a startup can protect its innovations, reduce operational risk, and build customer confidence.</w:t>
      </w:r>
    </w:p>
    <w:p w14:paraId="2872F8F0" w14:textId="77777777" w:rsidR="00FD1D91" w:rsidRPr="00FD1D91" w:rsidRDefault="00FD1D91" w:rsidP="006014BE">
      <w:pPr>
        <w:spacing w:after="120"/>
        <w:jc w:val="both"/>
        <w:rPr>
          <w:sz w:val="20"/>
          <w:szCs w:val="14"/>
        </w:rPr>
      </w:pPr>
    </w:p>
    <w:p w14:paraId="07F9D5D1" w14:textId="77777777" w:rsidR="0040061D" w:rsidRPr="00FD1D91" w:rsidRDefault="00000000" w:rsidP="006014BE">
      <w:pPr>
        <w:spacing w:before="200" w:after="100"/>
        <w:jc w:val="both"/>
        <w:rPr>
          <w:sz w:val="34"/>
          <w:szCs w:val="34"/>
        </w:rPr>
      </w:pPr>
      <w:r w:rsidRPr="00FD1D91">
        <w:rPr>
          <w:b/>
          <w:sz w:val="34"/>
          <w:szCs w:val="34"/>
        </w:rPr>
        <w:t>14. References</w:t>
      </w:r>
    </w:p>
    <w:p w14:paraId="168C5E9D" w14:textId="77777777" w:rsidR="0040061D" w:rsidRDefault="00000000" w:rsidP="006014BE">
      <w:pPr>
        <w:pStyle w:val="ListBullet"/>
        <w:spacing w:after="60" w:line="264" w:lineRule="auto"/>
        <w:jc w:val="both"/>
      </w:pPr>
      <w:r>
        <w:t>Intellectual Property India — Official portal: https://ipindia.gov.in/</w:t>
      </w:r>
    </w:p>
    <w:p w14:paraId="22165C8B" w14:textId="77777777" w:rsidR="0040061D" w:rsidRDefault="00000000" w:rsidP="006014BE">
      <w:pPr>
        <w:pStyle w:val="ListBullet"/>
        <w:spacing w:after="60" w:line="264" w:lineRule="auto"/>
        <w:jc w:val="both"/>
      </w:pPr>
      <w:r>
        <w:t>The Copyright Act, 1957 — India Code: https://www.indiacode.nic.in/</w:t>
      </w:r>
    </w:p>
    <w:p w14:paraId="4EE8FA1E" w14:textId="77777777" w:rsidR="0040061D" w:rsidRDefault="00000000" w:rsidP="006014BE">
      <w:pPr>
        <w:pStyle w:val="ListBullet"/>
        <w:spacing w:after="60" w:line="264" w:lineRule="auto"/>
        <w:jc w:val="both"/>
      </w:pPr>
      <w:r>
        <w:t>The Patents Act, 1970 — India Code: https://www.indiacode.nic.in/</w:t>
      </w:r>
    </w:p>
    <w:p w14:paraId="5AD01E86" w14:textId="77777777" w:rsidR="0040061D" w:rsidRDefault="00000000" w:rsidP="006014BE">
      <w:pPr>
        <w:pStyle w:val="ListBullet"/>
        <w:spacing w:after="60" w:line="264" w:lineRule="auto"/>
        <w:jc w:val="both"/>
      </w:pPr>
      <w:r>
        <w:t>The Trade Marks Act, 1999 — India Code: https://www.indiacode.nic.in/</w:t>
      </w:r>
    </w:p>
    <w:p w14:paraId="7D2FDB69" w14:textId="77777777" w:rsidR="0040061D" w:rsidRDefault="00000000" w:rsidP="006014BE">
      <w:pPr>
        <w:pStyle w:val="ListBullet"/>
        <w:spacing w:after="60" w:line="264" w:lineRule="auto"/>
        <w:jc w:val="both"/>
      </w:pPr>
      <w:r>
        <w:t>The Designs Act, 2000 — India Code: https://www.indiacode.nic.in/</w:t>
      </w:r>
    </w:p>
    <w:p w14:paraId="30013817" w14:textId="77777777" w:rsidR="0040061D" w:rsidRDefault="00000000" w:rsidP="006014BE">
      <w:pPr>
        <w:pStyle w:val="ListBullet"/>
        <w:spacing w:after="60" w:line="264" w:lineRule="auto"/>
        <w:jc w:val="both"/>
      </w:pPr>
      <w:r>
        <w:t>ISO/IEC 27001:2022, Information security management systems — Requirements: https://www.iso.org/standard/27001</w:t>
      </w:r>
    </w:p>
    <w:sectPr w:rsidR="004006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127690">
    <w:abstractNumId w:val="8"/>
  </w:num>
  <w:num w:numId="2" w16cid:durableId="1065108094">
    <w:abstractNumId w:val="6"/>
  </w:num>
  <w:num w:numId="3" w16cid:durableId="1407263450">
    <w:abstractNumId w:val="5"/>
  </w:num>
  <w:num w:numId="4" w16cid:durableId="1635066384">
    <w:abstractNumId w:val="4"/>
  </w:num>
  <w:num w:numId="5" w16cid:durableId="966282439">
    <w:abstractNumId w:val="7"/>
  </w:num>
  <w:num w:numId="6" w16cid:durableId="1002900749">
    <w:abstractNumId w:val="3"/>
  </w:num>
  <w:num w:numId="7" w16cid:durableId="42215304">
    <w:abstractNumId w:val="2"/>
  </w:num>
  <w:num w:numId="8" w16cid:durableId="841360442">
    <w:abstractNumId w:val="1"/>
  </w:num>
  <w:num w:numId="9" w16cid:durableId="191693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70"/>
    <w:rsid w:val="00034616"/>
    <w:rsid w:val="0006063C"/>
    <w:rsid w:val="0015074B"/>
    <w:rsid w:val="0029639D"/>
    <w:rsid w:val="00326F90"/>
    <w:rsid w:val="0040061D"/>
    <w:rsid w:val="006014BE"/>
    <w:rsid w:val="00AA1D8D"/>
    <w:rsid w:val="00B47730"/>
    <w:rsid w:val="00CB0664"/>
    <w:rsid w:val="00FC693F"/>
    <w:rsid w:val="00FD1D9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0520D"/>
  <w14:defaultImageDpi w14:val="300"/>
  <w15:docId w15:val="{E7505086-B630-40A8-AE0F-6648EEF8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3</cp:revision>
  <dcterms:created xsi:type="dcterms:W3CDTF">2013-12-23T23:15:00Z</dcterms:created>
  <dcterms:modified xsi:type="dcterms:W3CDTF">2026-10-21T15:51:00Z</dcterms:modified>
  <cp:category/>
</cp:coreProperties>
</file>