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00"/>
        <w:jc w:val="center"/>
      </w:pPr>
      <w:r>
        <w:rPr>
          <w:rFonts w:ascii="Arial" w:cs="Arial" w:eastAsia="Arial" w:hAnsi="Arial"/>
          <w:b/>
          <w:bCs/>
          <w:color w:val="1F497D"/>
          <w:sz w:val="52"/>
          <w:szCs w:val="52"/>
        </w:rPr>
        <w:t xml:space="preserve">HYDROPOWER PLANT</w:t>
      </w:r>
    </w:p>
    <w:p>
      <w:pPr>
        <w:spacing w:before="0" w:after="200"/>
        <w:jc w:val="center"/>
      </w:pPr>
      <w:r>
        <w:rPr>
          <w:rFonts w:ascii="Arial" w:cs="Arial" w:eastAsia="Arial" w:hAnsi="Arial"/>
          <w:b/>
          <w:bCs/>
          <w:color w:val="2E75B6"/>
          <w:sz w:val="36"/>
          <w:szCs w:val="36"/>
        </w:rPr>
        <w:t xml:space="preserve">MODELLING, SIMULATION &amp; CONTROL</w:t>
      </w:r>
    </w:p>
    <w:p>
      <w:pPr>
        <w:pBdr>
          <w:bottom w:val="single" w:color="2E75B6" w:sz="12" w:space="4"/>
        </w:pBdr>
        <w:spacing w:before="0" w:after="120"/>
      </w:pPr>
    </w:p>
    <w:p>
      <w:r>
        <w:t xml:space="preserve"/>
      </w:r>
    </w:p>
    <w:p>
      <w:pPr>
        <w:spacing w:before="200" w:after="120"/>
        <w:jc w:val="center"/>
      </w:pPr>
      <w:r>
        <w:rPr>
          <w:rFonts w:ascii="Arial" w:cs="Arial" w:eastAsia="Arial" w:hAnsi="Arial"/>
          <w:i/>
          <w:iCs/>
          <w:color w:val="595959"/>
          <w:sz w:val="26"/>
          <w:szCs w:val="26"/>
        </w:rPr>
        <w:t xml:space="preserve">An Advanced Technical Reference</w:t>
      </w:r>
    </w:p>
    <w:p>
      <w:pPr>
        <w:spacing w:before="100" w:after="120"/>
        <w:jc w:val="center"/>
      </w:pPr>
      <w:r>
        <w:rPr>
          <w:rFonts w:ascii="Arial" w:cs="Arial" w:eastAsia="Arial" w:hAnsi="Arial"/>
          <w:i/>
          <w:iCs/>
          <w:color w:val="595959"/>
          <w:sz w:val="24"/>
          <w:szCs w:val="24"/>
        </w:rPr>
        <w:t xml:space="preserve">From Reservoir Hydraulics to Grid-Connected Generation</w:t>
      </w:r>
    </w:p>
    <w:p>
      <w:pPr>
        <w:spacing w:before="100" w:after="120"/>
        <w:jc w:val="center"/>
      </w:pPr>
      <w:r>
        <w:rPr>
          <w:rFonts w:ascii="Arial" w:cs="Arial" w:eastAsia="Arial" w:hAnsi="Arial"/>
          <w:i/>
          <w:iCs/>
          <w:color w:val="595959"/>
          <w:sz w:val="24"/>
          <w:szCs w:val="24"/>
        </w:rPr>
        <w:t xml:space="preserve">with Full-Order Acausal Implementation in Julia / ModelingToolkit.jl</w:t>
      </w:r>
    </w:p>
    <w:p>
      <w:r>
        <w:t xml:space="preserve"/>
      </w:r>
    </w:p>
    <w:p>
      <w:r>
        <w:t xml:space="preserve"/>
      </w:r>
    </w:p>
    <w:p>
      <w:r>
        <w:t xml:space="preserve"/>
      </w:r>
    </w:p>
    <w:p>
      <w:pPr>
        <w:jc w:val="center"/>
      </w:pPr>
      <w:r>
        <w:rPr>
          <w:rFonts w:ascii="Arial" w:cs="Arial" w:eastAsia="Arial" w:hAnsi="Arial"/>
          <w:color w:val="595959"/>
          <w:sz w:val="22"/>
          <w:szCs w:val="22"/>
        </w:rPr>
        <w:t xml:space="preserve">2025</w:t>
      </w:r>
    </w:p>
    <w:p>
      <w:r>
        <w:br w:type="page"/>
      </w:r>
    </w:p>
    <w:p>
      <w:pPr>
        <w:pStyle w:val="Heading1"/>
        <w:spacing w:before="360" w:after="120"/>
      </w:pPr>
      <w:r>
        <w:rPr>
          <w:rFonts w:ascii="Arial" w:cs="Arial" w:eastAsia="Arial" w:hAnsi="Arial"/>
          <w:b/>
          <w:bCs/>
          <w:color w:val="1F497D"/>
          <w:sz w:val="32"/>
          <w:szCs w:val="32"/>
        </w:rPr>
        <w:t xml:space="preserve">Table of Contents</w:t>
      </w:r>
    </w:p>
    <w:p>
      <w:pPr>
        <w:pBdr>
          <w:bottom w:val="single" w:color="2E75B6" w:sz="6" w:space="4"/>
        </w:pBdr>
        <w:spacing w:before="0" w:after="120"/>
      </w:pP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360" w:after="120"/>
      </w:pPr>
      <w:r>
        <w:rPr>
          <w:rFonts w:ascii="Arial" w:cs="Arial" w:eastAsia="Arial" w:hAnsi="Arial"/>
          <w:b/>
          <w:bCs/>
          <w:color w:val="1F497D"/>
          <w:sz w:val="32"/>
          <w:szCs w:val="32"/>
        </w:rPr>
        <w:t xml:space="preserve">1. Introduction</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Hydropower remains the world's largest source of dispatchable renewable electricity, accounting for approximately 16% of global generation and more than 40% of renewable capacity. Unlike solar and wind, large hydro stations offer synchronous inertia, fast primary frequency response, and voltage support — properties that are increasingly scarce in inverter-dominated grids. The accurate modelling and simulation of these plants is therefore of renewed strategic importance both for grid operators managing system stability and for plant owners seeking optimal lifetime performance.</w:t>
      </w:r>
    </w:p>
    <w:p>
      <w:pPr>
        <w:spacing w:before="80" w:after="100" w:line="276"/>
        <w:ind/>
        <w:jc w:val="both"/>
      </w:pPr>
      <w:r>
        <w:rPr>
          <w:rFonts w:ascii="Arial" w:cs="Arial" w:eastAsia="Arial" w:hAnsi="Arial"/>
          <w:b w:val="false"/>
          <w:bCs w:val="false"/>
          <w:i w:val="false"/>
          <w:iCs w:val="false"/>
          <w:color w:val="000000"/>
          <w:sz w:val="22"/>
          <w:szCs w:val="22"/>
        </w:rPr>
        <w:t xml:space="preserve">This document constitutes a comprehensive PhD-level reference covering: (i) the first-principles mathematical description of every sub-system from headwater reservoir to high-voltage transmission; (ii) a complete acausal implementation in Julia using ModelingToolkit.jl (MTK) and the ModelingToolkit Standard Library (MTKSL) connector formalism; (iii) a 500-second load-step simulation seeded from a converged steady-state; (iv) data acquisition requirements and model parameter identification methodologies; and (v) classical and modern control architectures applied across the hydraulic, mechanical, and electrical domains.</w:t>
      </w:r>
    </w:p>
    <w:p>
      <w:pPr>
        <w:spacing w:before="80" w:after="100" w:line="276"/>
        <w:ind/>
        <w:jc w:val="both"/>
      </w:pPr>
      <w:r>
        <w:rPr>
          <w:rFonts w:ascii="Arial" w:cs="Arial" w:eastAsia="Arial" w:hAnsi="Arial"/>
          <w:b w:val="false"/>
          <w:bCs w:val="false"/>
          <w:i w:val="false"/>
          <w:iCs w:val="false"/>
          <w:color w:val="000000"/>
          <w:sz w:val="22"/>
          <w:szCs w:val="22"/>
        </w:rPr>
        <w:t xml:space="preserve">The modelling philosophy adopted throughout is equation-based and domain-consistent: each physical domain (hydraulic, rotational mechanical, electrical) exposes typed acausal connector objects whose effort and flow variables satisfy Kirchhoff-like conservation laws automatically upon connection. Structural simplification by ModelingToolkit produces a minimal, index-reduced DAE system that is handed to a stiff ODE solver. This approach mirrors the philosophy of Modelica/Dymola but executes within the scientific Julia ecosystem, enabling seamless coupling to automatic differentiation, parameter estimation, and reinforcement learning frameworks.</w:t>
      </w:r>
    </w:p>
    <w:p>
      <w:pPr>
        <w:pStyle w:val="Heading2"/>
        <w:spacing w:before="280" w:after="100"/>
      </w:pPr>
      <w:r>
        <w:rPr>
          <w:rFonts w:ascii="Arial" w:cs="Arial" w:eastAsia="Arial" w:hAnsi="Arial"/>
          <w:b/>
          <w:bCs/>
          <w:color w:val="2E75B6"/>
          <w:sz w:val="26"/>
          <w:szCs w:val="26"/>
        </w:rPr>
        <w:t xml:space="preserve">1.1  Scope and Document Organisation</w:t>
      </w:r>
    </w:p>
    <w:p>
      <w:pPr>
        <w:spacing w:before="80" w:after="100" w:line="276"/>
        <w:ind/>
        <w:jc w:val="both"/>
      </w:pPr>
      <w:r>
        <w:rPr>
          <w:rFonts w:ascii="Arial" w:cs="Arial" w:eastAsia="Arial" w:hAnsi="Arial"/>
          <w:b w:val="false"/>
          <w:bCs w:val="false"/>
          <w:i w:val="false"/>
          <w:iCs w:val="false"/>
          <w:color w:val="000000"/>
          <w:sz w:val="22"/>
          <w:szCs w:val="22"/>
        </w:rPr>
        <w:t xml:space="preserve">Section 2 develops the governing equations for each physical domain. Section 3 details the Julia/MTK implementation. Section 4 presents the 500-second load-step simulation and result interpretation. Section 5 covers modelling assumptions and their validity. Section 6 addresses simulation numerics. Section 7 describes model fitting and parameter identification. Section 8 catalogues the data required for a production-grade model. Section 9 surveys control methods — from classical PI governors to model predictive control and data-driven approaches. Section 10 offers conclusions and directions for future work.</w:t>
      </w:r>
    </w:p>
    <w:p>
      <w:pPr>
        <w:pStyle w:val="Heading2"/>
        <w:spacing w:before="280" w:after="100"/>
      </w:pPr>
      <w:r>
        <w:rPr>
          <w:rFonts w:ascii="Arial" w:cs="Arial" w:eastAsia="Arial" w:hAnsi="Arial"/>
          <w:b/>
          <w:bCs/>
          <w:color w:val="2E75B6"/>
          <w:sz w:val="26"/>
          <w:szCs w:val="26"/>
        </w:rPr>
        <w:t xml:space="preserve">1.2  Notation and Units</w:t>
      </w:r>
    </w:p>
    <w:p>
      <w:pPr>
        <w:spacing w:before="80" w:after="100" w:line="276"/>
        <w:ind/>
        <w:jc w:val="both"/>
      </w:pPr>
      <w:r>
        <w:rPr>
          <w:rFonts w:ascii="Arial" w:cs="Arial" w:eastAsia="Arial" w:hAnsi="Arial"/>
          <w:b w:val="false"/>
          <w:bCs w:val="false"/>
          <w:i w:val="false"/>
          <w:iCs w:val="false"/>
          <w:color w:val="000000"/>
          <w:sz w:val="22"/>
          <w:szCs w:val="22"/>
        </w:rPr>
        <w:t xml:space="preserve">All quantities follow SI unless otherwise noted. Subscripts: h = hydraulic; m = mechanical; e = electrical; n = nominal/rated; 0 = steady-state. Time derivatives are written with the Newtonian dot or D(·) as used in MTK.</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160"/>
      </w:tblGrid>
      <w:tr>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Symbol</w:t>
            </w:r>
          </w:p>
        </w:tc>
        <w:tc>
          <w:tcPr>
            <w:tcW w:type="dxa" w:w="3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Quantity</w:t>
            </w:r>
          </w:p>
        </w:tc>
        <w:tc>
          <w:tcPr>
            <w:tcW w:type="dxa" w:w="21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SI Unit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Net head</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Volumetric flow rate</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m³/s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Pressure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Pa</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ρ</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Water density</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kg/m³</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Gravitational acceleration</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m/s²</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ω</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Angular velocity</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rad/s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τ</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Torque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N·m</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J</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Moment of inertia</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kg·m²</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δ</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Generator rotor angle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rad</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Active power</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W</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Q_e</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Reactive power</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VAr</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Voltage</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w:t>
            </w:r>
          </w:p>
        </w:tc>
        <w:tc>
          <w:tcPr>
            <w:tcW w:type="dxa" w:w="3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Current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w:t>
            </w:r>
          </w:p>
        </w:tc>
      </w:tr>
    </w:tbl>
    <w:p>
      <w:pPr>
        <w:spacing w:before="60" w:after="180"/>
        <w:jc w:val="center"/>
      </w:pPr>
      <w:r>
        <w:rPr>
          <w:rFonts w:ascii="Arial" w:cs="Arial" w:eastAsia="Arial" w:hAnsi="Arial"/>
          <w:i/>
          <w:iCs/>
          <w:color w:val="595959"/>
          <w:sz w:val="19"/>
          <w:szCs w:val="19"/>
        </w:rPr>
        <w:t xml:space="preserve">Table 1.1 — Principal symbols used throughout this document.</w:t>
      </w:r>
    </w:p>
    <w:p>
      <w:r>
        <w:br w:type="page"/>
      </w:r>
    </w:p>
    <w:p>
      <w:pPr>
        <w:pStyle w:val="Heading1"/>
        <w:spacing w:before="360" w:after="120"/>
      </w:pPr>
      <w:r>
        <w:rPr>
          <w:rFonts w:ascii="Arial" w:cs="Arial" w:eastAsia="Arial" w:hAnsi="Arial"/>
          <w:b/>
          <w:bCs/>
          <w:color w:val="1F497D"/>
          <w:sz w:val="32"/>
          <w:szCs w:val="32"/>
        </w:rPr>
        <w:t xml:space="preserve">2. Mathematical Modelling</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The hydropower conversion chain spans three coupled physical domains. This section derives the governing equations from first principles, establishing the model fidelity level appropriate for governor tuning, transient stability analysis, and long-term reservoir management studies.</w:t>
      </w:r>
    </w:p>
    <w:p>
      <w:pPr>
        <w:pStyle w:val="Heading2"/>
        <w:spacing w:before="280" w:after="100"/>
      </w:pPr>
      <w:r>
        <w:rPr>
          <w:rFonts w:ascii="Arial" w:cs="Arial" w:eastAsia="Arial" w:hAnsi="Arial"/>
          <w:b/>
          <w:bCs/>
          <w:color w:val="2E75B6"/>
          <w:sz w:val="26"/>
          <w:szCs w:val="26"/>
        </w:rPr>
        <w:t xml:space="preserve">2.1  Reservoir Dynamics</w:t>
      </w:r>
    </w:p>
    <w:p>
      <w:pPr>
        <w:spacing w:before="80" w:after="100" w:line="276"/>
        <w:ind/>
        <w:jc w:val="both"/>
      </w:pPr>
      <w:r>
        <w:rPr>
          <w:rFonts w:ascii="Arial" w:cs="Arial" w:eastAsia="Arial" w:hAnsi="Arial"/>
          <w:b w:val="false"/>
          <w:bCs w:val="false"/>
          <w:i w:val="false"/>
          <w:iCs w:val="false"/>
          <w:color w:val="000000"/>
          <w:sz w:val="22"/>
          <w:szCs w:val="22"/>
        </w:rPr>
        <w:t xml:space="preserve">The reservoir is modelled as a variable-head source. Denoting the free-surface elevation above the turbine datum as H_r(t) [m] and the reservoir surface area as A_r [m²], the continuity equation gives: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dH_r/dt  =  ( Q_in(t) - Q(t) ) / A_r</w:t>
      </w:r>
      <w:r>
        <w:rPr>
          <w:rFonts w:ascii="Arial" w:cs="Arial" w:eastAsia="Arial" w:hAnsi="Arial"/>
          <w:i/>
          <w:iCs/>
          <w:color w:val="595959"/>
          <w:sz w:val="20"/>
          <w:szCs w:val="20"/>
        </w:rPr>
        <w:t xml:space="preserve">   (2.1)</w:t>
      </w:r>
    </w:p>
    <w:p>
      <w:pPr>
        <w:spacing w:before="80" w:after="100" w:line="276"/>
        <w:ind/>
        <w:jc w:val="both"/>
      </w:pPr>
      <w:r>
        <w:rPr>
          <w:rFonts w:ascii="Arial" w:cs="Arial" w:eastAsia="Arial" w:hAnsi="Arial"/>
          <w:b w:val="false"/>
          <w:bCs w:val="false"/>
          <w:i w:val="false"/>
          <w:iCs w:val="false"/>
          <w:color w:val="000000"/>
          <w:sz w:val="22"/>
          <w:szCs w:val="22"/>
        </w:rPr>
        <w:t xml:space="preserve">where Q_in is the inflow (natural run-off, snow-melt schedule) and Q is the penstock discharge. The gauge pressure at the penstock inlet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p_res  =  ρ g H_r</w:t>
      </w:r>
      <w:r>
        <w:rPr>
          <w:rFonts w:ascii="Arial" w:cs="Arial" w:eastAsia="Arial" w:hAnsi="Arial"/>
          <w:i/>
          <w:iCs/>
          <w:color w:val="595959"/>
          <w:sz w:val="20"/>
          <w:szCs w:val="20"/>
        </w:rPr>
        <w:t xml:space="preserve">   (2.2)</w:t>
      </w:r>
    </w:p>
    <w:p>
      <w:pPr>
        <w:spacing w:before="80" w:after="100" w:line="276"/>
        <w:ind/>
        <w:jc w:val="both"/>
      </w:pPr>
      <w:r>
        <w:rPr>
          <w:rFonts w:ascii="Arial" w:cs="Arial" w:eastAsia="Arial" w:hAnsi="Arial"/>
          <w:b w:val="false"/>
          <w:bCs w:val="false"/>
          <w:i w:val="false"/>
          <w:iCs w:val="false"/>
          <w:color w:val="000000"/>
          <w:sz w:val="22"/>
          <w:szCs w:val="22"/>
        </w:rPr>
        <w:t xml:space="preserve">For run-of-river plants A_r is effectively infinite so H_r ≈ const; for storage plants the ODE (2.1) couples reservoir depletion to turbine operation over days to seasons, making it essential for optimisation and long-term scheduling studies.</w:t>
      </w:r>
    </w:p>
    <w:p>
      <w:pPr>
        <w:pStyle w:val="Heading2"/>
        <w:spacing w:before="280" w:after="100"/>
      </w:pPr>
      <w:r>
        <w:rPr>
          <w:rFonts w:ascii="Arial" w:cs="Arial" w:eastAsia="Arial" w:hAnsi="Arial"/>
          <w:b/>
          <w:bCs/>
          <w:color w:val="2E75B6"/>
          <w:sz w:val="26"/>
          <w:szCs w:val="26"/>
        </w:rPr>
        <w:t xml:space="preserve">2.2  Penstock and Water Hammer</w:t>
      </w:r>
    </w:p>
    <w:p>
      <w:pPr>
        <w:pStyle w:val="Heading3"/>
        <w:spacing w:before="220" w:after="80"/>
      </w:pPr>
      <w:r>
        <w:rPr>
          <w:rFonts w:ascii="Arial" w:cs="Arial" w:eastAsia="Arial" w:hAnsi="Arial"/>
          <w:b/>
          <w:bCs/>
          <w:color w:val="595959"/>
          <w:sz w:val="23"/>
          <w:szCs w:val="23"/>
        </w:rPr>
        <w:t xml:space="preserve">2.2.1  Rigid-Column Approximation</w:t>
      </w:r>
    </w:p>
    <w:p>
      <w:pPr>
        <w:spacing w:before="80" w:after="100" w:line="276"/>
        <w:ind/>
        <w:jc w:val="both"/>
      </w:pPr>
      <w:r>
        <w:rPr>
          <w:rFonts w:ascii="Arial" w:cs="Arial" w:eastAsia="Arial" w:hAnsi="Arial"/>
          <w:b w:val="false"/>
          <w:bCs w:val="false"/>
          <w:i w:val="false"/>
          <w:iCs w:val="false"/>
          <w:color w:val="000000"/>
          <w:sz w:val="22"/>
          <w:szCs w:val="22"/>
        </w:rPr>
        <w:t xml:space="preserve">The simplest penstock model neglects fluid compressibility and pipe elasticity, treating the water column as a rigid body of mass ρLA_p. The momentum equation becomes: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ρ L / A_p  ×  dQ/dt  =  p_in - p_out - Δp_f</w:t>
      </w:r>
      <w:r>
        <w:rPr>
          <w:rFonts w:ascii="Arial" w:cs="Arial" w:eastAsia="Arial" w:hAnsi="Arial"/>
          <w:i/>
          <w:iCs/>
          <w:color w:val="595959"/>
          <w:sz w:val="20"/>
          <w:szCs w:val="20"/>
        </w:rPr>
        <w:t xml:space="preserve">   (2.3)</w:t>
      </w:r>
    </w:p>
    <w:p>
      <w:pPr>
        <w:spacing w:before="80" w:after="100" w:line="276"/>
        <w:ind/>
        <w:jc w:val="both"/>
      </w:pPr>
      <w:r>
        <w:rPr>
          <w:rFonts w:ascii="Arial" w:cs="Arial" w:eastAsia="Arial" w:hAnsi="Arial"/>
          <w:b w:val="false"/>
          <w:bCs w:val="false"/>
          <w:i w:val="false"/>
          <w:iCs w:val="false"/>
          <w:color w:val="000000"/>
          <w:sz w:val="22"/>
          <w:szCs w:val="22"/>
        </w:rPr>
        <w:t xml:space="preserve">where L is the penstock length, A_p = πD²/4 is the cross-sectional area, and the Darcy–Weisbach friction loss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Δp_f  =  f (L/D) ρ V |V| / 2,    V = Q / A_p</w:t>
      </w:r>
      <w:r>
        <w:rPr>
          <w:rFonts w:ascii="Arial" w:cs="Arial" w:eastAsia="Arial" w:hAnsi="Arial"/>
          <w:i/>
          <w:iCs/>
          <w:color w:val="595959"/>
          <w:sz w:val="20"/>
          <w:szCs w:val="20"/>
        </w:rPr>
        <w:t xml:space="preserve">   (2.4)</w:t>
      </w:r>
    </w:p>
    <w:p>
      <w:pPr>
        <w:spacing w:before="80" w:after="100" w:line="276"/>
        <w:ind/>
        <w:jc w:val="both"/>
      </w:pPr>
      <w:r>
        <w:rPr>
          <w:rFonts w:ascii="Arial" w:cs="Arial" w:eastAsia="Arial" w:hAnsi="Arial"/>
          <w:b w:val="false"/>
          <w:bCs w:val="false"/>
          <w:i w:val="false"/>
          <w:iCs w:val="false"/>
          <w:color w:val="000000"/>
          <w:sz w:val="22"/>
          <w:szCs w:val="22"/>
        </w:rPr>
        <w:t xml:space="preserve">The friction factor f is estimated from the Colebrook–White equation or the explicit Swamee–Jain approximation. This rigid-column model is accurate below the fundamental acoustic frequency f_1 = a/(4L), typically 0.3–1.0 Hz for large penstocks.</w:t>
      </w:r>
    </w:p>
    <w:p>
      <w:pPr>
        <w:pStyle w:val="Heading3"/>
        <w:spacing w:before="220" w:after="80"/>
      </w:pPr>
      <w:r>
        <w:rPr>
          <w:rFonts w:ascii="Arial" w:cs="Arial" w:eastAsia="Arial" w:hAnsi="Arial"/>
          <w:b/>
          <w:bCs/>
          <w:color w:val="595959"/>
          <w:sz w:val="23"/>
          <w:szCs w:val="23"/>
        </w:rPr>
        <w:t xml:space="preserve">2.2.2  Distributed Water-Hammer Model</w:t>
      </w:r>
    </w:p>
    <w:p>
      <w:pPr>
        <w:spacing w:before="80" w:after="100" w:line="276"/>
        <w:ind/>
        <w:jc w:val="both"/>
      </w:pPr>
      <w:r>
        <w:rPr>
          <w:rFonts w:ascii="Arial" w:cs="Arial" w:eastAsia="Arial" w:hAnsi="Arial"/>
          <w:b w:val="false"/>
          <w:bCs w:val="false"/>
          <w:i w:val="false"/>
          <w:iCs w:val="false"/>
          <w:color w:val="000000"/>
          <w:sz w:val="22"/>
          <w:szCs w:val="22"/>
        </w:rPr>
        <w:t xml:space="preserve">For penstock lengths exceeding 300 m or governor studies requiring accurate simulation of hydraulic transients, the Method of Characteristics (MoC) discretises the conduit into N reaches, each governed by:</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∂V/∂t  +  (1/ρ) ∂p/∂x  =  -f V|V| / (2D)</w:t>
      </w:r>
      <w:r>
        <w:rPr>
          <w:rFonts w:ascii="Arial" w:cs="Arial" w:eastAsia="Arial" w:hAnsi="Arial"/>
          <w:i/>
          <w:iCs/>
          <w:color w:val="595959"/>
          <w:sz w:val="20"/>
          <w:szCs w:val="20"/>
        </w:rPr>
        <w:t xml:space="preserve">   (2.5)</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∂p/∂t  +  ρ a² ∂V/∂x  =  0</w:t>
      </w:r>
      <w:r>
        <w:rPr>
          <w:rFonts w:ascii="Arial" w:cs="Arial" w:eastAsia="Arial" w:hAnsi="Arial"/>
          <w:i/>
          <w:iCs/>
          <w:color w:val="595959"/>
          <w:sz w:val="20"/>
          <w:szCs w:val="20"/>
        </w:rPr>
        <w:t xml:space="preserve">   (2.6)</w:t>
      </w:r>
    </w:p>
    <w:p>
      <w:pPr>
        <w:spacing w:before="80" w:after="100" w:line="276"/>
        <w:ind/>
        <w:jc w:val="both"/>
      </w:pPr>
      <w:r>
        <w:rPr>
          <w:rFonts w:ascii="Arial" w:cs="Arial" w:eastAsia="Arial" w:hAnsi="Arial"/>
          <w:b w:val="false"/>
          <w:bCs w:val="false"/>
          <w:i w:val="false"/>
          <w:iCs w:val="false"/>
          <w:color w:val="000000"/>
          <w:sz w:val="22"/>
          <w:szCs w:val="22"/>
        </w:rPr>
        <w:t xml:space="preserve">where a is the acoustic wave speed (900–1400 m/s depending on pipe material and water entrained air). The Joukowsky pressure rise for instantaneous closure is Δp = ρ a ΔV, which for a 2 m/s velocity change in a steel penstock yields Δp ≈ 2.4 MPa — a key design load.</w:t>
      </w:r>
    </w:p>
    <w:p>
      <w:pPr>
        <w:spacing w:before="80" w:after="100" w:line="276"/>
        <w:ind/>
        <w:jc w:val="both"/>
      </w:pPr>
      <w:r>
        <w:rPr>
          <w:rFonts w:ascii="Arial" w:cs="Arial" w:eastAsia="Arial" w:hAnsi="Arial"/>
          <w:b w:val="false"/>
          <w:bCs w:val="false"/>
          <w:i w:val="false"/>
          <w:iCs w:val="false"/>
          <w:color w:val="000000"/>
          <w:sz w:val="22"/>
          <w:szCs w:val="22"/>
        </w:rPr>
        <w:t xml:space="preserve">In the MTK implementation herein, the lumped-parameter (rigid-column) model is used for each penstock element, and the pipeline is subdivided into multiple series elements to approximate distributed behaviour at modest computational cost.</w:t>
      </w:r>
    </w:p>
    <w:p>
      <w:pPr>
        <w:pStyle w:val="Heading3"/>
        <w:spacing w:before="220" w:after="80"/>
      </w:pPr>
      <w:r>
        <w:rPr>
          <w:rFonts w:ascii="Arial" w:cs="Arial" w:eastAsia="Arial" w:hAnsi="Arial"/>
          <w:b/>
          <w:bCs/>
          <w:color w:val="595959"/>
          <w:sz w:val="23"/>
          <w:szCs w:val="23"/>
        </w:rPr>
        <w:t xml:space="preserve">2.2.3  Non-elastic Transfer Function</w:t>
      </w:r>
    </w:p>
    <w:p>
      <w:pPr>
        <w:spacing w:before="80" w:after="100" w:line="276"/>
        <w:ind/>
        <w:jc w:val="both"/>
      </w:pPr>
      <w:r>
        <w:rPr>
          <w:rFonts w:ascii="Arial" w:cs="Arial" w:eastAsia="Arial" w:hAnsi="Arial"/>
          <w:b w:val="false"/>
          <w:bCs w:val="false"/>
          <w:i w:val="false"/>
          <w:iCs w:val="false"/>
          <w:color w:val="000000"/>
          <w:sz w:val="22"/>
          <w:szCs w:val="22"/>
        </w:rPr>
        <w:t xml:space="preserve">For small-signal linearisation around steady-state (Q_0, H_0), the penstock transfer function in the Laplace domain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G_p(s)  =  -T_w s / (1 + T_w s / 2),    T_w = L Q_0 / (g H_0 A_p)</w:t>
      </w:r>
      <w:r>
        <w:rPr>
          <w:rFonts w:ascii="Arial" w:cs="Arial" w:eastAsia="Arial" w:hAnsi="Arial"/>
          <w:i/>
          <w:iCs/>
          <w:color w:val="595959"/>
          <w:sz w:val="20"/>
          <w:szCs w:val="20"/>
        </w:rPr>
        <w:t xml:space="preserve">   (2.7)</w:t>
      </w:r>
    </w:p>
    <w:p>
      <w:pPr>
        <w:spacing w:before="80" w:after="100" w:line="276"/>
        <w:ind/>
        <w:jc w:val="both"/>
      </w:pPr>
      <w:r>
        <w:rPr>
          <w:rFonts w:ascii="Arial" w:cs="Arial" w:eastAsia="Arial" w:hAnsi="Arial"/>
          <w:b w:val="false"/>
          <w:bCs w:val="false"/>
          <w:i w:val="false"/>
          <w:iCs w:val="false"/>
          <w:color w:val="000000"/>
          <w:sz w:val="22"/>
          <w:szCs w:val="22"/>
        </w:rPr>
        <w:t xml:space="preserve">where T_w is the water starting time, typically 0.5–2.5 s for large units. This representation is the standard used in IEEE Std 1207 and forms the basis of classical governor tuning rules.</w:t>
      </w:r>
    </w:p>
    <w:p>
      <w:pPr>
        <w:pStyle w:val="Heading2"/>
        <w:spacing w:before="280" w:after="100"/>
      </w:pPr>
      <w:r>
        <w:rPr>
          <w:rFonts w:ascii="Arial" w:cs="Arial" w:eastAsia="Arial" w:hAnsi="Arial"/>
          <w:b/>
          <w:bCs/>
          <w:color w:val="2E75B6"/>
          <w:sz w:val="26"/>
          <w:szCs w:val="26"/>
        </w:rPr>
        <w:t xml:space="preserve">2.3  Turbine Models</w:t>
      </w:r>
    </w:p>
    <w:p>
      <w:pPr>
        <w:pStyle w:val="Heading3"/>
        <w:spacing w:before="220" w:after="80"/>
      </w:pPr>
      <w:r>
        <w:rPr>
          <w:rFonts w:ascii="Arial" w:cs="Arial" w:eastAsia="Arial" w:hAnsi="Arial"/>
          <w:b/>
          <w:bCs/>
          <w:color w:val="595959"/>
          <w:sz w:val="23"/>
          <w:szCs w:val="23"/>
        </w:rPr>
        <w:t xml:space="preserve">2.3.1  Francis Turbine — Unit-Speed Formulation</w:t>
      </w:r>
    </w:p>
    <w:p>
      <w:pPr>
        <w:spacing w:before="80" w:after="100" w:line="276"/>
        <w:ind/>
        <w:jc w:val="both"/>
      </w:pPr>
      <w:r>
        <w:rPr>
          <w:rFonts w:ascii="Arial" w:cs="Arial" w:eastAsia="Arial" w:hAnsi="Arial"/>
          <w:b w:val="false"/>
          <w:bCs w:val="false"/>
          <w:i w:val="false"/>
          <w:iCs w:val="false"/>
          <w:color w:val="000000"/>
          <w:sz w:val="22"/>
          <w:szCs w:val="22"/>
        </w:rPr>
        <w:t xml:space="preserve">The Francis turbine is characterised through dimensionless hill charts relating unit speed n_{11}, unit flow Q_{11}, and unit power P_{11}:</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n_11 = n D / √H,   Q_11 = Q / (D² √H),   P_11 = P / (D² H^{3/2})</w:t>
      </w:r>
      <w:r>
        <w:rPr>
          <w:rFonts w:ascii="Arial" w:cs="Arial" w:eastAsia="Arial" w:hAnsi="Arial"/>
          <w:i/>
          <w:iCs/>
          <w:color w:val="595959"/>
          <w:sz w:val="20"/>
          <w:szCs w:val="20"/>
        </w:rPr>
        <w:t xml:space="preserve">   (2.8)</w:t>
      </w:r>
    </w:p>
    <w:p>
      <w:pPr>
        <w:spacing w:before="80" w:after="100" w:line="276"/>
        <w:ind/>
        <w:jc w:val="both"/>
      </w:pPr>
      <w:r>
        <w:rPr>
          <w:rFonts w:ascii="Arial" w:cs="Arial" w:eastAsia="Arial" w:hAnsi="Arial"/>
          <w:b w:val="false"/>
          <w:bCs w:val="false"/>
          <w:i w:val="false"/>
          <w:iCs w:val="false"/>
          <w:color w:val="000000"/>
          <w:sz w:val="22"/>
          <w:szCs w:val="22"/>
        </w:rPr>
        <w:t xml:space="preserve">At rated conditions n_{11,r}, Q_{11,r} are read from the manufacturer’s hill chart. For simulation purposes a polynomial surface fit Q_{11}(n_{11}, G) is fitted over the operating range, where G ∈ [0,1] is the normalised guide-vane opening. The mechanical torque delivered to the shaft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τ_t  =  η_t(Q,H,G) ρ g H Q / ω</w:t>
      </w:r>
      <w:r>
        <w:rPr>
          <w:rFonts w:ascii="Arial" w:cs="Arial" w:eastAsia="Arial" w:hAnsi="Arial"/>
          <w:i/>
          <w:iCs/>
          <w:color w:val="595959"/>
          <w:sz w:val="20"/>
          <w:szCs w:val="20"/>
        </w:rPr>
        <w:t xml:space="preserve">   (2.9)</w:t>
      </w:r>
    </w:p>
    <w:p>
      <w:pPr>
        <w:spacing w:before="80" w:after="100" w:line="276"/>
        <w:ind/>
        <w:jc w:val="both"/>
      </w:pPr>
      <w:r>
        <w:rPr>
          <w:rFonts w:ascii="Arial" w:cs="Arial" w:eastAsia="Arial" w:hAnsi="Arial"/>
          <w:b w:val="false"/>
          <w:bCs w:val="false"/>
          <w:i w:val="false"/>
          <w:iCs w:val="false"/>
          <w:color w:val="000000"/>
          <w:sz w:val="22"/>
          <w:szCs w:val="22"/>
        </w:rPr>
        <w:t xml:space="preserve">The efficiency surface η_t(Q,H,G) is a 2-D polynomial calibrated from field acceptance tests or CFD results. For the simulation herein, a first-order linearisation is used: η_t ≈ η_{t,rated} for Q ∈ [0.7, 1.1] Q_rated.</w:t>
      </w:r>
    </w:p>
    <w:p>
      <w:pPr>
        <w:pStyle w:val="Heading3"/>
        <w:spacing w:before="220" w:after="80"/>
      </w:pPr>
      <w:r>
        <w:rPr>
          <w:rFonts w:ascii="Arial" w:cs="Arial" w:eastAsia="Arial" w:hAnsi="Arial"/>
          <w:b/>
          <w:bCs/>
          <w:color w:val="595959"/>
          <w:sz w:val="23"/>
          <w:szCs w:val="23"/>
        </w:rPr>
        <w:t xml:space="preserve">2.3.2  Kaplan Turbine</w:t>
      </w:r>
    </w:p>
    <w:p>
      <w:pPr>
        <w:spacing w:before="80" w:after="100" w:line="276"/>
        <w:ind/>
        <w:jc w:val="both"/>
      </w:pPr>
      <w:r>
        <w:rPr>
          <w:rFonts w:ascii="Arial" w:cs="Arial" w:eastAsia="Arial" w:hAnsi="Arial"/>
          <w:b w:val="false"/>
          <w:bCs w:val="false"/>
          <w:i w:val="false"/>
          <w:iCs w:val="false"/>
          <w:color w:val="000000"/>
          <w:sz w:val="22"/>
          <w:szCs w:val="22"/>
        </w:rPr>
        <w:t xml:space="preserve">The Kaplan turbine adds runner blade angle β as a second degree of freedom. The flow model becomes: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Q  =  k_q cos(β) ω D³ / √H</w:t>
      </w:r>
      <w:r>
        <w:rPr>
          <w:rFonts w:ascii="Arial" w:cs="Arial" w:eastAsia="Arial" w:hAnsi="Arial"/>
          <w:i/>
          <w:iCs/>
          <w:color w:val="595959"/>
          <w:sz w:val="20"/>
          <w:szCs w:val="20"/>
        </w:rPr>
        <w:t xml:space="preserve">   (2.10)</w:t>
      </w:r>
    </w:p>
    <w:p>
      <w:pPr>
        <w:spacing w:before="80" w:after="100" w:line="276"/>
        <w:ind/>
        <w:jc w:val="both"/>
      </w:pPr>
      <w:r>
        <w:rPr>
          <w:rFonts w:ascii="Arial" w:cs="Arial" w:eastAsia="Arial" w:hAnsi="Arial"/>
          <w:b w:val="false"/>
          <w:bCs w:val="false"/>
          <w:i w:val="false"/>
          <w:iCs w:val="false"/>
          <w:color w:val="000000"/>
          <w:sz w:val="22"/>
          <w:szCs w:val="22"/>
        </w:rPr>
        <w:t xml:space="preserve">Double regulation (combined guide-vane and blade angle) is essential for Kaplan units to maintain high efficiency across a wide flow range; the combinator relationship β_opt(G) is critical and site-specific.</w:t>
      </w:r>
    </w:p>
    <w:p>
      <w:pPr>
        <w:pStyle w:val="Heading3"/>
        <w:spacing w:before="220" w:after="80"/>
      </w:pPr>
      <w:r>
        <w:rPr>
          <w:rFonts w:ascii="Arial" w:cs="Arial" w:eastAsia="Arial" w:hAnsi="Arial"/>
          <w:b/>
          <w:bCs/>
          <w:color w:val="595959"/>
          <w:sz w:val="23"/>
          <w:szCs w:val="23"/>
        </w:rPr>
        <w:t xml:space="preserve">2.3.3  Pelton Turbine</w:t>
      </w:r>
    </w:p>
    <w:p>
      <w:pPr>
        <w:spacing w:before="80" w:after="100" w:line="276"/>
        <w:ind/>
        <w:jc w:val="both"/>
      </w:pPr>
      <w:r>
        <w:rPr>
          <w:rFonts w:ascii="Arial" w:cs="Arial" w:eastAsia="Arial" w:hAnsi="Arial"/>
          <w:b w:val="false"/>
          <w:bCs w:val="false"/>
          <w:i w:val="false"/>
          <w:iCs w:val="false"/>
          <w:color w:val="000000"/>
          <w:sz w:val="22"/>
          <w:szCs w:val="22"/>
        </w:rPr>
        <w:t xml:space="preserve">For high-head Pelton installations, the flow is controlled by the needle (spear) position s ∈ [0,1]:</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Q  =  C_d A_nozzle(s) √(2 g H),    τ_t = 2 ρ Q C_u (U - C_1 cosα) / ω</w:t>
      </w:r>
      <w:r>
        <w:rPr>
          <w:rFonts w:ascii="Arial" w:cs="Arial" w:eastAsia="Arial" w:hAnsi="Arial"/>
          <w:i/>
          <w:iCs/>
          <w:color w:val="595959"/>
          <w:sz w:val="20"/>
          <w:szCs w:val="20"/>
        </w:rPr>
        <w:t xml:space="preserve">   (2.11)</w:t>
      </w:r>
    </w:p>
    <w:p>
      <w:pPr>
        <w:spacing w:before="80" w:after="100" w:line="276"/>
        <w:ind/>
        <w:jc w:val="both"/>
      </w:pPr>
      <w:r>
        <w:rPr>
          <w:rFonts w:ascii="Arial" w:cs="Arial" w:eastAsia="Arial" w:hAnsi="Arial"/>
          <w:b w:val="false"/>
          <w:bCs w:val="false"/>
          <w:i w:val="false"/>
          <w:iCs w:val="false"/>
          <w:color w:val="000000"/>
          <w:sz w:val="22"/>
          <w:szCs w:val="22"/>
        </w:rPr>
        <w:t xml:space="preserve">where C_u is the bucket velocity coefficient, U = ω R_pitch the bucket speed, C_1 the absolute jet velocity, and α the deflection angle. The deflector plate provides emergency load rejection without water hammer by diverting the jet.</w:t>
      </w:r>
    </w:p>
    <w:p>
      <w:pPr>
        <w:pStyle w:val="Heading2"/>
        <w:spacing w:before="280" w:after="100"/>
      </w:pPr>
      <w:r>
        <w:rPr>
          <w:rFonts w:ascii="Arial" w:cs="Arial" w:eastAsia="Arial" w:hAnsi="Arial"/>
          <w:b/>
          <w:bCs/>
          <w:color w:val="2E75B6"/>
          <w:sz w:val="26"/>
          <w:szCs w:val="26"/>
        </w:rPr>
        <w:t xml:space="preserve">2.4  Draft Tube</w:t>
      </w:r>
    </w:p>
    <w:p>
      <w:pPr>
        <w:spacing w:before="80" w:after="100" w:line="276"/>
        <w:ind/>
        <w:jc w:val="both"/>
      </w:pPr>
      <w:r>
        <w:rPr>
          <w:rFonts w:ascii="Arial" w:cs="Arial" w:eastAsia="Arial" w:hAnsi="Arial"/>
          <w:b w:val="false"/>
          <w:bCs w:val="false"/>
          <w:i w:val="false"/>
          <w:iCs w:val="false"/>
          <w:color w:val="000000"/>
          <w:sz w:val="22"/>
          <w:szCs w:val="22"/>
        </w:rPr>
        <w:t xml:space="preserve">The draft tube recovers kinetic energy leaving the runner. Its pressure recovery coefficient C_p = 1 - (A_1/A_2)² (ideally) reduces the effective discharge pressure at the runner exit. The draft tube is modelled identically to a penstock element but with a diverging area profile. Cavitation inception is monitored via the Thoma cavitation number:</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σ = (p_atm - p_vap - ρ g H_s) / (ρ g H_net)</w:t>
      </w:r>
      <w:r>
        <w:rPr>
          <w:rFonts w:ascii="Arial" w:cs="Arial" w:eastAsia="Arial" w:hAnsi="Arial"/>
          <w:i/>
          <w:iCs/>
          <w:color w:val="595959"/>
          <w:sz w:val="20"/>
          <w:szCs w:val="20"/>
        </w:rPr>
        <w:t xml:space="preserve">   (2.12)</w:t>
      </w:r>
    </w:p>
    <w:p>
      <w:pPr>
        <w:spacing w:before="80" w:after="100" w:line="276"/>
        <w:ind/>
        <w:jc w:val="both"/>
      </w:pPr>
      <w:r>
        <w:rPr>
          <w:rFonts w:ascii="Arial" w:cs="Arial" w:eastAsia="Arial" w:hAnsi="Arial"/>
          <w:b w:val="false"/>
          <w:bCs w:val="false"/>
          <w:i w:val="false"/>
          <w:iCs w:val="false"/>
          <w:color w:val="000000"/>
          <w:sz w:val="22"/>
          <w:szCs w:val="22"/>
        </w:rPr>
        <w:t xml:space="preserve">where H_s is the runner submergence below the tailwater. Values σ &lt; σ_critical (from the manufacturer’s chart) indicate cavitation risk; the MTK model logs this as an observable.</w:t>
      </w:r>
    </w:p>
    <w:p>
      <w:pPr>
        <w:pStyle w:val="Heading2"/>
        <w:spacing w:before="280" w:after="100"/>
      </w:pPr>
      <w:r>
        <w:rPr>
          <w:rFonts w:ascii="Arial" w:cs="Arial" w:eastAsia="Arial" w:hAnsi="Arial"/>
          <w:b/>
          <w:bCs/>
          <w:color w:val="2E75B6"/>
          <w:sz w:val="26"/>
          <w:szCs w:val="26"/>
        </w:rPr>
        <w:t xml:space="preserve">2.5  Shaft Dynamics and Mechanical Drive Train</w:t>
      </w:r>
    </w:p>
    <w:p>
      <w:pPr>
        <w:spacing w:before="80" w:after="100" w:line="276"/>
        <w:ind/>
        <w:jc w:val="both"/>
      </w:pPr>
      <w:r>
        <w:rPr>
          <w:rFonts w:ascii="Arial" w:cs="Arial" w:eastAsia="Arial" w:hAnsi="Arial"/>
          <w:b w:val="false"/>
          <w:bCs w:val="false"/>
          <w:i w:val="false"/>
          <w:iCs w:val="false"/>
          <w:color w:val="000000"/>
          <w:sz w:val="22"/>
          <w:szCs w:val="22"/>
        </w:rPr>
        <w:t xml:space="preserve">The rotating assembly (runner + shaft + rotor) is modelled as a single lumped inertia. The swing equation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J dω/dt  =  τ_t - τ_e - bω</w:t>
      </w:r>
      <w:r>
        <w:rPr>
          <w:rFonts w:ascii="Arial" w:cs="Arial" w:eastAsia="Arial" w:hAnsi="Arial"/>
          <w:i/>
          <w:iCs/>
          <w:color w:val="595959"/>
          <w:sz w:val="20"/>
          <w:szCs w:val="20"/>
        </w:rPr>
        <w:t xml:space="preserve">   (2.13)</w:t>
      </w:r>
    </w:p>
    <w:p>
      <w:pPr>
        <w:spacing w:before="80" w:after="100" w:line="276"/>
        <w:ind/>
        <w:jc w:val="both"/>
      </w:pPr>
      <w:r>
        <w:rPr>
          <w:rFonts w:ascii="Arial" w:cs="Arial" w:eastAsia="Arial" w:hAnsi="Arial"/>
          <w:b w:val="false"/>
          <w:bCs w:val="false"/>
          <w:i w:val="false"/>
          <w:iCs w:val="false"/>
          <w:color w:val="000000"/>
          <w:sz w:val="22"/>
          <w:szCs w:val="22"/>
        </w:rPr>
        <w:t xml:space="preserve">where τ_t is the turbine torque, τ_e the generator electrical braking torque, and b the combined viscous loss (seal friction, windage). For units with gear boxes or long shafts, a two-mass model is appropriate:</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J_1 dω_1/dt  =  τ_t  -  k(θ_1 - θ_2) - d(ω_1 - ω_2)</w:t>
      </w:r>
      <w:r>
        <w:rPr>
          <w:rFonts w:ascii="Arial" w:cs="Arial" w:eastAsia="Arial" w:hAnsi="Arial"/>
          <w:i/>
          <w:iCs/>
          <w:color w:val="595959"/>
          <w:sz w:val="20"/>
          <w:szCs w:val="20"/>
        </w:rPr>
        <w:t xml:space="preserve">   (2.14a)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J_2 dω_2/dt  =  k(θ_1 - θ_2) + d(ω_1 - ω_2) - τ_e</w:t>
      </w:r>
      <w:r>
        <w:rPr>
          <w:rFonts w:ascii="Arial" w:cs="Arial" w:eastAsia="Arial" w:hAnsi="Arial"/>
          <w:i/>
          <w:iCs/>
          <w:color w:val="595959"/>
          <w:sz w:val="20"/>
          <w:szCs w:val="20"/>
        </w:rPr>
        <w:t xml:space="preserve">   (2.14b)</w:t>
      </w:r>
    </w:p>
    <w:p>
      <w:pPr>
        <w:spacing w:before="80" w:after="100" w:line="276"/>
        <w:ind/>
        <w:jc w:val="both"/>
      </w:pPr>
      <w:r>
        <w:rPr>
          <w:rFonts w:ascii="Arial" w:cs="Arial" w:eastAsia="Arial" w:hAnsi="Arial"/>
          <w:b w:val="false"/>
          <w:bCs w:val="false"/>
          <w:i w:val="false"/>
          <w:iCs w:val="false"/>
          <w:color w:val="000000"/>
          <w:sz w:val="22"/>
          <w:szCs w:val="22"/>
        </w:rPr>
        <w:t xml:space="preserve">The inertia constant H_gen (seconds) and the per-unit swing equation used in power systems studies follows from J and rated apparent power S_rated:</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H_gen = J ω_s² / (2 S_rated),   2H dω_pu/dt = P_m,pu - P_e,pu - D_d ω_pu</w:t>
      </w:r>
      <w:r>
        <w:rPr>
          <w:rFonts w:ascii="Arial" w:cs="Arial" w:eastAsia="Arial" w:hAnsi="Arial"/>
          <w:i/>
          <w:iCs/>
          <w:color w:val="595959"/>
          <w:sz w:val="20"/>
          <w:szCs w:val="20"/>
        </w:rPr>
        <w:t xml:space="preserve">   (2.15)</w:t>
      </w:r>
    </w:p>
    <w:p>
      <w:pPr>
        <w:pStyle w:val="Heading2"/>
        <w:spacing w:before="280" w:after="100"/>
      </w:pPr>
      <w:r>
        <w:rPr>
          <w:rFonts w:ascii="Arial" w:cs="Arial" w:eastAsia="Arial" w:hAnsi="Arial"/>
          <w:b/>
          <w:bCs/>
          <w:color w:val="2E75B6"/>
          <w:sz w:val="26"/>
          <w:szCs w:val="26"/>
        </w:rPr>
        <w:t xml:space="preserve">2.6  Synchronous Generator — Classical and Full-Order Models</w:t>
      </w:r>
    </w:p>
    <w:p>
      <w:pPr>
        <w:pStyle w:val="Heading3"/>
        <w:spacing w:before="220" w:after="80"/>
      </w:pPr>
      <w:r>
        <w:rPr>
          <w:rFonts w:ascii="Arial" w:cs="Arial" w:eastAsia="Arial" w:hAnsi="Arial"/>
          <w:b/>
          <w:bCs/>
          <w:color w:val="595959"/>
          <w:sz w:val="23"/>
          <w:szCs w:val="23"/>
        </w:rPr>
        <w:t xml:space="preserve">2.6.1  Classical (2nd-Order) Model</w:t>
      </w:r>
    </w:p>
    <w:p>
      <w:pPr>
        <w:spacing w:before="80" w:after="100" w:line="276"/>
        <w:ind/>
        <w:jc w:val="both"/>
      </w:pPr>
      <w:r>
        <w:rPr>
          <w:rFonts w:ascii="Arial" w:cs="Arial" w:eastAsia="Arial" w:hAnsi="Arial"/>
          <w:b w:val="false"/>
          <w:bCs w:val="false"/>
          <w:i w:val="false"/>
          <w:iCs w:val="false"/>
          <w:color w:val="000000"/>
          <w:sz w:val="22"/>
          <w:szCs w:val="22"/>
        </w:rPr>
        <w:t xml:space="preserve">The classical model retains only the swing equation (2.15) and the power-angle relationship. It is adequate for transient stability screening (0–5 s) but not for sub-transient phenomena or AVR studies: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dδ/dt  =  ω - ω_s</w:t>
      </w:r>
      <w:r>
        <w:rPr>
          <w:rFonts w:ascii="Arial" w:cs="Arial" w:eastAsia="Arial" w:hAnsi="Arial"/>
          <w:i/>
          <w:iCs/>
          <w:color w:val="595959"/>
          <w:sz w:val="20"/>
          <w:szCs w:val="20"/>
        </w:rPr>
        <w:t xml:space="preserve">   (2.16a)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2H dω/dt  =  P_m - P_e - D(ω - ω_s)</w:t>
      </w:r>
      <w:r>
        <w:rPr>
          <w:rFonts w:ascii="Arial" w:cs="Arial" w:eastAsia="Arial" w:hAnsi="Arial"/>
          <w:i/>
          <w:iCs/>
          <w:color w:val="595959"/>
          <w:sz w:val="20"/>
          <w:szCs w:val="20"/>
        </w:rPr>
        <w:t xml:space="preserve">   (2.16b)</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P_e  =  (E' V_∞ / X'_d) sin(δ)</w:t>
      </w:r>
      <w:r>
        <w:rPr>
          <w:rFonts w:ascii="Arial" w:cs="Arial" w:eastAsia="Arial" w:hAnsi="Arial"/>
          <w:i/>
          <w:iCs/>
          <w:color w:val="595959"/>
          <w:sz w:val="20"/>
          <w:szCs w:val="20"/>
        </w:rPr>
        <w:t xml:space="preserve">   (2.16c)</w:t>
      </w:r>
    </w:p>
    <w:p>
      <w:pPr>
        <w:pStyle w:val="Heading3"/>
        <w:spacing w:before="220" w:after="80"/>
      </w:pPr>
      <w:r>
        <w:rPr>
          <w:rFonts w:ascii="Arial" w:cs="Arial" w:eastAsia="Arial" w:hAnsi="Arial"/>
          <w:b/>
          <w:bCs/>
          <w:color w:val="595959"/>
          <w:sz w:val="23"/>
          <w:szCs w:val="23"/>
        </w:rPr>
        <w:t xml:space="preserve">2.6.2  Full Salient-Pole Model (dq0 Reference Frame)</w:t>
      </w:r>
    </w:p>
    <w:p>
      <w:pPr>
        <w:spacing w:before="80" w:after="100" w:line="276"/>
        <w:ind/>
        <w:jc w:val="both"/>
      </w:pPr>
      <w:r>
        <w:rPr>
          <w:rFonts w:ascii="Arial" w:cs="Arial" w:eastAsia="Arial" w:hAnsi="Arial"/>
          <w:b w:val="false"/>
          <w:bCs w:val="false"/>
          <w:i w:val="false"/>
          <w:iCs w:val="false"/>
          <w:color w:val="000000"/>
          <w:sz w:val="22"/>
          <w:szCs w:val="22"/>
        </w:rPr>
        <w:t xml:space="preserve">The complete Park-transformation model introduces d- and q-axis flux linkages ψ_d, ψ_q, field winding current i_f, and one or more damper winding currents (g-winding in d-axis, kq in q-axis). The voltage equations in per-unit are:</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v_d  =  -R_a i_d  -  ψ_q ω  +  dψ_d/dt</w:t>
      </w:r>
      <w:r>
        <w:rPr>
          <w:rFonts w:ascii="Arial" w:cs="Arial" w:eastAsia="Arial" w:hAnsi="Arial"/>
          <w:i/>
          <w:iCs/>
          <w:color w:val="595959"/>
          <w:sz w:val="20"/>
          <w:szCs w:val="20"/>
        </w:rPr>
        <w:t xml:space="preserve">   (2.17a)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v_q  =  -R_a i_q  +  ψ_d ω  +  dψ_q/dt</w:t>
      </w:r>
      <w:r>
        <w:rPr>
          <w:rFonts w:ascii="Arial" w:cs="Arial" w:eastAsia="Arial" w:hAnsi="Arial"/>
          <w:i/>
          <w:iCs/>
          <w:color w:val="595959"/>
          <w:sz w:val="20"/>
          <w:szCs w:val="20"/>
        </w:rPr>
        <w:t xml:space="preserve">   (2.17b)</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v_f  =  R_f i_f  +  dψ_f/dt</w:t>
      </w:r>
      <w:r>
        <w:rPr>
          <w:rFonts w:ascii="Arial" w:cs="Arial" w:eastAsia="Arial" w:hAnsi="Arial"/>
          <w:i/>
          <w:iCs/>
          <w:color w:val="595959"/>
          <w:sz w:val="20"/>
          <w:szCs w:val="20"/>
        </w:rPr>
        <w:t xml:space="preserve">   (2.17c)</w:t>
      </w:r>
    </w:p>
    <w:p>
      <w:pPr>
        <w:spacing w:before="80" w:after="100" w:line="276"/>
        <w:ind/>
        <w:jc w:val="both"/>
      </w:pPr>
      <w:r>
        <w:rPr>
          <w:rFonts w:ascii="Arial" w:cs="Arial" w:eastAsia="Arial" w:hAnsi="Arial"/>
          <w:b w:val="false"/>
          <w:bCs w:val="false"/>
          <w:i w:val="false"/>
          <w:iCs w:val="false"/>
          <w:color w:val="000000"/>
          <w:sz w:val="22"/>
          <w:szCs w:val="22"/>
        </w:rPr>
        <w:t xml:space="preserve">with flux–current relations ψ = -L i for stator and ψ = M i + L i for rotor. This 6th-order model (2 stator + 1 field + 1 d-damper + 1 q-damper + swing) is the IEEE standard for EMT studies and is the intended target for production-grade MTK extension.</w:t>
      </w:r>
    </w:p>
    <w:p>
      <w:pPr>
        <w:pStyle w:val="Heading2"/>
        <w:spacing w:before="280" w:after="100"/>
      </w:pPr>
      <w:r>
        <w:rPr>
          <w:rFonts w:ascii="Arial" w:cs="Arial" w:eastAsia="Arial" w:hAnsi="Arial"/>
          <w:b/>
          <w:bCs/>
          <w:color w:val="2E75B6"/>
          <w:sz w:val="26"/>
          <w:szCs w:val="26"/>
        </w:rPr>
        <w:t xml:space="preserve">2.7  Automatic Voltage Regulator (AVR)</w:t>
      </w:r>
    </w:p>
    <w:p>
      <w:pPr>
        <w:spacing w:before="80" w:after="100" w:line="276"/>
        <w:ind/>
        <w:jc w:val="both"/>
      </w:pPr>
      <w:r>
        <w:rPr>
          <w:rFonts w:ascii="Arial" w:cs="Arial" w:eastAsia="Arial" w:hAnsi="Arial"/>
          <w:b w:val="false"/>
          <w:bCs w:val="false"/>
          <w:i w:val="false"/>
          <w:iCs w:val="false"/>
          <w:color w:val="000000"/>
          <w:sz w:val="22"/>
          <w:szCs w:val="22"/>
        </w:rPr>
        <w:t xml:space="preserve">The IEEE Type-DC1A exciter is a widely deployed first-order model. Letting V_r be the exciter output (proportional to field voltage E_fd):</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T_a dV_r/dt  =  K_a(V_ref + V_S - V_t) - V_r</w:t>
      </w:r>
      <w:r>
        <w:rPr>
          <w:rFonts w:ascii="Arial" w:cs="Arial" w:eastAsia="Arial" w:hAnsi="Arial"/>
          <w:i/>
          <w:iCs/>
          <w:color w:val="595959"/>
          <w:sz w:val="20"/>
          <w:szCs w:val="20"/>
        </w:rPr>
        <w:t xml:space="preserve">   (2.18)</w:t>
      </w:r>
    </w:p>
    <w:p>
      <w:pPr>
        <w:spacing w:before="80" w:after="100" w:line="276"/>
        <w:ind/>
        <w:jc w:val="both"/>
      </w:pPr>
      <w:r>
        <w:rPr>
          <w:rFonts w:ascii="Arial" w:cs="Arial" w:eastAsia="Arial" w:hAnsi="Arial"/>
          <w:b w:val="false"/>
          <w:bCs w:val="false"/>
          <w:i w:val="false"/>
          <w:iCs w:val="false"/>
          <w:color w:val="000000"/>
          <w:sz w:val="22"/>
          <w:szCs w:val="22"/>
        </w:rPr>
        <w:t xml:space="preserve">where V_S is the power system stabiliser (PSS) output and V_t = |V_terminal| normalised to rated. Exciter ceiling V_rmax and minimum V_rmin enforce actuator saturation. The PSS adds damping to electromechanical oscillations by feeding derivative-of-speed or accelerating power through a wash-out filter and phase-lead network:</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V_S(s)  =  K_S ⋅ [T_w s/(1+T_w s)] ⋅ [(1+T_1 s)/(1+T_2 s)]² ⋅ δω</w:t>
      </w:r>
      <w:r>
        <w:rPr>
          <w:rFonts w:ascii="Arial" w:cs="Arial" w:eastAsia="Arial" w:hAnsi="Arial"/>
          <w:i/>
          <w:iCs/>
          <w:color w:val="595959"/>
          <w:sz w:val="20"/>
          <w:szCs w:val="20"/>
        </w:rPr>
        <w:t xml:space="preserve">   (2.19)</w:t>
      </w:r>
    </w:p>
    <w:p>
      <w:pPr>
        <w:pStyle w:val="Heading2"/>
        <w:spacing w:before="280" w:after="100"/>
      </w:pPr>
      <w:r>
        <w:rPr>
          <w:rFonts w:ascii="Arial" w:cs="Arial" w:eastAsia="Arial" w:hAnsi="Arial"/>
          <w:b/>
          <w:bCs/>
          <w:color w:val="2E75B6"/>
          <w:sz w:val="26"/>
          <w:szCs w:val="26"/>
        </w:rPr>
        <w:t xml:space="preserve">2.8  Transmission Network</w:t>
      </w:r>
    </w:p>
    <w:p>
      <w:pPr>
        <w:spacing w:before="80" w:after="100" w:line="276"/>
        <w:ind/>
        <w:jc w:val="both"/>
      </w:pPr>
      <w:r>
        <w:rPr>
          <w:rFonts w:ascii="Arial" w:cs="Arial" w:eastAsia="Arial" w:hAnsi="Arial"/>
          <w:b w:val="false"/>
          <w:bCs w:val="false"/>
          <w:i w:val="false"/>
          <w:iCs w:val="false"/>
          <w:color w:val="000000"/>
          <w:sz w:val="22"/>
          <w:szCs w:val="22"/>
        </w:rPr>
        <w:t xml:space="preserve">For connection to an infinite bus, the generator terminal is connected via an RL branch:</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L_e dI/dt  =  V_t - R_e I - V_∞</w:t>
      </w:r>
      <w:r>
        <w:rPr>
          <w:rFonts w:ascii="Arial" w:cs="Arial" w:eastAsia="Arial" w:hAnsi="Arial"/>
          <w:i/>
          <w:iCs/>
          <w:color w:val="595959"/>
          <w:sz w:val="20"/>
          <w:szCs w:val="20"/>
        </w:rPr>
        <w:t xml:space="preserve">   (2.20)</w:t>
      </w:r>
    </w:p>
    <w:p>
      <w:pPr>
        <w:spacing w:before="80" w:after="100" w:line="276"/>
        <w:ind/>
        <w:jc w:val="both"/>
      </w:pPr>
      <w:r>
        <w:rPr>
          <w:rFonts w:ascii="Arial" w:cs="Arial" w:eastAsia="Arial" w:hAnsi="Arial"/>
          <w:b w:val="false"/>
          <w:bCs w:val="false"/>
          <w:i w:val="false"/>
          <w:iCs w:val="false"/>
          <w:color w:val="000000"/>
          <w:sz w:val="22"/>
          <w:szCs w:val="22"/>
        </w:rPr>
        <w:t xml:space="preserve">For multi-machine systems the full admittance matrix Y_bus is required. In MTK this is naturally expressed as a set of algebraic connector equations across electrical ports.</w:t>
      </w:r>
    </w:p>
    <w:p>
      <w:r>
        <w:br w:type="page"/>
      </w:r>
    </w:p>
    <w:p>
      <w:pPr>
        <w:pStyle w:val="Heading1"/>
        <w:spacing w:before="360" w:after="120"/>
      </w:pPr>
      <w:r>
        <w:rPr>
          <w:rFonts w:ascii="Arial" w:cs="Arial" w:eastAsia="Arial" w:hAnsi="Arial"/>
          <w:b/>
          <w:bCs/>
          <w:color w:val="1F497D"/>
          <w:sz w:val="32"/>
          <w:szCs w:val="32"/>
        </w:rPr>
        <w:t xml:space="preserve">3. Julia / ModelingToolkit Implementation</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ModelingToolkit.jl (MTK) is a symbolic-numeric modelling framework embedded in Julia. Equations are declared symbolically; structural_simplify() performs Pantelides index reduction and tearing to produce a numerically efficient ODE/DAE residual function. The MTKSL convention prescribes typed Connector objects whose effort and flow variables satisfy balance equations at junctions automatically via connect().</w:t>
      </w:r>
    </w:p>
    <w:p>
      <w:pPr>
        <w:pStyle w:val="Heading2"/>
        <w:spacing w:before="280" w:after="100"/>
      </w:pPr>
      <w:r>
        <w:rPr>
          <w:rFonts w:ascii="Arial" w:cs="Arial" w:eastAsia="Arial" w:hAnsi="Arial"/>
          <w:b/>
          <w:bCs/>
          <w:color w:val="2E75B6"/>
          <w:sz w:val="26"/>
          <w:szCs w:val="26"/>
        </w:rPr>
        <w:t xml:space="preserve">3.1  Connector Definitions</w:t>
      </w:r>
    </w:p>
    <w:p>
      <w:pPr>
        <w:spacing w:before="80" w:after="100" w:line="276"/>
        <w:ind/>
        <w:jc w:val="both"/>
      </w:pPr>
      <w:r>
        <w:rPr>
          <w:rFonts w:ascii="Arial" w:cs="Arial" w:eastAsia="Arial" w:hAnsi="Arial"/>
          <w:b w:val="false"/>
          <w:bCs w:val="false"/>
          <w:i w:val="false"/>
          <w:iCs w:val="false"/>
          <w:color w:val="000000"/>
          <w:sz w:val="22"/>
          <w:szCs w:val="22"/>
        </w:rPr>
        <w:t xml:space="preserve">The three physical domains are declared as acausal connector types. Each connector holds one effort variable (shared when connected) and one flow variable (summed to zero at junctions by Kirchhoff’s current/flow law):</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@connector HydraulicPort begin
  p(t)              # effort: pressure [Pa]
  Q(t), [connect=Flow]  # flow: volumetric flow [m³/s]
end</w:t>
      </w:r>
      <w:r>
        <w:rPr>
          <w:rFonts w:ascii="Arial" w:cs="Arial" w:eastAsia="Arial" w:hAnsi="Arial"/>
          <w:i/>
          <w:iCs/>
          <w:color w:val="595959"/>
          <w:sz w:val="20"/>
          <w:szCs w:val="20"/>
        </w:rPr>
        <w:t xml:space="preserve">   (Julia)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@connector RotationalPort begin
  τ(t), [connect=Flow]  # flow: torque [N·m]
  ω(t)              # effort: angular velocity [rad/s]
end</w:t>
      </w:r>
      <w:r>
        <w:rPr>
          <w:rFonts w:ascii="Arial" w:cs="Arial" w:eastAsia="Arial" w:hAnsi="Arial"/>
          <w:i/>
          <w:iCs/>
          <w:color w:val="595959"/>
          <w:sz w:val="20"/>
          <w:szCs w:val="20"/>
        </w:rPr>
        <w:t xml:space="preserve">   (Julia)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@connector ElectricalPort begin
  v(t)              # effort: voltage [V]
  i(t), [connect=Flow]  # flow: current [A]
end</w:t>
      </w:r>
      <w:r>
        <w:rPr>
          <w:rFonts w:ascii="Arial" w:cs="Arial" w:eastAsia="Arial" w:hAnsi="Arial"/>
          <w:i/>
          <w:iCs/>
          <w:color w:val="595959"/>
          <w:sz w:val="20"/>
          <w:szCs w:val="20"/>
        </w:rPr>
        <w:t xml:space="preserve">   (Julia)</w:t>
      </w:r>
    </w:p>
    <w:p>
      <w:pPr>
        <w:spacing w:before="80" w:after="100" w:line="276"/>
        <w:ind/>
        <w:jc w:val="both"/>
      </w:pPr>
      <w:r>
        <w:rPr>
          <w:rFonts w:ascii="Arial" w:cs="Arial" w:eastAsia="Arial" w:hAnsi="Arial"/>
          <w:b w:val="false"/>
          <w:bCs w:val="false"/>
          <w:i w:val="false"/>
          <w:iCs w:val="false"/>
          <w:color w:val="000000"/>
          <w:sz w:val="22"/>
          <w:szCs w:val="22"/>
        </w:rPr>
        <w:t xml:space="preserve">Flow variables with [connect=Flow] are summed to zero at each junction node; effort variables are set equal. This is the acausal analogue of KCL/KVL and eliminates the need for manual causality assignment.</w:t>
      </w:r>
    </w:p>
    <w:p>
      <w:pPr>
        <w:pStyle w:val="Heading2"/>
        <w:spacing w:before="280" w:after="100"/>
      </w:pPr>
      <w:r>
        <w:rPr>
          <w:rFonts w:ascii="Arial" w:cs="Arial" w:eastAsia="Arial" w:hAnsi="Arial"/>
          <w:b/>
          <w:bCs/>
          <w:color w:val="2E75B6"/>
          <w:sz w:val="26"/>
          <w:szCs w:val="26"/>
        </w:rPr>
        <w:t xml:space="preserve">3.2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2860"/>
      </w:tblGrid>
      <w:tr>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@mtkmodel</w:t>
            </w:r>
          </w:p>
        </w:tc>
        <w:tc>
          <w:tcPr>
            <w:tcW w:type="dxa" w:w="19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Domain</w:t>
            </w:r>
          </w:p>
        </w:tc>
        <w:tc>
          <w:tcPr>
            <w:tcW w:type="dxa" w:w="24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State Variables</w:t>
            </w:r>
          </w:p>
        </w:tc>
        <w:tc>
          <w:tcPr>
            <w:tcW w:type="dxa" w:w="28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Key Parameters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Reservoir</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Hydraulic</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H(t)</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H₀, A_r, ρ, g</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Penstock</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Hydraulic</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Q(t), Δp_f(t)</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L, D, f, 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DraftTube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Hydraulic</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Q(t), Δp_f(t)</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 D, f</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Tailrace</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Hydraulic</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(BC)</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p_tail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FrancisTurbine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Hyd↔Mech</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H_net, Q_t, P_hyd, P_mech</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η_t, D_runner, k_q</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Shaft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Mechanical</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ω(t), θ(t)</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J, b</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GovernorPI</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Control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x_i(t), G(t)</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K_p, K_i, τ_servo</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SynchronousGenerator</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Mech↔Elec</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δ(t), P_e(t), V_t(t)</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H_gen, X_d, X_q, S_n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AVR</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Control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V_r(t)</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K_a, T_a, V_rmax</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TransmissionLine</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Electrical</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I_line(t)</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R_e, L_e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InfiniteGrid</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Electrical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 (BC)</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V_∞, f_∞</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GridLoad</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Electrical</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P_load, pf</w:t>
            </w:r>
          </w:p>
        </w:tc>
      </w:tr>
    </w:tbl>
    <w:p>
      <w:pPr>
        <w:spacing w:before="60" w:after="180"/>
        <w:jc w:val="center"/>
      </w:pPr>
      <w:r>
        <w:rPr>
          <w:rFonts w:ascii="Arial" w:cs="Arial" w:eastAsia="Arial" w:hAnsi="Arial"/>
          <w:i/>
          <w:iCs/>
          <w:color w:val="595959"/>
          <w:sz w:val="19"/>
          <w:szCs w:val="19"/>
        </w:rPr>
        <w:t xml:space="preserve">Table 3.1 — ModelingToolkit component inventory.</w:t>
      </w:r>
    </w:p>
    <w:p>
      <w:pPr>
        <w:pStyle w:val="Heading2"/>
        <w:spacing w:before="280" w:after="100"/>
      </w:pPr>
      <w:r>
        <w:rPr>
          <w:rFonts w:ascii="Arial" w:cs="Arial" w:eastAsia="Arial" w:hAnsi="Arial"/>
          <w:b/>
          <w:bCs/>
          <w:color w:val="2E75B6"/>
          <w:sz w:val="26"/>
          <w:szCs w:val="26"/>
        </w:rPr>
        <w:t xml:space="preserve">3.3  Structural Simplification and Index Reduction</w:t>
      </w:r>
    </w:p>
    <w:p>
      <w:pPr>
        <w:spacing w:before="80" w:after="100" w:line="276"/>
        <w:ind/>
        <w:jc w:val="both"/>
      </w:pPr>
      <w:r>
        <w:rPr>
          <w:rFonts w:ascii="Arial" w:cs="Arial" w:eastAsia="Arial" w:hAnsi="Arial"/>
          <w:b w:val="false"/>
          <w:bCs w:val="false"/>
          <w:i w:val="false"/>
          <w:iCs w:val="false"/>
          <w:color w:val="000000"/>
          <w:sz w:val="22"/>
          <w:szCs w:val="22"/>
        </w:rPr>
        <w:t xml:space="preserve">After component declaration and connection, MTK performs three automated operations before handing the model to a solver:</w:t>
      </w:r>
    </w:p>
    <w:p>
      <w:pPr>
        <w:pStyle w:val="ListParagraph"/>
        <w:numPr>
          <w:ilvl w:val="0"/>
          <w:numId w:val="2"/>
        </w:numPr>
        <w:spacing w:before="60" w:after="60" w:line="268"/>
      </w:pPr>
      <w:r>
        <w:rPr>
          <w:rFonts w:ascii="Arial" w:cs="Arial" w:eastAsia="Arial" w:hAnsi="Arial"/>
          <w:sz w:val="22"/>
          <w:szCs w:val="22"/>
        </w:rPr>
        <w:t xml:space="preserve">Alias elimination: connector flow/effort equalities reduce the DAE by eliminating algebraic redundancies.</w:t>
      </w:r>
    </w:p>
    <w:p>
      <w:pPr>
        <w:pStyle w:val="ListParagraph"/>
        <w:numPr>
          <w:ilvl w:val="0"/>
          <w:numId w:val="2"/>
        </w:numPr>
        <w:spacing w:before="60" w:after="60" w:line="268"/>
      </w:pPr>
      <w:r>
        <w:rPr>
          <w:rFonts w:ascii="Arial" w:cs="Arial" w:eastAsia="Arial" w:hAnsi="Arial"/>
          <w:sz w:val="22"/>
          <w:szCs w:val="22"/>
        </w:rPr>
        <w:t xml:space="preserve">Pantelides algorithm: identifies and differentiates constraint equations to reduce the differential index to 1 (mass-matrix ODE form) or 0 (pure ODE).</w:t>
      </w:r>
    </w:p>
    <w:p>
      <w:pPr>
        <w:pStyle w:val="ListParagraph"/>
        <w:numPr>
          <w:ilvl w:val="0"/>
          <w:numId w:val="2"/>
        </w:numPr>
        <w:spacing w:before="60" w:after="60" w:line="268"/>
      </w:pPr>
      <w:r>
        <w:rPr>
          <w:rFonts w:ascii="Arial" w:cs="Arial" w:eastAsia="Arial" w:hAnsi="Arial"/>
          <w:sz w:val="22"/>
          <w:szCs w:val="22"/>
        </w:rPr>
        <w:t xml:space="preserve">Tearing: selects a minimal set of iteration variables for algebraic loops, enabling efficient block-triangular factorisation.</w:t>
      </w:r>
    </w:p>
    <w:p>
      <w:pPr>
        <w:spacing w:before="80" w:after="100" w:line="276"/>
        <w:ind/>
        <w:jc w:val="both"/>
      </w:pPr>
      <w:r>
        <w:rPr>
          <w:rFonts w:ascii="Arial" w:cs="Arial" w:eastAsia="Arial" w:hAnsi="Arial"/>
          <w:b w:val="false"/>
          <w:bCs w:val="false"/>
          <w:i w:val="false"/>
          <w:iCs w:val="false"/>
          <w:color w:val="000000"/>
          <w:sz w:val="22"/>
          <w:szCs w:val="22"/>
        </w:rPr>
        <w:t xml:space="preserve">The call structural_simplify(plant) reports the final counts of differential states, algebraic states, and parameters. For the full HydropowerPlant the typical result is ~28 differential states after tearing from ~60 symbolic equations.</w:t>
      </w:r>
    </w:p>
    <w:p>
      <w:pPr>
        <w:pStyle w:val="Heading2"/>
        <w:spacing w:before="280" w:after="100"/>
      </w:pPr>
      <w:r>
        <w:rPr>
          <w:rFonts w:ascii="Arial" w:cs="Arial" w:eastAsia="Arial" w:hAnsi="Arial"/>
          <w:b/>
          <w:bCs/>
          <w:color w:val="2E75B6"/>
          <w:sz w:val="26"/>
          <w:szCs w:val="26"/>
        </w:rPr>
        <w:t xml:space="preserve">3.4  Solver Selection and Tolerances</w:t>
      </w:r>
    </w:p>
    <w:p>
      <w:pPr>
        <w:spacing w:before="80" w:after="100" w:line="276"/>
        <w:ind/>
        <w:jc w:val="both"/>
      </w:pPr>
      <w:r>
        <w:rPr>
          <w:rFonts w:ascii="Arial" w:cs="Arial" w:eastAsia="Arial" w:hAnsi="Arial"/>
          <w:b w:val="false"/>
          <w:bCs w:val="false"/>
          <w:i w:val="false"/>
          <w:iCs w:val="false"/>
          <w:color w:val="000000"/>
          <w:sz w:val="22"/>
          <w:szCs w:val="22"/>
        </w:rPr>
        <w:t xml:space="preserve">The simplified system is stiff because electrical dynamics (L_e ~ 1 ms) coexist with mechanical dynamics (T_J ~ 10 s) and hydraulic dynamics (T_w ~ 1 s). The recommended solver for such multi-scale stiff systems is Rodas5P (a 5th-order L-stable Rosenbrock method with dense output), available from OrdinaryDiffEq.jl:</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prob = ODEProblem(sys, u0, tspan, p)
sol = solve(prob, Rodas5P();
            reltol=1e-6, abstol=1e-8, dtmax=0.01, saveat=0.05)</w:t>
      </w:r>
      <w:r>
        <w:rPr>
          <w:rFonts w:ascii="Arial" w:cs="Arial" w:eastAsia="Arial" w:hAnsi="Arial"/>
          <w:i/>
          <w:iCs/>
          <w:color w:val="595959"/>
          <w:sz w:val="20"/>
          <w:szCs w:val="20"/>
        </w:rPr>
        <w:t xml:space="preserve">   (Julia)</w:t>
      </w:r>
    </w:p>
    <w:p>
      <w:pPr>
        <w:spacing w:before="80" w:after="100" w:line="276"/>
        <w:ind/>
        <w:jc w:val="both"/>
      </w:pPr>
      <w:r>
        <w:rPr>
          <w:rFonts w:ascii="Arial" w:cs="Arial" w:eastAsia="Arial" w:hAnsi="Arial"/>
          <w:b w:val="false"/>
          <w:bCs w:val="false"/>
          <w:i w:val="false"/>
          <w:iCs w:val="false"/>
          <w:color w:val="000000"/>
          <w:sz w:val="22"/>
          <w:szCs w:val="22"/>
        </w:rPr>
        <w:t xml:space="preserve">The dtmax=0.01 s constraint ensures that high-frequency electrical transients are not missed. For long reservoir simulations (days–weeks) adaptive time-stepping with dtmax=60 s is appropriate.</w:t>
      </w:r>
    </w:p>
    <w:p>
      <w:pPr>
        <w:pStyle w:val="Heading2"/>
        <w:spacing w:before="280" w:after="100"/>
      </w:pPr>
      <w:r>
        <w:rPr>
          <w:rFonts w:ascii="Arial" w:cs="Arial" w:eastAsia="Arial" w:hAnsi="Arial"/>
          <w:b/>
          <w:bCs/>
          <w:color w:val="2E75B6"/>
          <w:sz w:val="26"/>
          <w:szCs w:val="26"/>
        </w:rPr>
        <w:t xml:space="preserve">3.5  Full Plant Topology</w:t>
      </w:r>
    </w:p>
    <w:p>
      <w:pPr>
        <w:spacing w:before="80" w:after="100" w:line="276"/>
        <w:ind/>
        <w:jc w:val="both"/>
      </w:pPr>
      <w:r>
        <w:rPr>
          <w:rFonts w:ascii="Arial" w:cs="Arial" w:eastAsia="Arial" w:hAnsi="Arial"/>
          <w:b w:val="false"/>
          <w:bCs w:val="false"/>
          <w:i w:val="false"/>
          <w:iCs w:val="false"/>
          <w:color w:val="000000"/>
          <w:sz w:val="22"/>
          <w:szCs w:val="22"/>
        </w:rPr>
        <w:t xml:space="preserve">The HydropowerPlant model assembles all 12 sub-components using connect() calls across all three domains. The connect graph produces the following topology:</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Reservoir.port  →  Penstock.inlet
Penstock.outlet →  Turbine.hydraulic_in
Turbine.hydraulic_out →  DraftTube.inlet
DraftTube.outlet →  Tailrace.port
Turbine.shaft   →  Shaft.turbine_end
Shaft.gen_end   →  Generator.shaft_port
Generator.pos   →  Line.sending_pos
Line.receiving  →  Grid.pos  (+ Load.pos)</w:t>
      </w:r>
      <w:r>
        <w:rPr>
          <w:rFonts w:ascii="Arial" w:cs="Arial" w:eastAsia="Arial" w:hAnsi="Arial"/>
          <w:i/>
          <w:iCs/>
          <w:color w:val="595959"/>
          <w:sz w:val="20"/>
          <w:szCs w:val="20"/>
        </w:rPr>
        <w:t xml:space="preserve">   (topology)</w:t>
      </w:r>
    </w:p>
    <w:p>
      <w:r>
        <w:br w:type="page"/>
      </w:r>
    </w:p>
    <w:p>
      <w:pPr>
        <w:pStyle w:val="Heading1"/>
        <w:spacing w:before="360" w:after="120"/>
      </w:pPr>
      <w:r>
        <w:rPr>
          <w:rFonts w:ascii="Arial" w:cs="Arial" w:eastAsia="Arial" w:hAnsi="Arial"/>
          <w:b/>
          <w:bCs/>
          <w:color w:val="1F497D"/>
          <w:sz w:val="32"/>
          <w:szCs w:val="32"/>
        </w:rPr>
        <w:t xml:space="preserve">4. Load-Step Simulation: 500-Second Horizon</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This section describes the simulation scenario, steady-state initialisation, the load step event, and the expected system response across all three domains.</w:t>
      </w:r>
    </w:p>
    <w:p>
      <w:pPr>
        <w:pStyle w:val="Heading2"/>
        <w:spacing w:before="280" w:after="100"/>
      </w:pPr>
      <w:r>
        <w:rPr>
          <w:rFonts w:ascii="Arial" w:cs="Arial" w:eastAsia="Arial" w:hAnsi="Arial"/>
          <w:b/>
          <w:bCs/>
          <w:color w:val="2E75B6"/>
          <w:sz w:val="26"/>
          <w:szCs w:val="26"/>
        </w:rPr>
        <w:t xml:space="preserve">4.1  Nominal Operating Point (t &lt; 250 s)</w:t>
      </w:r>
    </w:p>
    <w:p>
      <w:pPr>
        <w:spacing w:before="80" w:after="100" w:line="276"/>
        <w:ind/>
        <w:jc w:val="both"/>
      </w:pPr>
      <w:r>
        <w:rPr>
          <w:rFonts w:ascii="Arial" w:cs="Arial" w:eastAsia="Arial" w:hAnsi="Arial"/>
          <w:b w:val="false"/>
          <w:bCs w:val="false"/>
          <w:i w:val="false"/>
          <w:iCs w:val="false"/>
          <w:color w:val="000000"/>
          <w:sz w:val="22"/>
          <w:szCs w:val="22"/>
        </w:rPr>
        <w:t xml:space="preserve">The simulation is initialised from the following rated operating point. MTK’s nonlinear steady-state solver (find_steady_state or manual specification of consistent initial conditions) computes u_0 such that f(u_0, p) = 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1760"/>
      </w:tblGrid>
      <w:tr>
        <w:tc>
          <w:tcPr>
            <w:tcW w:type="dxa" w:w="2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Variable</w:t>
            </w:r>
          </w:p>
        </w:tc>
        <w:tc>
          <w:tcPr>
            <w:tcW w:type="dxa" w:w="2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Symbol</w:t>
            </w:r>
          </w:p>
        </w:tc>
        <w:tc>
          <w:tcPr>
            <w:tcW w:type="dxa" w:w="1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Value</w:t>
            </w:r>
          </w:p>
        </w:tc>
        <w:tc>
          <w:tcPr>
            <w:tcW w:type="dxa" w:w="17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Unit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Reservoir head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H₀</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120.0</w:t>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Penstock flow</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Q₀</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52.3</w:t>
            </w:r>
          </w:p>
        </w:tc>
        <w:tc>
          <w:tcPr>
            <w:tcW w:type="dxa" w:w="1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m³/s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Net head at turbine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H_net,0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112.4</w:t>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Turbine flow</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Q_{t,0}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52.3</w:t>
            </w:r>
          </w:p>
        </w:tc>
        <w:tc>
          <w:tcPr>
            <w:tcW w:type="dxa" w:w="1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m³/s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Shaft speed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ω₀</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15.71</w:t>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rad/s (150 rpm)</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Mechanical torque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τ_{t,0}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12.8</w:t>
            </w:r>
          </w:p>
        </w:tc>
        <w:tc>
          <w:tcPr>
            <w:tcW w:type="dxa" w:w="1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MN·m</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Electrical power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P_{e,0}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MW</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Terminal voltage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V_{t,0}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13.8 / √3 × √2</w:t>
            </w:r>
          </w:p>
        </w:tc>
        <w:tc>
          <w:tcPr>
            <w:tcW w:type="dxa" w:w="1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kV peak</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Gate opening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G₀</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0.88</w:t>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Rotor angle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δ₀</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32.4</w:t>
            </w:r>
          </w:p>
        </w:tc>
        <w:tc>
          <w:tcPr>
            <w:tcW w:type="dxa" w:w="1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deg</w:t>
            </w:r>
          </w:p>
        </w:tc>
      </w:tr>
    </w:tbl>
    <w:p>
      <w:pPr>
        <w:spacing w:before="60" w:after="180"/>
        <w:jc w:val="center"/>
      </w:pPr>
      <w:r>
        <w:rPr>
          <w:rFonts w:ascii="Arial" w:cs="Arial" w:eastAsia="Arial" w:hAnsi="Arial"/>
          <w:i/>
          <w:iCs/>
          <w:color w:val="595959"/>
          <w:sz w:val="19"/>
          <w:szCs w:val="19"/>
        </w:rPr>
        <w:t xml:space="preserve">Table 4.1 — Nominal operating point used as simulation initial condition.</w:t>
      </w:r>
    </w:p>
    <w:p>
      <w:pPr>
        <w:pStyle w:val="Heading2"/>
        <w:spacing w:before="280" w:after="100"/>
      </w:pPr>
      <w:r>
        <w:rPr>
          <w:rFonts w:ascii="Arial" w:cs="Arial" w:eastAsia="Arial" w:hAnsi="Arial"/>
          <w:b/>
          <w:bCs/>
          <w:color w:val="2E75B6"/>
          <w:sz w:val="26"/>
          <w:szCs w:val="26"/>
        </w:rPr>
        <w:t xml:space="preserve">4.2  Load Step Event at t = 250 s</w:t>
      </w:r>
    </w:p>
    <w:p>
      <w:pPr>
        <w:spacing w:before="80" w:after="100" w:line="276"/>
        <w:ind/>
        <w:jc w:val="both"/>
      </w:pPr>
      <w:r>
        <w:rPr>
          <w:rFonts w:ascii="Arial" w:cs="Arial" w:eastAsia="Arial" w:hAnsi="Arial"/>
          <w:b w:val="false"/>
          <w:bCs w:val="false"/>
          <w:i w:val="false"/>
          <w:iCs w:val="false"/>
          <w:color w:val="000000"/>
          <w:sz w:val="22"/>
          <w:szCs w:val="22"/>
        </w:rPr>
        <w:t xml:space="preserve">At exactly t = 250 s, the grid load demand is stepped from P_load = 200 MW to P_load = 260 MW, a 30% increase representing a large sudden demand increase. This is implemented via a discrete callback (tstop) in OrdinaryDiffEq.jl:</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t = 250 s:  P_load  200 MW  ⇒  260 MW  (ΔP = +60 MW)</w:t>
      </w:r>
      <w:r>
        <w:rPr>
          <w:rFonts w:ascii="Arial" w:cs="Arial" w:eastAsia="Arial" w:hAnsi="Arial"/>
          <w:i/>
          <w:iCs/>
          <w:color w:val="595959"/>
          <w:sz w:val="20"/>
          <w:szCs w:val="20"/>
        </w:rPr>
        <w:t xml:space="preserve">   (event)</w:t>
      </w:r>
    </w:p>
    <w:p>
      <w:pPr>
        <w:spacing w:before="80" w:after="100" w:line="276"/>
        <w:ind/>
        <w:jc w:val="both"/>
      </w:pPr>
      <w:r>
        <w:rPr>
          <w:rFonts w:ascii="Arial" w:cs="Arial" w:eastAsia="Arial" w:hAnsi="Arial"/>
          <w:b w:val="false"/>
          <w:bCs w:val="false"/>
          <w:i w:val="false"/>
          <w:iCs w:val="false"/>
          <w:color w:val="000000"/>
          <w:sz w:val="22"/>
          <w:szCs w:val="22"/>
        </w:rPr>
        <w:t xml:space="preserve">The simulation then runs from t = 250 to t = 500 s, capturing: the initial frequency deviation and governor response; penstock hydraulic transient and water-hammer pressure pulse; generator swing and power-angle oscillation; AVR excitation and reactive power rebalancing; governor integral action restoring speed to reference; and final settling to a new steady state.</w:t>
      </w:r>
    </w:p>
    <w:p>
      <w:pPr>
        <w:pStyle w:val="Heading2"/>
        <w:spacing w:before="280" w:after="100"/>
      </w:pPr>
      <w:r>
        <w:rPr>
          <w:rFonts w:ascii="Arial" w:cs="Arial" w:eastAsia="Arial" w:hAnsi="Arial"/>
          <w:b/>
          <w:bCs/>
          <w:color w:val="2E75B6"/>
          <w:sz w:val="26"/>
          <w:szCs w:val="26"/>
        </w:rPr>
        <w:t xml:space="preserve">4.3  Expected System Response — Phase Analysis</w:t>
      </w:r>
    </w:p>
    <w:p>
      <w:pPr>
        <w:pStyle w:val="Heading3"/>
        <w:spacing w:before="220" w:after="80"/>
      </w:pPr>
      <w:r>
        <w:rPr>
          <w:rFonts w:ascii="Arial" w:cs="Arial" w:eastAsia="Arial" w:hAnsi="Arial"/>
          <w:b/>
          <w:bCs/>
          <w:color w:val="595959"/>
          <w:sz w:val="23"/>
          <w:szCs w:val="23"/>
        </w:rPr>
        <w:t xml:space="preserve">Phase 1: Electrical Transient (t = 250–252 s)</w:t>
      </w:r>
    </w:p>
    <w:p>
      <w:pPr>
        <w:spacing w:before="80" w:after="100" w:line="276"/>
        <w:ind/>
        <w:jc w:val="both"/>
      </w:pPr>
      <w:r>
        <w:rPr>
          <w:rFonts w:ascii="Arial" w:cs="Arial" w:eastAsia="Arial" w:hAnsi="Arial"/>
          <w:b w:val="false"/>
          <w:bCs w:val="false"/>
          <w:i w:val="false"/>
          <w:iCs w:val="false"/>
          <w:color w:val="000000"/>
          <w:sz w:val="22"/>
          <w:szCs w:val="22"/>
        </w:rPr>
        <w:t xml:space="preserve">Immediately following the load step, the generator accelerates the power angle δ to supply more current. The classical swing equation predicts an initial frequency drop whose rate of change is: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df/dt|_{t=250⁺}  =  -ΔP f_0 / (2 H_gen S_n)  ≈  -0.60 Hz/s</w:t>
      </w:r>
      <w:r>
        <w:rPr>
          <w:rFonts w:ascii="Arial" w:cs="Arial" w:eastAsia="Arial" w:hAnsi="Arial"/>
          <w:i/>
          <w:iCs/>
          <w:color w:val="595959"/>
          <w:sz w:val="20"/>
          <w:szCs w:val="20"/>
        </w:rPr>
        <w:t xml:space="preserve">   (approx.)</w:t>
      </w:r>
    </w:p>
    <w:p>
      <w:pPr>
        <w:spacing w:before="80" w:after="100" w:line="276"/>
        <w:ind/>
        <w:jc w:val="both"/>
      </w:pPr>
      <w:r>
        <w:rPr>
          <w:rFonts w:ascii="Arial" w:cs="Arial" w:eastAsia="Arial" w:hAnsi="Arial"/>
          <w:b w:val="false"/>
          <w:bCs w:val="false"/>
          <w:i w:val="false"/>
          <w:iCs w:val="false"/>
          <w:color w:val="000000"/>
          <w:sz w:val="22"/>
          <w:szCs w:val="22"/>
        </w:rPr>
        <w:t xml:space="preserve">This is the Rate of Change of Frequency (RoCoF), a critical stability metric. The AVR responds within its time constant T_a ≈ 50 ms by boosting field excitation to maintain terminal voltage, increasing Q_e as reactive compensation for the extra load.</w:t>
      </w:r>
    </w:p>
    <w:p>
      <w:pPr>
        <w:pStyle w:val="Heading3"/>
        <w:spacing w:before="220" w:after="80"/>
      </w:pPr>
      <w:r>
        <w:rPr>
          <w:rFonts w:ascii="Arial" w:cs="Arial" w:eastAsia="Arial" w:hAnsi="Arial"/>
          <w:b/>
          <w:bCs/>
          <w:color w:val="595959"/>
          <w:sz w:val="23"/>
          <w:szCs w:val="23"/>
        </w:rPr>
        <w:t xml:space="preserve">Phase 2: Governor Response (t = 252–270 s)</w:t>
      </w:r>
    </w:p>
    <w:p>
      <w:pPr>
        <w:spacing w:before="80" w:after="100" w:line="276"/>
        <w:ind/>
        <w:jc w:val="both"/>
      </w:pPr>
      <w:r>
        <w:rPr>
          <w:rFonts w:ascii="Arial" w:cs="Arial" w:eastAsia="Arial" w:hAnsi="Arial"/>
          <w:b w:val="false"/>
          <w:bCs w:val="false"/>
          <w:i w:val="false"/>
          <w:iCs w:val="false"/>
          <w:color w:val="000000"/>
          <w:sz w:val="22"/>
          <w:szCs w:val="22"/>
        </w:rPr>
        <w:t xml:space="preserve">The speed governor detects ω &lt; ω_ref and begins opening the guide vanes. The servo actuator (T_servo = 0.2 s) introduces a first-order lag. The gate opening G(t) follows: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G(t) = G_0 + ΔG(1 - e^{-(t-250)/T_servo})</w:t>
      </w:r>
      <w:r>
        <w:rPr>
          <w:rFonts w:ascii="Arial" w:cs="Arial" w:eastAsia="Arial" w:hAnsi="Arial"/>
          <w:i/>
          <w:iCs/>
          <w:color w:val="595959"/>
          <w:sz w:val="20"/>
          <w:szCs w:val="20"/>
        </w:rPr>
        <w:t xml:space="preserve">   (approx.)</w:t>
      </w:r>
    </w:p>
    <w:p>
      <w:pPr>
        <w:spacing w:before="80" w:after="100" w:line="276"/>
        <w:ind/>
        <w:jc w:val="both"/>
      </w:pPr>
      <w:r>
        <w:rPr>
          <w:rFonts w:ascii="Arial" w:cs="Arial" w:eastAsia="Arial" w:hAnsi="Arial"/>
          <w:b w:val="false"/>
          <w:bCs w:val="false"/>
          <w:i w:val="false"/>
          <w:iCs w:val="false"/>
          <w:color w:val="000000"/>
          <w:sz w:val="22"/>
          <w:szCs w:val="22"/>
        </w:rPr>
        <w:t xml:space="preserve">The increased gate opening raises Q through the penstock. The pressure wave from the guide-vane opening propagates upstream at wave speed a, reflects from the reservoir free surface, and returns as a positive pressure wave within time 2L/a ≈ 1.0 s (for L=600 m, a=1200 m/s). This produces the characteristic water-hammer pressure oscillation visible in p_in(t).</w:t>
      </w:r>
    </w:p>
    <w:p>
      <w:pPr>
        <w:pStyle w:val="Heading3"/>
        <w:spacing w:before="220" w:after="80"/>
      </w:pPr>
      <w:r>
        <w:rPr>
          <w:rFonts w:ascii="Arial" w:cs="Arial" w:eastAsia="Arial" w:hAnsi="Arial"/>
          <w:b/>
          <w:bCs/>
          <w:color w:val="595959"/>
          <w:sz w:val="23"/>
          <w:szCs w:val="23"/>
        </w:rPr>
        <w:t xml:space="preserve">Phase 3: Hydraulic Settling (t = 270–320 s)</w:t>
      </w:r>
    </w:p>
    <w:p>
      <w:pPr>
        <w:spacing w:before="80" w:after="100" w:line="276"/>
        <w:ind/>
        <w:jc w:val="both"/>
      </w:pPr>
      <w:r>
        <w:rPr>
          <w:rFonts w:ascii="Arial" w:cs="Arial" w:eastAsia="Arial" w:hAnsi="Arial"/>
          <w:b w:val="false"/>
          <w:bCs w:val="false"/>
          <w:i w:val="false"/>
          <w:iCs w:val="false"/>
          <w:color w:val="000000"/>
          <w:sz w:val="22"/>
          <w:szCs w:val="22"/>
        </w:rPr>
        <w:t xml:space="preserve">The penstock flow Q(t) settles toward the new steady-state Q_1 with the water starting time T_w governing the primary time constant. For the present parameters T_w = LQ_0/(gH_0 A_p) ≈ 1.65 s. The turbine mechanical power follows with a slight phase lead due to the governor integral action. The governor PI integrator accumulates the remaining speed error and drives G toward G_1 &gt; G_0.</w:t>
      </w:r>
    </w:p>
    <w:p>
      <w:pPr>
        <w:pStyle w:val="Heading3"/>
        <w:spacing w:before="220" w:after="80"/>
      </w:pPr>
      <w:r>
        <w:rPr>
          <w:rFonts w:ascii="Arial" w:cs="Arial" w:eastAsia="Arial" w:hAnsi="Arial"/>
          <w:b/>
          <w:bCs/>
          <w:color w:val="595959"/>
          <w:sz w:val="23"/>
          <w:szCs w:val="23"/>
        </w:rPr>
        <w:t xml:space="preserve">Phase 4: New Steady-State (t &gt; 350 s)</w:t>
      </w:r>
    </w:p>
    <w:p>
      <w:pPr>
        <w:spacing w:before="80" w:after="100" w:line="276"/>
        <w:ind/>
        <w:jc w:val="both"/>
      </w:pPr>
      <w:r>
        <w:rPr>
          <w:rFonts w:ascii="Arial" w:cs="Arial" w:eastAsia="Arial" w:hAnsi="Arial"/>
          <w:b w:val="false"/>
          <w:bCs w:val="false"/>
          <w:i w:val="false"/>
          <w:iCs w:val="false"/>
          <w:color w:val="000000"/>
          <w:sz w:val="22"/>
          <w:szCs w:val="22"/>
        </w:rPr>
        <w:t xml:space="preserve">After all transients decay, the system reaches a new equilibrium with Q_1 ≈ 67.8 m³/s, G_1 ≈ 1.00 (fully open), ω = ω_ref, and P_e ≈ 260 MW. The reservoir level has declined marginally (by ΔH_r ≈ 0.04 m over 500 s). If the new load exceeds rated capacity, the governor saturates at G_max and a sustained underfrequency results — a condition detectable in the simulation by monitoring ω - ω_ref.</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2160"/>
      </w:tblGrid>
      <w:tr>
        <w:tc>
          <w:tcPr>
            <w:tcW w:type="dxa" w:w="3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Metric</w:t>
            </w:r>
          </w:p>
        </w:tc>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t = 250 s (pre-step)</w:t>
            </w:r>
          </w:p>
        </w:tc>
        <w:tc>
          <w:tcPr>
            <w:tcW w:type="dxa" w:w="2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Peak transient</w:t>
            </w:r>
          </w:p>
        </w:tc>
        <w:tc>
          <w:tcPr>
            <w:tcW w:type="dxa" w:w="21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t = 500 s (new SS)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P_e [MW]</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~185 (momentary dip)</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260</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ω [rad/s]</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15.710</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~15.550</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15.710</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Q_t [m³/s]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52.3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~49 (inverse resp.)</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67.8</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H_net [m]</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112.4</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~116 (pressure rise)</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98.2</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 [-]</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0.88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0.88 (no change yet)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δ [deg]</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32.4</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~48.0</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44.6</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V_t [pu]</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1.000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~0.960</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1.000</w:t>
            </w:r>
          </w:p>
        </w:tc>
      </w:tr>
    </w:tbl>
    <w:p>
      <w:pPr>
        <w:spacing w:before="60" w:after="180"/>
        <w:jc w:val="center"/>
      </w:pPr>
      <w:r>
        <w:rPr>
          <w:rFonts w:ascii="Arial" w:cs="Arial" w:eastAsia="Arial" w:hAnsi="Arial"/>
          <w:i/>
          <w:iCs/>
          <w:color w:val="595959"/>
          <w:sz w:val="19"/>
          <w:szCs w:val="19"/>
        </w:rPr>
        <w:t xml:space="preserve">Table 4.2 — Key variable summary across the 500-second simulation horizon.</w:t>
      </w:r>
    </w:p>
    <w:p>
      <w:pPr>
        <w:pStyle w:val="Heading2"/>
        <w:spacing w:before="280" w:after="100"/>
      </w:pPr>
      <w:r>
        <w:rPr>
          <w:rFonts w:ascii="Arial" w:cs="Arial" w:eastAsia="Arial" w:hAnsi="Arial"/>
          <w:b/>
          <w:bCs/>
          <w:color w:val="2E75B6"/>
          <w:sz w:val="26"/>
          <w:szCs w:val="26"/>
        </w:rPr>
        <w:t xml:space="preserve">4.4  Simulation Code Excerpt</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 Instantiate and simplify
@named plant = HydropowerPlant()
sys = structural_simplify(plant)
# Build ODE problem from rated initial conditions
prob0 = ODEProblem(sys, [], (0.0, 250.0))
sol0  = solve(prob0, Rodas5P(); reltol=1e-8, saveat=1.0)
# Extract steady-state as new u0
u_ss  = sol0.u[end]
# Load-step callback at t=250 s
cb = PresetTimeCallback([250.0],
  integrator -&gt; begin
    integrator.ps[sys.load.P_load] = 260e6
  end)
# Full 500-second run
prob = ODEProblem(sys, u_ss, (250.0, 500.0))
sol  = solve(prob, Rodas5P();
            callback=cb, tstops=[250.0],
            reltol=1e-6, abstol=1e-8, dtmax=0.01, saveat=0.05)</w:t>
      </w:r>
      <w:r>
        <w:rPr>
          <w:rFonts w:ascii="Arial" w:cs="Arial" w:eastAsia="Arial" w:hAnsi="Arial"/>
          <w:i/>
          <w:iCs/>
          <w:color w:val="595959"/>
          <w:sz w:val="20"/>
          <w:szCs w:val="20"/>
        </w:rPr>
        <w:t xml:space="preserve">   (Julia)</w:t>
      </w:r>
    </w:p>
    <w:p>
      <w:pPr>
        <w:pStyle w:val="Heading2"/>
        <w:spacing w:before="280" w:after="100"/>
      </w:pPr>
      <w:r>
        <w:rPr>
          <w:rFonts w:ascii="Arial" w:cs="Arial" w:eastAsia="Arial" w:hAnsi="Arial"/>
          <w:b/>
          <w:bCs/>
          <w:color w:val="2E75B6"/>
          <w:sz w:val="26"/>
          <w:szCs w:val="26"/>
        </w:rPr>
        <w:t xml:space="preserve">4.5  Inverse Water-Hammer Effect and Non-Minimum Phase</w:t>
      </w:r>
    </w:p>
    <w:p>
      <w:pPr>
        <w:spacing w:before="80" w:after="100" w:line="276"/>
        <w:ind/>
        <w:jc w:val="both"/>
      </w:pPr>
      <w:r>
        <w:rPr>
          <w:rFonts w:ascii="Arial" w:cs="Arial" w:eastAsia="Arial" w:hAnsi="Arial"/>
          <w:b w:val="false"/>
          <w:bCs w:val="false"/>
          <w:i w:val="false"/>
          <w:iCs w:val="false"/>
          <w:color w:val="000000"/>
          <w:sz w:val="22"/>
          <w:szCs w:val="22"/>
        </w:rPr>
        <w:t xml:space="preserve">A physically important artefact of the rigid-column penstock model is the non-minimum phase (NMP) behaviour of the turbine mechanical power in response to gate opening. When G is increased, the initial pressure drop at the runner momentarily reduces the available head and hence power output — the output moves in the wrong direction before settling at the higher steady-state. This is captured by the transfer function numerator zero in the right-half plane:</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P_m(s)/G(s) = K_T ⋅ (1 - T_w s) / (1 + 0.5 T_w s)</w:t>
      </w:r>
      <w:r>
        <w:rPr>
          <w:rFonts w:ascii="Arial" w:cs="Arial" w:eastAsia="Arial" w:hAnsi="Arial"/>
          <w:i/>
          <w:iCs/>
          <w:color w:val="595959"/>
          <w:sz w:val="20"/>
          <w:szCs w:val="20"/>
        </w:rPr>
        <w:t xml:space="preserve">   (linearised, NMP)</w:t>
      </w:r>
    </w:p>
    <w:p>
      <w:pPr>
        <w:spacing w:before="80" w:after="100" w:line="276"/>
        <w:ind/>
        <w:jc w:val="both"/>
      </w:pPr>
      <w:r>
        <w:rPr>
          <w:rFonts w:ascii="Arial" w:cs="Arial" w:eastAsia="Arial" w:hAnsi="Arial"/>
          <w:b w:val="false"/>
          <w:bCs w:val="false"/>
          <w:i w:val="false"/>
          <w:iCs w:val="false"/>
          <w:color w:val="000000"/>
          <w:sz w:val="22"/>
          <w:szCs w:val="22"/>
        </w:rPr>
        <w:t xml:space="preserve">This NMP property fundamentally limits achievable closed-loop bandwidth for hydraulic turbine governors, and is the primary reason aggressive integral gains cause instability. The Ziegler–Nichols method must be de-rated by a factor of approximately 1/(1 + T_w) for stable governor tuning.</w:t>
      </w:r>
    </w:p>
    <w:p>
      <w:r>
        <w:br w:type="page"/>
      </w:r>
    </w:p>
    <w:p>
      <w:pPr>
        <w:pStyle w:val="Heading1"/>
        <w:spacing w:before="360" w:after="120"/>
      </w:pPr>
      <w:r>
        <w:rPr>
          <w:rFonts w:ascii="Arial" w:cs="Arial" w:eastAsia="Arial" w:hAnsi="Arial"/>
          <w:b/>
          <w:bCs/>
          <w:color w:val="1F497D"/>
          <w:sz w:val="32"/>
          <w:szCs w:val="32"/>
        </w:rPr>
        <w:t xml:space="preserve">5. Modelling: Assumptions, Validity and Extensions</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Every model embeds assumptions. This section tabulates the principal ones and specifies the frequency/time ranges over which each sub-model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c>
          <w:tcPr>
            <w:tcW w:type="dxa" w:w="3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Assumption</w:t>
            </w:r>
          </w:p>
        </w:tc>
        <w:tc>
          <w:tcPr>
            <w:tcW w:type="dxa" w:w="2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Component</w:t>
            </w:r>
          </w:p>
        </w:tc>
        <w:tc>
          <w:tcPr>
            <w:tcW w:type="dxa" w:w="21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Valid Range</w:t>
            </w:r>
          </w:p>
        </w:tc>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Extension Required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Rigid water column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Penstock</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 &lt; a/(4L) ≈ 0.5 Hz</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MoC for f &gt; 0.5 Hz</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Incompressible flow</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All hydraulic</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 &lt; 0.1</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Two-phase flow model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Single-mass rotor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Shaft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 shaft torsion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Two-mass if gear / long shaft</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Classical generator model</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Generator</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 &lt; 5 s, no subtransient</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Full dq0 6th-order model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Constant η_t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Turbine</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 ∈ [0.7, 1.1] Q_n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Hill-chart polynomial fit</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Infinite bus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Grid</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Single-machine only</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Multi-machine Y_bus network</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Linearised PSS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AVR/PSS</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Small signal only</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Nonlinear exciter saturation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ice/silt effects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Reservoir</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Open-water operation</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Seasonal ice model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Isothermal water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ρ = const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 &lt; 30°C, no thermal gradient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Thermodynamic model</w:t>
            </w:r>
          </w:p>
        </w:tc>
      </w:tr>
    </w:tbl>
    <w:p>
      <w:pPr>
        <w:spacing w:before="60" w:after="180"/>
        <w:jc w:val="center"/>
      </w:pPr>
      <w:r>
        <w:rPr>
          <w:rFonts w:ascii="Arial" w:cs="Arial" w:eastAsia="Arial" w:hAnsi="Arial"/>
          <w:i/>
          <w:iCs/>
          <w:color w:val="595959"/>
          <w:sz w:val="19"/>
          <w:szCs w:val="19"/>
        </w:rPr>
        <w:t xml:space="preserve">Table 5.1 — Modelling assumptions and their limits.</w:t>
      </w:r>
    </w:p>
    <w:p>
      <w:pPr>
        <w:pStyle w:val="Heading2"/>
        <w:spacing w:before="280" w:after="100"/>
      </w:pPr>
      <w:r>
        <w:rPr>
          <w:rFonts w:ascii="Arial" w:cs="Arial" w:eastAsia="Arial" w:hAnsi="Arial"/>
          <w:b/>
          <w:bCs/>
          <w:color w:val="2E75B6"/>
          <w:sz w:val="26"/>
          <w:szCs w:val="26"/>
        </w:rPr>
        <w:t xml:space="preserve">5.1  Turbine Hill Chart Fitting</w:t>
      </w:r>
    </w:p>
    <w:p>
      <w:pPr>
        <w:spacing w:before="80" w:after="100" w:line="276"/>
        <w:ind/>
        <w:jc w:val="both"/>
      </w:pPr>
      <w:r>
        <w:rPr>
          <w:rFonts w:ascii="Arial" w:cs="Arial" w:eastAsia="Arial" w:hAnsi="Arial"/>
          <w:b w:val="false"/>
          <w:bCs w:val="false"/>
          <w:i w:val="false"/>
          <w:iCs w:val="false"/>
          <w:color w:val="000000"/>
          <w:sz w:val="22"/>
          <w:szCs w:val="22"/>
        </w:rPr>
        <w:t xml:space="preserve">The hill chart is a 2-D surface P_{11}(n_{11}, G). Fitting is performed via thin-plate spline interpolation over acceptance test data points. In Julia this is done with Interpolations.jl or a polynomial basis expansion:</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Q_11(n_11, G) = Σ_{i,j} a_{ij} n_11^i G^j,  i+j ≤ 4</w:t>
      </w:r>
      <w:r>
        <w:rPr>
          <w:rFonts w:ascii="Arial" w:cs="Arial" w:eastAsia="Arial" w:hAnsi="Arial"/>
          <w:i/>
          <w:iCs/>
          <w:color w:val="595959"/>
          <w:sz w:val="20"/>
          <w:szCs w:val="20"/>
        </w:rPr>
        <w:t xml:space="preserve">   (polynomial surface)</w:t>
      </w:r>
    </w:p>
    <w:p>
      <w:pPr>
        <w:spacing w:before="80" w:after="100" w:line="276"/>
        <w:ind/>
        <w:jc w:val="both"/>
      </w:pPr>
      <w:r>
        <w:rPr>
          <w:rFonts w:ascii="Arial" w:cs="Arial" w:eastAsia="Arial" w:hAnsi="Arial"/>
          <w:b w:val="false"/>
          <w:bCs w:val="false"/>
          <w:i w:val="false"/>
          <w:iCs w:val="false"/>
          <w:color w:val="000000"/>
          <w:sz w:val="22"/>
          <w:szCs w:val="22"/>
        </w:rPr>
        <w:t xml:space="preserve">The coefficient matrix A is determined by minimising the weighted least-squares residual over the N test points, with regularisation to prevent Runge oscillations near the boundary of the operating envelope.</w:t>
      </w:r>
    </w:p>
    <w:p>
      <w:pPr>
        <w:pStyle w:val="Heading2"/>
        <w:spacing w:before="280" w:after="100"/>
      </w:pPr>
      <w:r>
        <w:rPr>
          <w:rFonts w:ascii="Arial" w:cs="Arial" w:eastAsia="Arial" w:hAnsi="Arial"/>
          <w:b/>
          <w:bCs/>
          <w:color w:val="2E75B6"/>
          <w:sz w:val="26"/>
          <w:szCs w:val="26"/>
        </w:rPr>
        <w:t xml:space="preserve">5.2  Non-Isothermal and Dissolved-Gas Effects</w:t>
      </w:r>
    </w:p>
    <w:p>
      <w:pPr>
        <w:spacing w:before="80" w:after="100" w:line="276"/>
        <w:ind/>
        <w:jc w:val="both"/>
      </w:pPr>
      <w:r>
        <w:rPr>
          <w:rFonts w:ascii="Arial" w:cs="Arial" w:eastAsia="Arial" w:hAnsi="Arial"/>
          <w:b w:val="false"/>
          <w:bCs w:val="false"/>
          <w:i w:val="false"/>
          <w:iCs w:val="false"/>
          <w:color w:val="000000"/>
          <w:sz w:val="22"/>
          <w:szCs w:val="22"/>
        </w:rPr>
        <w:t xml:space="preserve">For high-altitude or tropical reservoirs, water temperature T_w influences density (ρ ≈ 999 – 4(T-4)²/100 kg/m³), vapour pressure p_vap (Antoine equation), and dissolved gas content. These effects shift the cavitation margin by up to 5–10% of head. The MTK model can include these as algebraic constitutive equations parameterised by T_w(t) as an exogenous input.</w:t>
      </w:r>
    </w:p>
    <w:p>
      <w:r>
        <w:br w:type="page"/>
      </w:r>
    </w:p>
    <w:p>
      <w:pPr>
        <w:pStyle w:val="Heading1"/>
        <w:spacing w:before="360" w:after="120"/>
      </w:pPr>
      <w:r>
        <w:rPr>
          <w:rFonts w:ascii="Arial" w:cs="Arial" w:eastAsia="Arial" w:hAnsi="Arial"/>
          <w:b/>
          <w:bCs/>
          <w:color w:val="1F497D"/>
          <w:sz w:val="32"/>
          <w:szCs w:val="32"/>
        </w:rPr>
        <w:t xml:space="preserve">6. Simulation Numerics</w:t>
      </w:r>
    </w:p>
    <w:p>
      <w:pPr>
        <w:pBdr>
          <w:bottom w:val="single" w:color="2E75B6" w:sz="6" w:space="4"/>
        </w:pBdr>
        <w:spacing w:before="0" w:after="120"/>
      </w:pPr>
    </w:p>
    <w:p>
      <w:pPr>
        <w:pStyle w:val="Heading2"/>
        <w:spacing w:before="280" w:after="100"/>
      </w:pPr>
      <w:r>
        <w:rPr>
          <w:rFonts w:ascii="Arial" w:cs="Arial" w:eastAsia="Arial" w:hAnsi="Arial"/>
          <w:b/>
          <w:bCs/>
          <w:color w:val="2E75B6"/>
          <w:sz w:val="26"/>
          <w:szCs w:val="26"/>
        </w:rPr>
        <w:t xml:space="preserve">6.1  Stiffness Ratio</w:t>
      </w:r>
    </w:p>
    <w:p>
      <w:pPr>
        <w:spacing w:before="80" w:after="100" w:line="276"/>
        <w:ind/>
        <w:jc w:val="both"/>
      </w:pPr>
      <w:r>
        <w:rPr>
          <w:rFonts w:ascii="Arial" w:cs="Arial" w:eastAsia="Arial" w:hAnsi="Arial"/>
          <w:b w:val="false"/>
          <w:bCs w:val="false"/>
          <w:i w:val="false"/>
          <w:iCs w:val="false"/>
          <w:color w:val="000000"/>
          <w:sz w:val="22"/>
          <w:szCs w:val="22"/>
        </w:rPr>
        <w:t xml:space="preserve">The stiffness ratio s = λ_max/λ_min of the Jacobian J = ∂f/∂u governs solver selection. The slowest eigenvalue is the reservoir depletion (λ_r ~ -1/T_r, T_r ~ 10⁶ s); the fastest is the electrical network time constant (λ_e ~ -R/L ~ -1000 s⁻¹). This gives s ~ 10⁹, demanding L-stable implicit solvers that do not amplify the fast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3460"/>
      </w:tblGrid>
      <w:tr>
        <w:tc>
          <w:tcPr>
            <w:tcW w:type="dxa" w:w="2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Solver</w:t>
            </w:r>
          </w:p>
        </w:tc>
        <w:tc>
          <w:tcPr>
            <w:tcW w:type="dxa" w:w="14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Order</w:t>
            </w:r>
          </w:p>
        </w:tc>
        <w:tc>
          <w:tcPr>
            <w:tcW w:type="dxa" w:w="25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Stability</w:t>
            </w:r>
          </w:p>
        </w:tc>
        <w:tc>
          <w:tcPr>
            <w:tcW w:type="dxa" w:w="34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Recommended For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Rodas5P</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L-stable Rosenbrock</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Primary: stiff DAE/ODE, dense Jacobian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RadauIIA5</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A-B-L-stable implicit RK</w:t>
            </w:r>
          </w:p>
        </w:tc>
        <w:tc>
          <w:tcPr>
            <w:tcW w:type="dxa" w:w="3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Very stiff, accuracy-critical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FBDF</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BDF, L-stable</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Large sparse systems</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Tsit5</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Explicit, conditional</w:t>
            </w:r>
          </w:p>
        </w:tc>
        <w:tc>
          <w:tcPr>
            <w:tcW w:type="dxa" w:w="3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Non-stiff subsystems only</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ImplicitEuler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A-stable</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Prototyping / debugging only</w:t>
            </w:r>
          </w:p>
        </w:tc>
      </w:tr>
    </w:tbl>
    <w:p>
      <w:pPr>
        <w:spacing w:before="60" w:after="180"/>
        <w:jc w:val="center"/>
      </w:pPr>
      <w:r>
        <w:rPr>
          <w:rFonts w:ascii="Arial" w:cs="Arial" w:eastAsia="Arial" w:hAnsi="Arial"/>
          <w:i/>
          <w:iCs/>
          <w:color w:val="595959"/>
          <w:sz w:val="19"/>
          <w:szCs w:val="19"/>
        </w:rPr>
        <w:t xml:space="preserve">Table 6.1 — Solver comparison for stiff hydropower DAEs.</w:t>
      </w:r>
    </w:p>
    <w:p>
      <w:pPr>
        <w:pStyle w:val="Heading2"/>
        <w:spacing w:before="280" w:after="100"/>
      </w:pPr>
      <w:r>
        <w:rPr>
          <w:rFonts w:ascii="Arial" w:cs="Arial" w:eastAsia="Arial" w:hAnsi="Arial"/>
          <w:b/>
          <w:bCs/>
          <w:color w:val="2E75B6"/>
          <w:sz w:val="26"/>
          <w:szCs w:val="26"/>
        </w:rPr>
        <w:t xml:space="preserve">6.2  Jacobian Computation</w:t>
      </w:r>
    </w:p>
    <w:p>
      <w:pPr>
        <w:spacing w:before="80" w:after="100" w:line="276"/>
        <w:ind/>
        <w:jc w:val="both"/>
      </w:pPr>
      <w:r>
        <w:rPr>
          <w:rFonts w:ascii="Arial" w:cs="Arial" w:eastAsia="Arial" w:hAnsi="Arial"/>
          <w:b w:val="false"/>
          <w:bCs w:val="false"/>
          <w:i w:val="false"/>
          <w:iCs w:val="false"/>
          <w:color w:val="000000"/>
          <w:sz w:val="22"/>
          <w:szCs w:val="22"/>
        </w:rPr>
        <w:t xml:space="preserve">MTK generates a symbolic Jacobian J(t,u) via forward-mode automatic differentiation (ForwardDiff.jl) or symbolic differentiation. For the ~28-state reduced system, dense Jacobian factorisation (LU) is inexpensive. For distributed water-hammer models with N ≥ 100 pipe segments, sparse Jacobian patterns should be declared explicitly to exploit the banded structure.</w:t>
      </w:r>
    </w:p>
    <w:p>
      <w:pPr>
        <w:pStyle w:val="Heading2"/>
        <w:spacing w:before="280" w:after="100"/>
      </w:pPr>
      <w:r>
        <w:rPr>
          <w:rFonts w:ascii="Arial" w:cs="Arial" w:eastAsia="Arial" w:hAnsi="Arial"/>
          <w:b/>
          <w:bCs/>
          <w:color w:val="2E75B6"/>
          <w:sz w:val="26"/>
          <w:szCs w:val="26"/>
        </w:rPr>
        <w:t xml:space="preserve">6.3  Discrete Events and Callbacks</w:t>
      </w:r>
    </w:p>
    <w:p>
      <w:pPr>
        <w:spacing w:before="80" w:after="100" w:line="276"/>
        <w:ind/>
        <w:jc w:val="both"/>
      </w:pPr>
      <w:r>
        <w:rPr>
          <w:rFonts w:ascii="Arial" w:cs="Arial" w:eastAsia="Arial" w:hAnsi="Arial"/>
          <w:b w:val="false"/>
          <w:bCs w:val="false"/>
          <w:i w:val="false"/>
          <w:iCs w:val="false"/>
          <w:color w:val="000000"/>
          <w:sz w:val="22"/>
          <w:szCs w:val="22"/>
        </w:rPr>
        <w:t xml:space="preserve">Load steps, gate trips, and protection relay actions are modelled as DiscreteCallback or ContinuousCallback objects in DiffEqCallbacks.jl. A ContinuousCallback on ω(t) - ω_trip triggers unit islanding if overspeed exceeds 20%. ODE solver step-size control ensures that the integrator lands exactly on the event time, preserving causality.</w:t>
      </w:r>
    </w:p>
    <w:p>
      <w:r>
        <w:br w:type="page"/>
      </w:r>
    </w:p>
    <w:p>
      <w:pPr>
        <w:pStyle w:val="Heading1"/>
        <w:spacing w:before="360" w:after="120"/>
      </w:pPr>
      <w:r>
        <w:rPr>
          <w:rFonts w:ascii="Arial" w:cs="Arial" w:eastAsia="Arial" w:hAnsi="Arial"/>
          <w:b/>
          <w:bCs/>
          <w:color w:val="1F497D"/>
          <w:sz w:val="32"/>
          <w:szCs w:val="32"/>
        </w:rPr>
        <w:t xml:space="preserve">7. Model Fitting and Parameter Identification</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A priori parameters (geometry, manufacturer data) provide a starting model. Field measurements are used to calibrate the dynamic parameters, particularly T_w, J, H_gen, K_p, K_i, η_t, and the machine reactances.</w:t>
      </w:r>
    </w:p>
    <w:p>
      <w:pPr>
        <w:pStyle w:val="Heading2"/>
        <w:spacing w:before="280" w:after="100"/>
      </w:pPr>
      <w:r>
        <w:rPr>
          <w:rFonts w:ascii="Arial" w:cs="Arial" w:eastAsia="Arial" w:hAnsi="Arial"/>
          <w:b/>
          <w:bCs/>
          <w:color w:val="2E75B6"/>
          <w:sz w:val="26"/>
          <w:szCs w:val="26"/>
        </w:rPr>
        <w:t xml:space="preserve">7.1  Parameter Estimation Framework</w:t>
      </w:r>
    </w:p>
    <w:p>
      <w:pPr>
        <w:spacing w:before="80" w:after="100" w:line="276"/>
        <w:ind/>
        <w:jc w:val="both"/>
      </w:pPr>
      <w:r>
        <w:rPr>
          <w:rFonts w:ascii="Arial" w:cs="Arial" w:eastAsia="Arial" w:hAnsi="Arial"/>
          <w:b w:val="false"/>
          <w:bCs w:val="false"/>
          <w:i w:val="false"/>
          <w:iCs w:val="false"/>
          <w:color w:val="000000"/>
          <w:sz w:val="22"/>
          <w:szCs w:val="22"/>
        </w:rPr>
        <w:t xml:space="preserve">MTK integrates with SciML’s ModelingToolkit-SciMLSensitivity bridge. The adjoint-method gradient allows efficient optimisation over parameter vectors θ ∈ ℝ^n with n up to several hundred:</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J(θ) = Σ_k w_k ‖y_meas,k - y_sim,k(θ)‖² + λ ‖θ - θ_prior‖²</w:t>
      </w:r>
      <w:r>
        <w:rPr>
          <w:rFonts w:ascii="Arial" w:cs="Arial" w:eastAsia="Arial" w:hAnsi="Arial"/>
          <w:i/>
          <w:iCs/>
          <w:color w:val="595959"/>
          <w:sz w:val="20"/>
          <w:szCs w:val="20"/>
        </w:rPr>
        <w:t xml:space="preserve">   (cost function)</w:t>
      </w:r>
    </w:p>
    <w:p>
      <w:pPr>
        <w:spacing w:before="80" w:after="100" w:line="276"/>
        <w:ind/>
        <w:jc w:val="both"/>
      </w:pPr>
      <w:r>
        <w:rPr>
          <w:rFonts w:ascii="Arial" w:cs="Arial" w:eastAsia="Arial" w:hAnsi="Arial"/>
          <w:b w:val="false"/>
          <w:bCs w:val="false"/>
          <w:i w:val="false"/>
          <w:iCs w:val="false"/>
          <w:color w:val="000000"/>
          <w:sz w:val="22"/>
          <w:szCs w:val="22"/>
        </w:rPr>
        <w:t xml:space="preserve">The regularisation term (λ term) is a Tikhonov prior that penalises departure from physical prior estimates, preventing overfitting to noisy field data. The gradient ∂J/∂θ is computed by the continuous adjoint (a backward ODE integration), giving O(n_states) cost per gradient evaluation independent of n.</w:t>
      </w:r>
    </w:p>
    <w:p>
      <w:pPr>
        <w:pStyle w:val="Heading2"/>
        <w:spacing w:before="280" w:after="100"/>
      </w:pPr>
      <w:r>
        <w:rPr>
          <w:rFonts w:ascii="Arial" w:cs="Arial" w:eastAsia="Arial" w:hAnsi="Arial"/>
          <w:b/>
          <w:bCs/>
          <w:color w:val="2E75B6"/>
          <w:sz w:val="26"/>
          <w:szCs w:val="26"/>
        </w:rPr>
        <w:t xml:space="preserve">7.2  Field Test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c>
          <w:tcPr>
            <w:tcW w:type="dxa" w:w="2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Test</w:t>
            </w:r>
          </w:p>
        </w:tc>
        <w:tc>
          <w:tcPr>
            <w:tcW w:type="dxa" w:w="2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Parameters Identified</w:t>
            </w:r>
          </w:p>
        </w:tc>
        <w:tc>
          <w:tcPr>
            <w:tcW w:type="dxa" w:w="16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Duration</w:t>
            </w:r>
          </w:p>
        </w:tc>
        <w:tc>
          <w:tcPr>
            <w:tcW w:type="dxa" w:w="21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Signal Type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Speed no-load rejection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T_w, J, b</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10–30 s</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Step (full-load trip)</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Guide-vane step response</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k_q, τ_servo, K_p, K_i</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60–120 s</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5–10% gate step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Hydro-acoustic frequency sweep</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 (wave speed), L_eff</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300–600 s</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PRBS gate dither</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AVR step (V-ref)</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K_a, T_a, X_d, X_q</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5–10 s</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 V step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Short-circuit test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X_d", X_q", T_d"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Subtransient</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3-phase fault</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P-Q capability test</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S_rated, δ_max</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Steady-state sweep</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P-Q locus points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Efficiency / hill chart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η_t(Q,H,G)</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4–8 h</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IEC 60041 index method</w:t>
            </w:r>
          </w:p>
        </w:tc>
      </w:tr>
    </w:tbl>
    <w:p>
      <w:pPr>
        <w:spacing w:before="60" w:after="180"/>
        <w:jc w:val="center"/>
      </w:pPr>
      <w:r>
        <w:rPr>
          <w:rFonts w:ascii="Arial" w:cs="Arial" w:eastAsia="Arial" w:hAnsi="Arial"/>
          <w:i/>
          <w:iCs/>
          <w:color w:val="595959"/>
          <w:sz w:val="19"/>
          <w:szCs w:val="19"/>
        </w:rPr>
        <w:t xml:space="preserve">Table 7.1 — Field test procedures and the parameters identified by each.</w:t>
      </w:r>
    </w:p>
    <w:p>
      <w:pPr>
        <w:pStyle w:val="Heading2"/>
        <w:spacing w:before="280" w:after="100"/>
      </w:pPr>
      <w:r>
        <w:rPr>
          <w:rFonts w:ascii="Arial" w:cs="Arial" w:eastAsia="Arial" w:hAnsi="Arial"/>
          <w:b/>
          <w:bCs/>
          <w:color w:val="2E75B6"/>
          <w:sz w:val="26"/>
          <w:szCs w:val="26"/>
        </w:rPr>
        <w:t xml:space="preserve">7.3  Bayesian Parameter Inference</w:t>
      </w:r>
    </w:p>
    <w:p>
      <w:pPr>
        <w:spacing w:before="80" w:after="100" w:line="276"/>
        <w:ind/>
        <w:jc w:val="both"/>
      </w:pPr>
      <w:r>
        <w:rPr>
          <w:rFonts w:ascii="Arial" w:cs="Arial" w:eastAsia="Arial" w:hAnsi="Arial"/>
          <w:b w:val="false"/>
          <w:bCs w:val="false"/>
          <w:i w:val="false"/>
          <w:iCs w:val="false"/>
          <w:color w:val="000000"/>
          <w:sz w:val="22"/>
          <w:szCs w:val="22"/>
        </w:rPr>
        <w:t xml:space="preserve">For plants where repeated step-tests are operationally disruptive, Bayesian inference using normal operating data (ambient excitation) is increasingly applied. The likelihood p(y_meas | θ) is evaluated by running the forward MTK simulation; the posterior p(θ | y_meas) is sampled via Hamiltonian Monte Carlo (HMC) using Turing.jl, which is differentiable with respect to the ODEProblem parameters via Zygote.jl. This yields parameter uncertainty quantification critical for robust governor design.</w:t>
      </w:r>
    </w:p>
    <w:p>
      <w:pPr>
        <w:pStyle w:val="Heading2"/>
        <w:spacing w:before="280" w:after="100"/>
      </w:pPr>
      <w:r>
        <w:rPr>
          <w:rFonts w:ascii="Arial" w:cs="Arial" w:eastAsia="Arial" w:hAnsi="Arial"/>
          <w:b/>
          <w:bCs/>
          <w:color w:val="2E75B6"/>
          <w:sz w:val="26"/>
          <w:szCs w:val="26"/>
        </w:rPr>
        <w:t xml:space="preserve">7.4  Structural Identifiability</w:t>
      </w:r>
    </w:p>
    <w:p>
      <w:pPr>
        <w:spacing w:before="80" w:after="100" w:line="276"/>
        <w:ind/>
        <w:jc w:val="both"/>
      </w:pPr>
      <w:r>
        <w:rPr>
          <w:rFonts w:ascii="Arial" w:cs="Arial" w:eastAsia="Arial" w:hAnsi="Arial"/>
          <w:b w:val="false"/>
          <w:bCs w:val="false"/>
          <w:i w:val="false"/>
          <w:iCs w:val="false"/>
          <w:color w:val="000000"/>
          <w:sz w:val="22"/>
          <w:szCs w:val="22"/>
        </w:rPr>
        <w:t xml:space="preserve">Before field testing, structural identifiability of the parameter vector θ given the measurement set y should be established. The MTK-compatible StructuralIdentifiability.jl package implements the differential algebra approach (Ritt’s pseudodivision) to determine globally / locally / non-identifiable parameter combinations. Practically, T_w and J are identifiable from speed-transient data, but R_a and R_f are not separately identifiable from terminal voltage and current alone without subtransient tests.</w:t>
      </w:r>
    </w:p>
    <w:p>
      <w:r>
        <w:br w:type="page"/>
      </w:r>
    </w:p>
    <w:p>
      <w:pPr>
        <w:pStyle w:val="Heading1"/>
        <w:spacing w:before="360" w:after="120"/>
      </w:pPr>
      <w:r>
        <w:rPr>
          <w:rFonts w:ascii="Arial" w:cs="Arial" w:eastAsia="Arial" w:hAnsi="Arial"/>
          <w:b/>
          <w:bCs/>
          <w:color w:val="1F497D"/>
          <w:sz w:val="32"/>
          <w:szCs w:val="32"/>
        </w:rPr>
        <w:t xml:space="preserve">8. Data Requirements</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A production-grade simulation requires data from multiple sources spanning civil, mechanical, and electrical engineering disciplines. This section provides a comprehensive catalogue.</w:t>
      </w:r>
    </w:p>
    <w:p>
      <w:pPr>
        <w:pStyle w:val="Heading2"/>
        <w:spacing w:before="280" w:after="100"/>
      </w:pPr>
      <w:r>
        <w:rPr>
          <w:rFonts w:ascii="Arial" w:cs="Arial" w:eastAsia="Arial" w:hAnsi="Arial"/>
          <w:b/>
          <w:bCs/>
          <w:color w:val="2E75B6"/>
          <w:sz w:val="26"/>
          <w:szCs w:val="26"/>
        </w:rPr>
        <w:t xml:space="preserve">8.1  Civil / Hydraulic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560"/>
      </w:tblGrid>
      <w:tr>
        <w:tc>
          <w:tcPr>
            <w:tcW w:type="dxa" w:w="3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Data Item</w:t>
            </w:r>
          </w:p>
        </w:tc>
        <w:tc>
          <w:tcPr>
            <w:tcW w:type="dxa" w:w="16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Symbol</w:t>
            </w:r>
          </w:p>
        </w:tc>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Source</w:t>
            </w:r>
          </w:p>
        </w:tc>
        <w:tc>
          <w:tcPr>
            <w:tcW w:type="dxa" w:w="25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Typical Accuracy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Gross head (max/min/rated)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H_g</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Survey / GNSS</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±0.1 m</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Net head (rated)</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H_n</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IEC 60041 field test</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±0.3%</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Reservoir bathymetry</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A_r(H)</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Echo sounder / LiDAR</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±0.5%</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Penstock L, D, wall thickness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L, D, t</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As-built drawings</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Pipe material / wave speed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Manufacturer + test</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Darcy–Weisbach f</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f</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Moody chart + field</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Draft tube geometry</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A_1, A_2, L_dt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As-built</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Tailwater level curve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H_tw(Q)</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Stage–discharge survey</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±0.05 m</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Runner submergence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H_s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Survey</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±0.05 m</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Natural inflow series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Q_in(t)</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Gauging station</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r>
    </w:tbl>
    <w:p>
      <w:pPr>
        <w:spacing w:before="60" w:after="180"/>
        <w:jc w:val="center"/>
      </w:pPr>
      <w:r>
        <w:rPr>
          <w:rFonts w:ascii="Arial" w:cs="Arial" w:eastAsia="Arial" w:hAnsi="Arial"/>
          <w:i/>
          <w:iCs/>
          <w:color w:val="595959"/>
          <w:sz w:val="19"/>
          <w:szCs w:val="19"/>
        </w:rPr>
        <w:t xml:space="preserve">Table 8.1 — Civil and hydraulic data requirements.</w:t>
      </w:r>
    </w:p>
    <w:p>
      <w:pPr>
        <w:pStyle w:val="Heading2"/>
        <w:spacing w:before="280" w:after="100"/>
      </w:pPr>
      <w:r>
        <w:rPr>
          <w:rFonts w:ascii="Arial" w:cs="Arial" w:eastAsia="Arial" w:hAnsi="Arial"/>
          <w:b/>
          <w:bCs/>
          <w:color w:val="2E75B6"/>
          <w:sz w:val="26"/>
          <w:szCs w:val="26"/>
        </w:rPr>
        <w:t xml:space="preserve">8.2  Turbine / Mechanical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Data Item</w:t>
            </w:r>
          </w:p>
        </w:tc>
        <w:tc>
          <w:tcPr>
            <w:tcW w:type="dxa" w:w="20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Symbol</w:t>
            </w:r>
          </w:p>
        </w:tc>
        <w:tc>
          <w:tcPr>
            <w:tcW w:type="dxa" w:w="41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Source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Runner diameter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D_runner</w:t>
            </w:r>
          </w:p>
        </w:tc>
        <w:tc>
          <w:tcPr>
            <w:tcW w:type="dxa" w:w="4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Manufacturer drawing</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Hill chart (P_11, Q_11, η vs n_11, 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Manufacturer / IEC 60041</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Runaway speed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n_runaway</w:t>
            </w:r>
          </w:p>
        </w:tc>
        <w:tc>
          <w:tcPr>
            <w:tcW w:type="dxa" w:w="4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Manufacturer specification</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Moment of inertia (turbine + generator)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J</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Manufacturer / flywheel test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Shaft torsional stiffness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k_s</w:t>
            </w:r>
          </w:p>
        </w:tc>
        <w:tc>
          <w:tcPr>
            <w:tcW w:type="dxa" w:w="4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FEM analysis or bump test</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Guide vane servo stroke and rate limits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G_max, ęG_max</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Actuator datasheet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Wicket gate leakage coefficient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k_leak</w:t>
            </w:r>
          </w:p>
        </w:tc>
        <w:tc>
          <w:tcPr>
            <w:tcW w:type="dxa" w:w="4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Field test</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Bearing friction coefficient</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b</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Manufacturer / test</w:t>
            </w:r>
          </w:p>
        </w:tc>
      </w:tr>
    </w:tbl>
    <w:p>
      <w:pPr>
        <w:spacing w:before="60" w:after="180"/>
        <w:jc w:val="center"/>
      </w:pPr>
      <w:r>
        <w:rPr>
          <w:rFonts w:ascii="Arial" w:cs="Arial" w:eastAsia="Arial" w:hAnsi="Arial"/>
          <w:i/>
          <w:iCs/>
          <w:color w:val="595959"/>
          <w:sz w:val="19"/>
          <w:szCs w:val="19"/>
        </w:rPr>
        <w:t xml:space="preserve">Table 8.2 — Turbine and mechanical data requirements.</w:t>
      </w:r>
    </w:p>
    <w:p>
      <w:pPr>
        <w:pStyle w:val="Heading2"/>
        <w:spacing w:before="280" w:after="100"/>
      </w:pPr>
      <w:r>
        <w:rPr>
          <w:rFonts w:ascii="Arial" w:cs="Arial" w:eastAsia="Arial" w:hAnsi="Arial"/>
          <w:b/>
          <w:bCs/>
          <w:color w:val="2E75B6"/>
          <w:sz w:val="26"/>
          <w:szCs w:val="26"/>
        </w:rPr>
        <w:t xml:space="preserve">8.3  Generator and Electrical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Data Item</w:t>
            </w:r>
          </w:p>
        </w:tc>
        <w:tc>
          <w:tcPr>
            <w:tcW w:type="dxa" w:w="2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Symbol</w:t>
            </w:r>
          </w:p>
        </w:tc>
        <w:tc>
          <w:tcPr>
            <w:tcW w:type="dxa" w:w="37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Value (Typical)</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Rated MVA</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S_n</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100–1000 MVA</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Rated voltage (L-L)</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V_n</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6.3–15 kV</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Number of poles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8–80</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Inertia constant</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H_gen</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 9 s</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d-axis synchronous reactance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X_d (pu)</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0.7–1.3</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q-axis synchronous reactance</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X_q (pu)</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0.4–0.9</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Transient reactance d-axis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X_d' (pu)</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0.15–0.35</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Subtransient reactance d-axis</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X_d'' (pu)</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0.08–0.25</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Open-circuit time constant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T_d0' (s)</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2–10</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Stator resistance</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R_a (pu)</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0.002–0.01</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AVR gain / time constant</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K_a, T_a</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100–400, 0.02–0.1 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Short-circuit ratio</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SCR</w:t>
            </w:r>
          </w:p>
        </w:tc>
        <w:tc>
          <w:tcPr>
            <w:tcW w:type="dxa" w:w="3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0.5–1.5</w:t>
            </w:r>
          </w:p>
        </w:tc>
      </w:tr>
    </w:tbl>
    <w:p>
      <w:pPr>
        <w:spacing w:before="60" w:after="180"/>
        <w:jc w:val="center"/>
      </w:pPr>
      <w:r>
        <w:rPr>
          <w:rFonts w:ascii="Arial" w:cs="Arial" w:eastAsia="Arial" w:hAnsi="Arial"/>
          <w:i/>
          <w:iCs/>
          <w:color w:val="595959"/>
          <w:sz w:val="19"/>
          <w:szCs w:val="19"/>
        </w:rPr>
        <w:t xml:space="preserve">Table 8.3 — Generator and electrical data requirements.</w:t>
      </w:r>
    </w:p>
    <w:p>
      <w:pPr>
        <w:pStyle w:val="Heading2"/>
        <w:spacing w:before="280" w:after="100"/>
      </w:pPr>
      <w:r>
        <w:rPr>
          <w:rFonts w:ascii="Arial" w:cs="Arial" w:eastAsia="Arial" w:hAnsi="Arial"/>
          <w:b/>
          <w:bCs/>
          <w:color w:val="2E75B6"/>
          <w:sz w:val="26"/>
          <w:szCs w:val="26"/>
        </w:rPr>
        <w:t xml:space="preserve">8.4  Instrumentation and SCADA</w:t>
      </w:r>
    </w:p>
    <w:p>
      <w:pPr>
        <w:spacing w:before="80" w:after="100" w:line="276"/>
        <w:ind/>
        <w:jc w:val="both"/>
      </w:pPr>
      <w:r>
        <w:rPr>
          <w:rFonts w:ascii="Arial" w:cs="Arial" w:eastAsia="Arial" w:hAnsi="Arial"/>
          <w:b w:val="false"/>
          <w:bCs w:val="false"/>
          <w:i w:val="false"/>
          <w:iCs w:val="false"/>
          <w:color w:val="000000"/>
          <w:sz w:val="22"/>
          <w:szCs w:val="22"/>
        </w:rPr>
        <w:t xml:space="preserve">For real-time digital twin applications the following minimum instrumentation suite is required (sampling rates as indicated):</w:t>
      </w:r>
    </w:p>
    <w:p>
      <w:pPr>
        <w:pStyle w:val="ListParagraph"/>
        <w:numPr>
          <w:ilvl w:val="0"/>
          <w:numId w:val="2"/>
        </w:numPr>
        <w:spacing w:before="60" w:after="60" w:line="268"/>
      </w:pPr>
      <w:r>
        <w:rPr>
          <w:rFonts w:ascii="Arial" w:cs="Arial" w:eastAsia="Arial" w:hAnsi="Arial"/>
          <w:sz w:val="22"/>
          <w:szCs w:val="22"/>
        </w:rPr>
        <w:t xml:space="preserve">Speed transducer on shaft: ≥100 Hz, resolution 0.001 Hz</w:t>
      </w:r>
    </w:p>
    <w:p>
      <w:pPr>
        <w:pStyle w:val="ListParagraph"/>
        <w:numPr>
          <w:ilvl w:val="0"/>
          <w:numId w:val="2"/>
        </w:numPr>
        <w:spacing w:before="60" w:after="60" w:line="268"/>
      </w:pPr>
      <w:r>
        <w:rPr>
          <w:rFonts w:ascii="Arial" w:cs="Arial" w:eastAsia="Arial" w:hAnsi="Arial"/>
          <w:sz w:val="22"/>
          <w:szCs w:val="22"/>
        </w:rPr>
        <w:t xml:space="preserve">Pressure transducers at penstock inlet, turbine inlet, draft tube exit: ≥50 Hz, 0.1% FS</w:t>
      </w:r>
    </w:p>
    <w:p>
      <w:pPr>
        <w:pStyle w:val="ListParagraph"/>
        <w:numPr>
          <w:ilvl w:val="0"/>
          <w:numId w:val="2"/>
        </w:numPr>
        <w:spacing w:before="60" w:after="60" w:line="268"/>
      </w:pPr>
      <w:r>
        <w:rPr>
          <w:rFonts w:ascii="Arial" w:cs="Arial" w:eastAsia="Arial" w:hAnsi="Arial"/>
          <w:sz w:val="22"/>
          <w:szCs w:val="22"/>
        </w:rPr>
        <w:t xml:space="preserve">Flow measurement (Winter–Kennedy differential, index test): 1–5 Hz</w:t>
      </w:r>
    </w:p>
    <w:p>
      <w:pPr>
        <w:pStyle w:val="ListParagraph"/>
        <w:numPr>
          <w:ilvl w:val="0"/>
          <w:numId w:val="2"/>
        </w:numPr>
        <w:spacing w:before="60" w:after="60" w:line="268"/>
      </w:pPr>
      <w:r>
        <w:rPr>
          <w:rFonts w:ascii="Arial" w:cs="Arial" w:eastAsia="Arial" w:hAnsi="Arial"/>
          <w:sz w:val="22"/>
          <w:szCs w:val="22"/>
        </w:rPr>
        <w:t xml:space="preserve">Active and reactive power transducers at generator terminals: ≥60 Hz</w:t>
      </w:r>
    </w:p>
    <w:p>
      <w:pPr>
        <w:pStyle w:val="ListParagraph"/>
        <w:numPr>
          <w:ilvl w:val="0"/>
          <w:numId w:val="2"/>
        </w:numPr>
        <w:spacing w:before="60" w:after="60" w:line="268"/>
      </w:pPr>
      <w:r>
        <w:rPr>
          <w:rFonts w:ascii="Arial" w:cs="Arial" w:eastAsia="Arial" w:hAnsi="Arial"/>
          <w:sz w:val="22"/>
          <w:szCs w:val="22"/>
        </w:rPr>
        <w:t xml:space="preserve">Three-phase terminal voltage and current (PMU grade): 50/60 Hz reporting rate</w:t>
      </w:r>
    </w:p>
    <w:p>
      <w:pPr>
        <w:pStyle w:val="ListParagraph"/>
        <w:numPr>
          <w:ilvl w:val="0"/>
          <w:numId w:val="2"/>
        </w:numPr>
        <w:spacing w:before="60" w:after="60" w:line="268"/>
      </w:pPr>
      <w:r>
        <w:rPr>
          <w:rFonts w:ascii="Arial" w:cs="Arial" w:eastAsia="Arial" w:hAnsi="Arial"/>
          <w:sz w:val="22"/>
          <w:szCs w:val="22"/>
        </w:rPr>
        <w:t xml:space="preserve">Gate position encoder: ≥50 Hz, 0.1% FS</w:t>
      </w:r>
    </w:p>
    <w:p>
      <w:pPr>
        <w:pStyle w:val="ListParagraph"/>
        <w:numPr>
          <w:ilvl w:val="0"/>
          <w:numId w:val="2"/>
        </w:numPr>
        <w:spacing w:before="60" w:after="60" w:line="268"/>
      </w:pPr>
      <w:r>
        <w:rPr>
          <w:rFonts w:ascii="Arial" w:cs="Arial" w:eastAsia="Arial" w:hAnsi="Arial"/>
          <w:sz w:val="22"/>
          <w:szCs w:val="22"/>
        </w:rPr>
        <w:t xml:space="preserve">Reservoir level (bubbler or radar): 0.1 Hz</w:t>
      </w:r>
    </w:p>
    <w:p>
      <w:pPr>
        <w:pStyle w:val="ListParagraph"/>
        <w:numPr>
          <w:ilvl w:val="0"/>
          <w:numId w:val="2"/>
        </w:numPr>
        <w:spacing w:before="60" w:after="60" w:line="268"/>
      </w:pPr>
      <w:r>
        <w:rPr>
          <w:rFonts w:ascii="Arial" w:cs="Arial" w:eastAsia="Arial" w:hAnsi="Arial"/>
          <w:sz w:val="22"/>
          <w:szCs w:val="22"/>
        </w:rPr>
        <w:t xml:space="preserve">Tailwater level: 0.1 Hz</w:t>
      </w:r>
    </w:p>
    <w:p>
      <w:r>
        <w:br w:type="page"/>
      </w:r>
    </w:p>
    <w:p>
      <w:pPr>
        <w:pStyle w:val="Heading1"/>
        <w:spacing w:before="360" w:after="120"/>
      </w:pPr>
      <w:r>
        <w:rPr>
          <w:rFonts w:ascii="Arial" w:cs="Arial" w:eastAsia="Arial" w:hAnsi="Arial"/>
          <w:b/>
          <w:bCs/>
          <w:color w:val="1F497D"/>
          <w:sz w:val="32"/>
          <w:szCs w:val="32"/>
        </w:rPr>
        <w:t xml:space="preserve">9. Control Methods Applied</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Hydropower plant control spans four nested loops operating across four decades of time scale. This section presents classical and modern methods in order of increasing sophistication.</w:t>
      </w:r>
    </w:p>
    <w:p>
      <w:pPr>
        <w:pStyle w:val="Heading2"/>
        <w:spacing w:before="280" w:after="100"/>
      </w:pPr>
      <w:r>
        <w:rPr>
          <w:rFonts w:ascii="Arial" w:cs="Arial" w:eastAsia="Arial" w:hAnsi="Arial"/>
          <w:b/>
          <w:bCs/>
          <w:color w:val="2E75B6"/>
          <w:sz w:val="26"/>
          <w:szCs w:val="26"/>
        </w:rPr>
        <w:t xml:space="preserve">9.1  Classical PID Speed Governor</w:t>
      </w:r>
    </w:p>
    <w:p>
      <w:pPr>
        <w:spacing w:before="80" w:after="100" w:line="276"/>
        <w:ind/>
        <w:jc w:val="both"/>
      </w:pPr>
      <w:r>
        <w:rPr>
          <w:rFonts w:ascii="Arial" w:cs="Arial" w:eastAsia="Arial" w:hAnsi="Arial"/>
          <w:b w:val="false"/>
          <w:bCs w:val="false"/>
          <w:i w:val="false"/>
          <w:iCs w:val="false"/>
          <w:color w:val="000000"/>
          <w:sz w:val="22"/>
          <w:szCs w:val="22"/>
        </w:rPr>
        <w:t xml:space="preserve">The PI governor is the industry standard (IEC 61362, IEEE Std 1207). The discrete-time PI algorithm in incremental form prevents integrator wind-up:</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Δu_k = K_p [ε_k - ε_{k-1}] + K_i T_s ε_k + K_d [ε_k - 2ε_{k-1} + ε_{k-2}] / T_s</w:t>
      </w:r>
      <w:r>
        <w:rPr>
          <w:rFonts w:ascii="Arial" w:cs="Arial" w:eastAsia="Arial" w:hAnsi="Arial"/>
          <w:i/>
          <w:iCs/>
          <w:color w:val="595959"/>
          <w:sz w:val="20"/>
          <w:szCs w:val="20"/>
        </w:rPr>
        <w:t xml:space="preserve">   (2.21)</w:t>
      </w:r>
    </w:p>
    <w:p>
      <w:pPr>
        <w:spacing w:before="80" w:after="100" w:line="276"/>
        <w:ind/>
        <w:jc w:val="both"/>
      </w:pPr>
      <w:r>
        <w:rPr>
          <w:rFonts w:ascii="Arial" w:cs="Arial" w:eastAsia="Arial" w:hAnsi="Arial"/>
          <w:b w:val="false"/>
          <w:bCs w:val="false"/>
          <w:i w:val="false"/>
          <w:iCs w:val="false"/>
          <w:color w:val="000000"/>
          <w:sz w:val="22"/>
          <w:szCs w:val="22"/>
        </w:rPr>
        <w:t xml:space="preserve">The classical Paynter stability chart (T_w / T_m vs Bpτ) provides tuning guidelines for isolated and grid-connected operation. Key design rules:</w:t>
      </w:r>
    </w:p>
    <w:p>
      <w:pPr>
        <w:pStyle w:val="ListParagraph"/>
        <w:numPr>
          <w:ilvl w:val="0"/>
          <w:numId w:val="2"/>
        </w:numPr>
        <w:spacing w:before="60" w:after="60" w:line="268"/>
      </w:pPr>
      <w:r>
        <w:rPr>
          <w:rFonts w:ascii="Arial" w:cs="Arial" w:eastAsia="Arial" w:hAnsi="Arial"/>
          <w:sz w:val="22"/>
          <w:szCs w:val="22"/>
        </w:rPr>
        <w:t xml:space="preserve">Permanent speed droop b_p = 2–5% provides static frequency regulation droop</w:t>
      </w:r>
    </w:p>
    <w:p>
      <w:pPr>
        <w:pStyle w:val="ListParagraph"/>
        <w:numPr>
          <w:ilvl w:val="0"/>
          <w:numId w:val="2"/>
        </w:numPr>
        <w:spacing w:before="60" w:after="60" w:line="268"/>
      </w:pPr>
      <w:r>
        <w:rPr>
          <w:rFonts w:ascii="Arial" w:cs="Arial" w:eastAsia="Arial" w:hAnsi="Arial"/>
          <w:sz w:val="22"/>
          <w:szCs w:val="22"/>
        </w:rPr>
        <w:t xml:space="preserve">Transient droop b_t = 0.3–0.6 provides phase margin against NMP</w:t>
      </w:r>
    </w:p>
    <w:p>
      <w:pPr>
        <w:pStyle w:val="ListParagraph"/>
        <w:numPr>
          <w:ilvl w:val="0"/>
          <w:numId w:val="2"/>
        </w:numPr>
        <w:spacing w:before="60" w:after="60" w:line="268"/>
      </w:pPr>
      <w:r>
        <w:rPr>
          <w:rFonts w:ascii="Arial" w:cs="Arial" w:eastAsia="Arial" w:hAnsi="Arial"/>
          <w:sz w:val="22"/>
          <w:szCs w:val="22"/>
        </w:rPr>
        <w:t xml:space="preserve">Water starting time T_w &lt; 3 s is required for stable PI control with modest integral gain</w:t>
      </w:r>
    </w:p>
    <w:p>
      <w:pPr>
        <w:pStyle w:val="ListParagraph"/>
        <w:numPr>
          <w:ilvl w:val="0"/>
          <w:numId w:val="2"/>
        </w:numPr>
        <w:spacing w:before="60" w:after="60" w:line="268"/>
      </w:pPr>
      <w:r>
        <w:rPr>
          <w:rFonts w:ascii="Arial" w:cs="Arial" w:eastAsia="Arial" w:hAnsi="Arial"/>
          <w:sz w:val="22"/>
          <w:szCs w:val="22"/>
        </w:rPr>
        <w:t xml:space="preserve">Temporary droop reset time T_r = 5–10 T_w</w:t>
      </w:r>
    </w:p>
    <w:p>
      <w:pPr>
        <w:pStyle w:val="Heading2"/>
        <w:spacing w:before="280" w:after="100"/>
      </w:pPr>
      <w:r>
        <w:rPr>
          <w:rFonts w:ascii="Arial" w:cs="Arial" w:eastAsia="Arial" w:hAnsi="Arial"/>
          <w:b/>
          <w:bCs/>
          <w:color w:val="2E75B6"/>
          <w:sz w:val="26"/>
          <w:szCs w:val="26"/>
        </w:rPr>
        <w:t xml:space="preserve">9.2  Gain-Scheduled PID</w:t>
      </w:r>
    </w:p>
    <w:p>
      <w:pPr>
        <w:spacing w:before="80" w:after="100" w:line="276"/>
        <w:ind/>
        <w:jc w:val="both"/>
      </w:pPr>
      <w:r>
        <w:rPr>
          <w:rFonts w:ascii="Arial" w:cs="Arial" w:eastAsia="Arial" w:hAnsi="Arial"/>
          <w:b w:val="false"/>
          <w:bCs w:val="false"/>
          <w:i w:val="false"/>
          <w:iCs w:val="false"/>
          <w:color w:val="000000"/>
          <w:sz w:val="22"/>
          <w:szCs w:val="22"/>
        </w:rPr>
        <w:t xml:space="preserve">The turbine nonlinearity (k_q varies with H^{-0.5}, efficiency depends on operating quadrant) justifies gain scheduling. The controller gains are parameterised as smooth functions of the operating point (H_net, Q):</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K_p(H,Q) = K_p,n / (1 + k_1(√H/√H_n - 1)),   K_i = K_i,n ⋅ (H_n/H)^0.5</w:t>
      </w:r>
      <w:r>
        <w:rPr>
          <w:rFonts w:ascii="Arial" w:cs="Arial" w:eastAsia="Arial" w:hAnsi="Arial"/>
          <w:i/>
          <w:iCs/>
          <w:color w:val="595959"/>
          <w:sz w:val="20"/>
          <w:szCs w:val="20"/>
        </w:rPr>
        <w:t xml:space="preserve">   (2.22)</w:t>
      </w:r>
    </w:p>
    <w:p>
      <w:pPr>
        <w:spacing w:before="80" w:after="100" w:line="276"/>
        <w:ind/>
        <w:jc w:val="both"/>
      </w:pPr>
      <w:r>
        <w:rPr>
          <w:rFonts w:ascii="Arial" w:cs="Arial" w:eastAsia="Arial" w:hAnsi="Arial"/>
          <w:b w:val="false"/>
          <w:bCs w:val="false"/>
          <w:i w:val="false"/>
          <w:iCs w:val="false"/>
          <w:color w:val="000000"/>
          <w:sz w:val="22"/>
          <w:szCs w:val="22"/>
        </w:rPr>
        <w:t xml:space="preserve">Gain tables are generated from a family of linearised models at N×N grid points across the (H, Q) operating space. Bumpless transfer between gain sets requires integrator state tracking.</w:t>
      </w:r>
    </w:p>
    <w:p>
      <w:pPr>
        <w:pStyle w:val="Heading2"/>
        <w:spacing w:before="280" w:after="100"/>
      </w:pPr>
      <w:r>
        <w:rPr>
          <w:rFonts w:ascii="Arial" w:cs="Arial" w:eastAsia="Arial" w:hAnsi="Arial"/>
          <w:b/>
          <w:bCs/>
          <w:color w:val="2E75B6"/>
          <w:sz w:val="26"/>
          <w:szCs w:val="26"/>
        </w:rPr>
        <w:t xml:space="preserve">9.3  H∞ Robust Control</w:t>
      </w:r>
    </w:p>
    <w:p>
      <w:pPr>
        <w:spacing w:before="80" w:after="100" w:line="276"/>
        <w:ind/>
        <w:jc w:val="both"/>
      </w:pPr>
      <w:r>
        <w:rPr>
          <w:rFonts w:ascii="Arial" w:cs="Arial" w:eastAsia="Arial" w:hAnsi="Arial"/>
          <w:b w:val="false"/>
          <w:bCs w:val="false"/>
          <w:i w:val="false"/>
          <w:iCs w:val="false"/>
          <w:color w:val="000000"/>
          <w:sz w:val="22"/>
          <w:szCs w:val="22"/>
        </w:rPr>
        <w:t xml:space="preserve">For plants with large uncertainty in T_w (e.g., variable reservoir head range 3:1), robust H∞ synthesis guarantees closed-loop stability over the entire operating envelope. The mixed sensitivity formulation minimises: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‖[W_1 S; W_2 KS; W_3 T]‖_∞  &lt;  1</w:t>
      </w:r>
      <w:r>
        <w:rPr>
          <w:rFonts w:ascii="Arial" w:cs="Arial" w:eastAsia="Arial" w:hAnsi="Arial"/>
          <w:i/>
          <w:iCs/>
          <w:color w:val="595959"/>
          <w:sz w:val="20"/>
          <w:szCs w:val="20"/>
        </w:rPr>
        <w:t xml:space="preserve">   (H∞ problem)</w:t>
      </w:r>
    </w:p>
    <w:p>
      <w:pPr>
        <w:spacing w:before="80" w:after="100" w:line="276"/>
        <w:ind/>
        <w:jc w:val="both"/>
      </w:pPr>
      <w:r>
        <w:rPr>
          <w:rFonts w:ascii="Arial" w:cs="Arial" w:eastAsia="Arial" w:hAnsi="Arial"/>
          <w:b w:val="false"/>
          <w:bCs w:val="false"/>
          <w:i w:val="false"/>
          <w:iCs w:val="false"/>
          <w:color w:val="000000"/>
          <w:sz w:val="22"/>
          <w:szCs w:val="22"/>
        </w:rPr>
        <w:t xml:space="preserve">where S = (I + GK)⁻¹ is the sensitivity, T = GK(I+GK)⁻¹ the complementary sensitivity, W_1 shapes disturbance rejection, W_2 penalises control effort, and W_3 limits bandwidth. The resulting LTI controller K(s) is typically 6th–10th order and is reduced to 2nd order via balanced truncation before SCADA implementation.</w:t>
      </w:r>
    </w:p>
    <w:p>
      <w:pPr>
        <w:pStyle w:val="Heading2"/>
        <w:spacing w:before="280" w:after="100"/>
      </w:pPr>
      <w:r>
        <w:rPr>
          <w:rFonts w:ascii="Arial" w:cs="Arial" w:eastAsia="Arial" w:hAnsi="Arial"/>
          <w:b/>
          <w:bCs/>
          <w:color w:val="2E75B6"/>
          <w:sz w:val="26"/>
          <w:szCs w:val="26"/>
        </w:rPr>
        <w:t xml:space="preserve">9.4  Model Predictive Control (MPC)</w:t>
      </w:r>
    </w:p>
    <w:p>
      <w:pPr>
        <w:spacing w:before="80" w:after="100" w:line="276"/>
        <w:ind/>
        <w:jc w:val="both"/>
      </w:pPr>
      <w:r>
        <w:rPr>
          <w:rFonts w:ascii="Arial" w:cs="Arial" w:eastAsia="Arial" w:hAnsi="Arial"/>
          <w:b w:val="false"/>
          <w:bCs w:val="false"/>
          <w:i w:val="false"/>
          <w:iCs w:val="false"/>
          <w:color w:val="000000"/>
          <w:sz w:val="22"/>
          <w:szCs w:val="22"/>
        </w:rPr>
        <w:t xml:space="preserve">MPC has gained significant traction for hydropower control because it naturally handles the input constraints (gate limits, rate limits) and output constraints (overspeed, cavitation margin) while simultaneously optimising economic objectives (energy, water use). The standard formulation at each sample k solves:</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min_{G_{k:k+N-1}}  Σ_{j=0}^{N-1} [‖e_j‖²_{Q_w} + ‖ΔG_j‖²_{R_w}]</w:t>
      </w:r>
      <w:r>
        <w:rPr>
          <w:rFonts w:ascii="Arial" w:cs="Arial" w:eastAsia="Arial" w:hAnsi="Arial"/>
          <w:i/>
          <w:iCs/>
          <w:color w:val="595959"/>
          <w:sz w:val="20"/>
          <w:szCs w:val="20"/>
        </w:rPr>
        <w:t xml:space="preserve">   (2.23a)</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subject to:  x_{j+1} = f(x_j, G_j),   G_min ≤ G_j ≤ G_max,   |ΔG_j| ≤ ΔG_max</w:t>
      </w:r>
      <w:r>
        <w:rPr>
          <w:rFonts w:ascii="Arial" w:cs="Arial" w:eastAsia="Arial" w:hAnsi="Arial"/>
          <w:i/>
          <w:iCs/>
          <w:color w:val="595959"/>
          <w:sz w:val="20"/>
          <w:szCs w:val="20"/>
        </w:rPr>
        <w:t xml:space="preserve">   (2.23b)</w:t>
      </w:r>
    </w:p>
    <w:p>
      <w:pPr>
        <w:spacing w:before="80" w:after="100" w:line="276"/>
        <w:ind/>
        <w:jc w:val="both"/>
      </w:pPr>
      <w:r>
        <w:rPr>
          <w:rFonts w:ascii="Arial" w:cs="Arial" w:eastAsia="Arial" w:hAnsi="Arial"/>
          <w:b w:val="false"/>
          <w:bCs w:val="false"/>
          <w:i w:val="false"/>
          <w:iCs w:val="false"/>
          <w:color w:val="000000"/>
          <w:sz w:val="22"/>
          <w:szCs w:val="22"/>
        </w:rPr>
        <w:t xml:space="preserve">The prediction model f is the linearised MTK model at the current operating point. The QP subproblem is solved in &lt;10 ms using OSQP.jl. For nonlinear MPC (NMPC), the full MTK ODE is used as a constraint within CasADi or InfiniteOpt.jl, exploiting automatic differentiation for efficient SQP iterations.</w:t>
      </w:r>
    </w:p>
    <w:p>
      <w:pPr>
        <w:pStyle w:val="Heading2"/>
        <w:spacing w:before="280" w:after="100"/>
      </w:pPr>
      <w:r>
        <w:rPr>
          <w:rFonts w:ascii="Arial" w:cs="Arial" w:eastAsia="Arial" w:hAnsi="Arial"/>
          <w:b/>
          <w:bCs/>
          <w:color w:val="2E75B6"/>
          <w:sz w:val="26"/>
          <w:szCs w:val="26"/>
        </w:rPr>
        <w:t xml:space="preserve">9.5  Linear Quadratic Regulator (LQR) and LQG</w:t>
      </w:r>
    </w:p>
    <w:p>
      <w:pPr>
        <w:spacing w:before="80" w:after="100" w:line="276"/>
        <w:ind/>
        <w:jc w:val="both"/>
      </w:pPr>
      <w:r>
        <w:rPr>
          <w:rFonts w:ascii="Arial" w:cs="Arial" w:eastAsia="Arial" w:hAnsi="Arial"/>
          <w:b w:val="false"/>
          <w:bCs w:val="false"/>
          <w:i w:val="false"/>
          <w:iCs w:val="false"/>
          <w:color w:val="000000"/>
          <w:sz w:val="22"/>
          <w:szCs w:val="22"/>
        </w:rPr>
        <w:t xml:space="preserve">For multivariable control of the coupled (G, E_fd) inputs simultaneously, LQR minimises the infinite-horizon cost:</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J = ∫_0^∞ [xᵀ Q x + uᵀ R u] dt</w:t>
      </w:r>
      <w:r>
        <w:rPr>
          <w:rFonts w:ascii="Arial" w:cs="Arial" w:eastAsia="Arial" w:hAnsi="Arial"/>
          <w:i/>
          <w:iCs/>
          <w:color w:val="595959"/>
          <w:sz w:val="20"/>
          <w:szCs w:val="20"/>
        </w:rPr>
        <w:t xml:space="preserve">   (2.24)</w:t>
      </w:r>
    </w:p>
    <w:p>
      <w:pPr>
        <w:spacing w:before="80" w:after="100" w:line="276"/>
        <w:ind/>
        <w:jc w:val="both"/>
      </w:pPr>
      <w:r>
        <w:rPr>
          <w:rFonts w:ascii="Arial" w:cs="Arial" w:eastAsia="Arial" w:hAnsi="Arial"/>
          <w:b w:val="false"/>
          <w:bCs w:val="false"/>
          <w:i w:val="false"/>
          <w:iCs w:val="false"/>
          <w:color w:val="000000"/>
          <w:sz w:val="22"/>
          <w:szCs w:val="22"/>
        </w:rPr>
        <w:t xml:space="preserve">The stabilising solution is obtained from the algebraic Riccati equation (ARE). In Julia, MatrixEquations.jl provides efficient ARE solvers. LQG (LQR + Kalman filter) is appropriate when not all states are directly measured — typically δ and ψ_f are unmeasurable, requiring state estimation from V_t, I_t, and ω.</w:t>
      </w:r>
    </w:p>
    <w:p>
      <w:pPr>
        <w:pStyle w:val="Heading2"/>
        <w:spacing w:before="280" w:after="100"/>
      </w:pPr>
      <w:r>
        <w:rPr>
          <w:rFonts w:ascii="Arial" w:cs="Arial" w:eastAsia="Arial" w:hAnsi="Arial"/>
          <w:b/>
          <w:bCs/>
          <w:color w:val="2E75B6"/>
          <w:sz w:val="26"/>
          <w:szCs w:val="26"/>
        </w:rPr>
        <w:t xml:space="preserve">9.6  Power System Stabiliser (PSS)</w:t>
      </w:r>
    </w:p>
    <w:p>
      <w:pPr>
        <w:spacing w:before="80" w:after="100" w:line="276"/>
        <w:ind/>
        <w:jc w:val="both"/>
      </w:pPr>
      <w:r>
        <w:rPr>
          <w:rFonts w:ascii="Arial" w:cs="Arial" w:eastAsia="Arial" w:hAnsi="Arial"/>
          <w:b w:val="false"/>
          <w:bCs w:val="false"/>
          <w:i w:val="false"/>
          <w:iCs w:val="false"/>
          <w:color w:val="000000"/>
          <w:sz w:val="22"/>
          <w:szCs w:val="22"/>
        </w:rPr>
        <w:t xml:space="preserve">The PSS damps electromechanical oscillations (typically 0.2–2.5 Hz) that arise from generator–network interactions. The IEEE PSS2A (two-input: Δω and accelerating power P_acc = P_m - P_e) is the contemporary standard:</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V_S(s) = K_{PSS} ⋅ H_W(s) ⋅ [w_1 Δω + (1-w_1) P_acc] ⋅ H_{LL}(s)</w:t>
      </w:r>
      <w:r>
        <w:rPr>
          <w:rFonts w:ascii="Arial" w:cs="Arial" w:eastAsia="Arial" w:hAnsi="Arial"/>
          <w:i/>
          <w:iCs/>
          <w:color w:val="595959"/>
          <w:sz w:val="20"/>
          <w:szCs w:val="20"/>
        </w:rPr>
        <w:t xml:space="preserve">   (2.25)</w:t>
      </w:r>
    </w:p>
    <w:p>
      <w:pPr>
        <w:spacing w:before="80" w:after="100" w:line="276"/>
        <w:ind/>
        <w:jc w:val="both"/>
      </w:pPr>
      <w:r>
        <w:rPr>
          <w:rFonts w:ascii="Arial" w:cs="Arial" w:eastAsia="Arial" w:hAnsi="Arial"/>
          <w:b w:val="false"/>
          <w:bCs w:val="false"/>
          <w:i w:val="false"/>
          <w:iCs w:val="false"/>
          <w:color w:val="000000"/>
          <w:sz w:val="22"/>
          <w:szCs w:val="22"/>
        </w:rPr>
        <w:t xml:space="preserve">where H_W is a wash-out filter and H_LL is a two-stage lead-lag network. PSS tuning is performed on a linearised closed-loop model (eigenvalue placement) or by frequency-domain loop-shaping. The MTK model provides the Jacobian required for eigenvalue analysis via linearize().</w:t>
      </w:r>
    </w:p>
    <w:p>
      <w:pPr>
        <w:pStyle w:val="Heading2"/>
        <w:spacing w:before="280" w:after="100"/>
      </w:pPr>
      <w:r>
        <w:rPr>
          <w:rFonts w:ascii="Arial" w:cs="Arial" w:eastAsia="Arial" w:hAnsi="Arial"/>
          <w:b/>
          <w:bCs/>
          <w:color w:val="2E75B6"/>
          <w:sz w:val="26"/>
          <w:szCs w:val="26"/>
        </w:rPr>
        <w:t xml:space="preserve">9.7  Reinforcement Learning (RL) Control</w:t>
      </w:r>
    </w:p>
    <w:p>
      <w:pPr>
        <w:spacing w:before="80" w:after="100" w:line="276"/>
        <w:ind/>
        <w:jc w:val="both"/>
      </w:pPr>
      <w:r>
        <w:rPr>
          <w:rFonts w:ascii="Arial" w:cs="Arial" w:eastAsia="Arial" w:hAnsi="Arial"/>
          <w:b w:val="false"/>
          <w:bCs w:val="false"/>
          <w:i w:val="false"/>
          <w:iCs w:val="false"/>
          <w:color w:val="000000"/>
          <w:sz w:val="22"/>
          <w:szCs w:val="22"/>
        </w:rPr>
        <w:t xml:space="preserve">Recent work has applied proximal policy optimisation (PPO) and soft actor-critic (SAC) to hydropower governor design, motivated by the ability to handle hard nonlinearities, multi-objective rewards, and constraints without explicit model linearisation. The MTK simulation serves as the environment:</w:t>
      </w:r>
    </w:p>
    <w:p>
      <w:pPr>
        <w:pBdr>
          <w:left w:val="single" w:color="2E75B6" w:sz="12" w:space="8"/>
        </w:pBdr>
        <w:spacing w:before="140" w:after="140"/>
        <w:ind w:left="360" w:right="360"/>
        <w:jc w:val="center"/>
      </w:pPr>
      <w:r>
        <w:rPr>
          <w:rFonts w:ascii="Courier New" w:cs="Courier New" w:eastAsia="Courier New" w:hAnsi="Courier New"/>
          <w:b w:val="false"/>
          <w:bCs w:val="false"/>
          <w:color w:val="1A1A2E"/>
          <w:sz w:val="21"/>
          <w:szCs w:val="21"/>
        </w:rPr>
        <w:t xml:space="preserve">r_t = -|ω_t - ω_ref|^2 - α|ΔG_t|^2 - β max(0, σ_c - σ_t)</w:t>
      </w:r>
      <w:r>
        <w:rPr>
          <w:rFonts w:ascii="Arial" w:cs="Arial" w:eastAsia="Arial" w:hAnsi="Arial"/>
          <w:i/>
          <w:iCs/>
          <w:color w:val="595959"/>
          <w:sz w:val="20"/>
          <w:szCs w:val="20"/>
        </w:rPr>
        <w:t xml:space="preserve">   (reward)</w:t>
      </w:r>
    </w:p>
    <w:p>
      <w:pPr>
        <w:spacing w:before="80" w:after="100" w:line="276"/>
        <w:ind/>
        <w:jc w:val="both"/>
      </w:pPr>
      <w:r>
        <w:rPr>
          <w:rFonts w:ascii="Arial" w:cs="Arial" w:eastAsia="Arial" w:hAnsi="Arial"/>
          <w:b w:val="false"/>
          <w:bCs w:val="false"/>
          <w:i w:val="false"/>
          <w:iCs w:val="false"/>
          <w:color w:val="000000"/>
          <w:sz w:val="22"/>
          <w:szCs w:val="22"/>
        </w:rPr>
        <w:t xml:space="preserve">where the third term penalises cavitation. Training with 10⁵ environment steps (~hours of simulated time) is feasible using the Julia ReinforcementLearning.jl stack. The MTK model’s differentiability also supports policy gradient methods that exploit the environment Jacobian (“mono-shooting” adjoint).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800"/>
        <w:gridCol w:w="1600"/>
        <w:gridCol w:w="1560"/>
      </w:tblGrid>
      <w:tr>
        <w:tc>
          <w:tcPr>
            <w:tcW w:type="dxa" w:w="24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Control Method</w:t>
            </w:r>
          </w:p>
        </w:tc>
        <w:tc>
          <w:tcPr>
            <w:tcW w:type="dxa" w:w="1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Bandwidth [Hz]</w:t>
            </w:r>
          </w:p>
        </w:tc>
        <w:tc>
          <w:tcPr>
            <w:tcW w:type="dxa" w:w="12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MIMO</w:t>
            </w:r>
          </w:p>
        </w:tc>
        <w:tc>
          <w:tcPr>
            <w:tcW w:type="dxa" w:w="18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Constraints</w:t>
            </w:r>
          </w:p>
        </w:tc>
        <w:tc>
          <w:tcPr>
            <w:tcW w:type="dxa" w:w="160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Nonlinear</w:t>
            </w:r>
          </w:p>
        </w:tc>
        <w:tc>
          <w:tcPr>
            <w:tcW w:type="dxa" w:w="1560"/>
            <w:tcBorders>
              <w:top w:val="single" w:color="2E75B6" w:sz="8"/>
              <w:left w:val="single" w:color="2E75B6" w:sz="8"/>
              <w:bottom w:val="single" w:color="2E75B6" w:sz="8"/>
              <w:right w:val="single" w:color="2E75B6" w:sz="8"/>
            </w:tcBorders>
            <w:shd w:fill="D9E2F3" w:val="clear"/>
            <w:tcMar>
              <w:top w:type="dxa" w:w="100"/>
              <w:left w:type="dxa" w:w="120"/>
              <w:bottom w:type="dxa" w:w="100"/>
              <w:right w:type="dxa" w:w="120"/>
            </w:tcMar>
          </w:tcPr>
          <w:p>
            <w:pPr>
              <w:jc w:val="center"/>
            </w:pPr>
            <w:r>
              <w:rPr>
                <w:rFonts w:ascii="Arial" w:cs="Arial" w:eastAsia="Arial" w:hAnsi="Arial"/>
                <w:b/>
                <w:bCs/>
                <w:color w:val="1F497D"/>
                <w:sz w:val="21"/>
                <w:szCs w:val="21"/>
              </w:rPr>
              <w:t xml:space="preserve">Complexity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PI Governor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0.01–0.2</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Manual clipping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Gain-Scheduled PID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0.01–0.3</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Manual</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Partial</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 Robust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0.01–0.5</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Via weighting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MPC (Linear)</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0.01–1.0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Explicit QP</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NMPC</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0.01–1.0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Explicit NLP</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LQR/LQG</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0.01–1.0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Indirect (penalty)</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PSS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0.2–2.5</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RL (SAC/PPO)</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0.1–5.0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Reward shaping</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Very High</w:t>
            </w:r>
          </w:p>
        </w:tc>
      </w:tr>
    </w:tbl>
    <w:p>
      <w:pPr>
        <w:spacing w:before="60" w:after="180"/>
        <w:jc w:val="center"/>
      </w:pPr>
      <w:r>
        <w:rPr>
          <w:rFonts w:ascii="Arial" w:cs="Arial" w:eastAsia="Arial" w:hAnsi="Arial"/>
          <w:i/>
          <w:iCs/>
          <w:color w:val="595959"/>
          <w:sz w:val="19"/>
          <w:szCs w:val="19"/>
        </w:rPr>
        <w:t xml:space="preserve">Table 9.1 — Comparative summary of control methods for hydropower applications.</w:t>
      </w:r>
    </w:p>
    <w:p>
      <w:r>
        <w:br w:type="page"/>
      </w:r>
    </w:p>
    <w:p>
      <w:pPr>
        <w:pStyle w:val="Heading1"/>
        <w:spacing w:before="360" w:after="120"/>
      </w:pPr>
      <w:r>
        <w:rPr>
          <w:rFonts w:ascii="Arial" w:cs="Arial" w:eastAsia="Arial" w:hAnsi="Arial"/>
          <w:b/>
          <w:bCs/>
          <w:color w:val="1F497D"/>
          <w:sz w:val="32"/>
          <w:szCs w:val="32"/>
        </w:rPr>
        <w:t xml:space="preserve">10. Conclusions and Future Work</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This document has developed a comprehensive, first-principles hydropower plant model extending from reservoir free-surface dynamics through penstock water-hammer, Francis turbine hill-chart physics, shaft swing equation, synchronous generator dq-frame representation, AVR excitation, and RL transmission to an infinite bus. The model is implemented in Julia using the ModelingToolkit acausal connector framework, producing a structurally simplified DAE system suitable for stiff ODE integration.</w:t>
      </w:r>
    </w:p>
    <w:p>
      <w:pPr>
        <w:spacing w:before="80" w:after="100" w:line="276"/>
        <w:ind/>
        <w:jc w:val="both"/>
      </w:pPr>
      <w:r>
        <w:rPr>
          <w:rFonts w:ascii="Arial" w:cs="Arial" w:eastAsia="Arial" w:hAnsi="Arial"/>
          <w:b w:val="false"/>
          <w:bCs w:val="false"/>
          <w:i w:val="false"/>
          <w:iCs w:val="false"/>
          <w:color w:val="000000"/>
          <w:sz w:val="22"/>
          <w:szCs w:val="22"/>
        </w:rPr>
        <w:t xml:space="preserve">The 500-second load-step simulation illustrates the multi-domain transient response: the initial electrical power-angle swing (t = 250–252 s), governor response and guide-vane opening (t = 252–270 s), penstock hydraulic settling through the water starting time T_w (t = 270–320 s), and final settling to the new 260 MW steady-state. The non-minimum phase (NMP) character of the turbine–penstock transfer function is identified as the dominant constraint on governor bandwidth, and appropriate derating strategies for PI gain selection are presented.</w:t>
      </w:r>
    </w:p>
    <w:p>
      <w:pPr>
        <w:spacing w:before="80" w:after="100" w:line="276"/>
        <w:ind/>
        <w:jc w:val="both"/>
      </w:pPr>
      <w:r>
        <w:rPr>
          <w:rFonts w:ascii="Arial" w:cs="Arial" w:eastAsia="Arial" w:hAnsi="Arial"/>
          <w:b w:val="false"/>
          <w:bCs w:val="false"/>
          <w:i w:val="false"/>
          <w:iCs w:val="false"/>
          <w:color w:val="000000"/>
          <w:sz w:val="22"/>
          <w:szCs w:val="22"/>
        </w:rPr>
        <w:t xml:space="preserve">Model fitting leverages the SciML adjoint sensitivity framework for efficient gradient computation, enabling Bayesian parameter inference via HMC on full transient datasets. The data catalogue covers civil, mechanical, and electrical domains with explicit accuracy targets necessary for production-grade digital twin deployment.</w:t>
      </w:r>
    </w:p>
    <w:p>
      <w:pPr>
        <w:pStyle w:val="Heading2"/>
        <w:spacing w:before="280" w:after="100"/>
      </w:pPr>
      <w:r>
        <w:rPr>
          <w:rFonts w:ascii="Arial" w:cs="Arial" w:eastAsia="Arial" w:hAnsi="Arial"/>
          <w:b/>
          <w:bCs/>
          <w:color w:val="2E75B6"/>
          <w:sz w:val="26"/>
          <w:szCs w:val="26"/>
        </w:rPr>
        <w:t xml:space="preserve">10.1  Immediate Extensions</w:t>
      </w:r>
    </w:p>
    <w:p>
      <w:pPr>
        <w:pStyle w:val="ListParagraph"/>
        <w:numPr>
          <w:ilvl w:val="0"/>
          <w:numId w:val="2"/>
        </w:numPr>
        <w:spacing w:before="60" w:after="60" w:line="268"/>
      </w:pPr>
      <w:r>
        <w:rPr>
          <w:rFonts w:ascii="Arial" w:cs="Arial" w:eastAsia="Arial" w:hAnsi="Arial"/>
          <w:sz w:val="22"/>
          <w:szCs w:val="22"/>
        </w:rPr>
        <w:t xml:space="preserve">Replace classical generator model with full 6th-order dq0 machine equations</w:t>
      </w:r>
    </w:p>
    <w:p>
      <w:pPr>
        <w:pStyle w:val="ListParagraph"/>
        <w:numPr>
          <w:ilvl w:val="0"/>
          <w:numId w:val="2"/>
        </w:numPr>
        <w:spacing w:before="60" w:after="60" w:line="268"/>
      </w:pPr>
      <w:r>
        <w:rPr>
          <w:rFonts w:ascii="Arial" w:cs="Arial" w:eastAsia="Arial" w:hAnsi="Arial"/>
          <w:sz w:val="22"/>
          <w:szCs w:val="22"/>
        </w:rPr>
        <w:t xml:space="preserve">Implement distributed penstock MoC (N ≥ 20 reaches) for accurate water-hammer simulation above 0.5 Hz</w:t>
      </w:r>
    </w:p>
    <w:p>
      <w:pPr>
        <w:pStyle w:val="ListParagraph"/>
        <w:numPr>
          <w:ilvl w:val="0"/>
          <w:numId w:val="2"/>
        </w:numPr>
        <w:spacing w:before="60" w:after="60" w:line="268"/>
      </w:pPr>
      <w:r>
        <w:rPr>
          <w:rFonts w:ascii="Arial" w:cs="Arial" w:eastAsia="Arial" w:hAnsi="Arial"/>
          <w:sz w:val="22"/>
          <w:szCs w:val="22"/>
        </w:rPr>
        <w:t xml:space="preserve">Add Kaplan double-regulation combinator curve and blade servo dynamics</w:t>
      </w:r>
    </w:p>
    <w:p>
      <w:pPr>
        <w:pStyle w:val="ListParagraph"/>
        <w:numPr>
          <w:ilvl w:val="0"/>
          <w:numId w:val="2"/>
        </w:numPr>
        <w:spacing w:before="60" w:after="60" w:line="268"/>
      </w:pPr>
      <w:r>
        <w:rPr>
          <w:rFonts w:ascii="Arial" w:cs="Arial" w:eastAsia="Arial" w:hAnsi="Arial"/>
          <w:sz w:val="22"/>
          <w:szCs w:val="22"/>
        </w:rPr>
        <w:t xml:space="preserve">Couple reservoir ODE to monthly inflow forecast for long-term scheduling (ModelingToolkit + InfiniteOpt)</w:t>
      </w:r>
    </w:p>
    <w:p>
      <w:pPr>
        <w:pStyle w:val="ListParagraph"/>
        <w:numPr>
          <w:ilvl w:val="0"/>
          <w:numId w:val="2"/>
        </w:numPr>
        <w:spacing w:before="60" w:after="60" w:line="268"/>
      </w:pPr>
      <w:r>
        <w:rPr>
          <w:rFonts w:ascii="Arial" w:cs="Arial" w:eastAsia="Arial" w:hAnsi="Arial"/>
          <w:sz w:val="22"/>
          <w:szCs w:val="22"/>
        </w:rPr>
        <w:t xml:space="preserve">Implement PSS2A and validate against field oscillation measurements</w:t>
      </w:r>
    </w:p>
    <w:p>
      <w:pPr>
        <w:pStyle w:val="Heading2"/>
        <w:spacing w:before="280" w:after="100"/>
      </w:pPr>
      <w:r>
        <w:rPr>
          <w:rFonts w:ascii="Arial" w:cs="Arial" w:eastAsia="Arial" w:hAnsi="Arial"/>
          <w:b/>
          <w:bCs/>
          <w:color w:val="2E75B6"/>
          <w:sz w:val="26"/>
          <w:szCs w:val="26"/>
        </w:rPr>
        <w:t xml:space="preserve">10.2  Research Directions</w:t>
      </w:r>
    </w:p>
    <w:p>
      <w:pPr>
        <w:pStyle w:val="ListParagraph"/>
        <w:numPr>
          <w:ilvl w:val="0"/>
          <w:numId w:val="2"/>
        </w:numPr>
        <w:spacing w:before="60" w:after="60" w:line="268"/>
      </w:pPr>
      <w:r>
        <w:rPr>
          <w:rFonts w:ascii="Arial" w:cs="Arial" w:eastAsia="Arial" w:hAnsi="Arial"/>
          <w:sz w:val="22"/>
          <w:szCs w:val="22"/>
        </w:rPr>
        <w:t xml:space="preserve">Physics-informed neural networks (PINNs) as surrogate turbine hill-chart models in MTK via NeuralODE</w:t>
      </w:r>
    </w:p>
    <w:p>
      <w:pPr>
        <w:pStyle w:val="ListParagraph"/>
        <w:numPr>
          <w:ilvl w:val="0"/>
          <w:numId w:val="2"/>
        </w:numPr>
        <w:spacing w:before="60" w:after="60" w:line="268"/>
      </w:pPr>
      <w:r>
        <w:rPr>
          <w:rFonts w:ascii="Arial" w:cs="Arial" w:eastAsia="Arial" w:hAnsi="Arial"/>
          <w:sz w:val="22"/>
          <w:szCs w:val="22"/>
        </w:rPr>
        <w:t xml:space="preserve">Stochastic MPC with chance constraints on cavitation margin under uncertain inflow</w:t>
      </w:r>
    </w:p>
    <w:p>
      <w:pPr>
        <w:pStyle w:val="ListParagraph"/>
        <w:numPr>
          <w:ilvl w:val="0"/>
          <w:numId w:val="2"/>
        </w:numPr>
        <w:spacing w:before="60" w:after="60" w:line="268"/>
      </w:pPr>
      <w:r>
        <w:rPr>
          <w:rFonts w:ascii="Arial" w:cs="Arial" w:eastAsia="Arial" w:hAnsi="Arial"/>
          <w:sz w:val="22"/>
          <w:szCs w:val="22"/>
        </w:rPr>
        <w:t xml:space="preserve">Multi-unit coordination across a cascade (river-chain) using distributed MPC</w:t>
      </w:r>
    </w:p>
    <w:p>
      <w:pPr>
        <w:pStyle w:val="ListParagraph"/>
        <w:numPr>
          <w:ilvl w:val="0"/>
          <w:numId w:val="2"/>
        </w:numPr>
        <w:spacing w:before="60" w:after="60" w:line="268"/>
      </w:pPr>
      <w:r>
        <w:rPr>
          <w:rFonts w:ascii="Arial" w:cs="Arial" w:eastAsia="Arial" w:hAnsi="Arial"/>
          <w:sz w:val="22"/>
          <w:szCs w:val="22"/>
        </w:rPr>
        <w:t xml:space="preserve">Grey-box identification of penstock wave speed a(T, entrapped air) from online SCADA data</w:t>
      </w:r>
    </w:p>
    <w:p>
      <w:pPr>
        <w:pStyle w:val="ListParagraph"/>
        <w:numPr>
          <w:ilvl w:val="0"/>
          <w:numId w:val="2"/>
        </w:numPr>
        <w:spacing w:before="60" w:after="60" w:line="268"/>
      </w:pPr>
      <w:r>
        <w:rPr>
          <w:rFonts w:ascii="Arial" w:cs="Arial" w:eastAsia="Arial" w:hAnsi="Arial"/>
          <w:sz w:val="22"/>
          <w:szCs w:val="22"/>
        </w:rPr>
        <w:t xml:space="preserve">Hardware-in-the-loop (HIL) testing: MTK model compiled to real-time target via ModelingToolkit C code generation</w:t>
      </w:r>
    </w:p>
    <w:p>
      <w:r>
        <w:t xml:space="preserve"/>
      </w:r>
    </w:p>
    <w:p>
      <w:r>
        <w:br w:type="page"/>
      </w:r>
    </w:p>
    <w:p>
      <w:pPr>
        <w:pStyle w:val="Heading1"/>
        <w:spacing w:before="360" w:after="120"/>
      </w:pPr>
      <w:r>
        <w:rPr>
          <w:rFonts w:ascii="Arial" w:cs="Arial" w:eastAsia="Arial" w:hAnsi="Arial"/>
          <w:b/>
          <w:bCs/>
          <w:color w:val="1F497D"/>
          <w:sz w:val="32"/>
          <w:szCs w:val="32"/>
        </w:rPr>
        <w:t xml:space="preserve">References</w:t>
      </w:r>
    </w:p>
    <w:p>
      <w:pPr>
        <w:pBdr>
          <w:bottom w:val="single" w:color="2E75B6" w:sz="6" w:space="4"/>
        </w:pBdr>
        <w:spacing w:before="0" w:after="120"/>
      </w:pPr>
    </w:p>
    <w:p>
      <w:pPr>
        <w:spacing w:before="80" w:after="100" w:line="276"/>
        <w:ind/>
        <w:jc w:val="both"/>
      </w:pPr>
      <w:r>
        <w:rPr>
          <w:rFonts w:ascii="Arial" w:cs="Arial" w:eastAsia="Arial" w:hAnsi="Arial"/>
          <w:b w:val="false"/>
          <w:bCs w:val="false"/>
          <w:i w:val="false"/>
          <w:iCs w:val="false"/>
          <w:color w:val="000000"/>
          <w:sz w:val="22"/>
          <w:szCs w:val="22"/>
        </w:rPr>
        <w:t xml:space="preserve">[1] Kundur, P. (1994). Power System Stability and Control. McGraw-Hill, New York.</w:t>
      </w:r>
    </w:p>
    <w:p>
      <w:pPr>
        <w:spacing w:before="80" w:after="100" w:line="276"/>
        <w:ind/>
        <w:jc w:val="both"/>
      </w:pPr>
      <w:r>
        <w:rPr>
          <w:rFonts w:ascii="Arial" w:cs="Arial" w:eastAsia="Arial" w:hAnsi="Arial"/>
          <w:b w:val="false"/>
          <w:bCs w:val="false"/>
          <w:i w:val="false"/>
          <w:iCs w:val="false"/>
          <w:color w:val="000000"/>
          <w:sz w:val="22"/>
          <w:szCs w:val="22"/>
        </w:rPr>
        <w:t xml:space="preserve">[2] Vournas, C.D., &amp; Papaioannou, G. (1995). Modelling and stability of a hydro plant with two surge tanks. IEEE Trans. Energy Conv., 10(2), 368–375.</w:t>
      </w:r>
    </w:p>
    <w:p>
      <w:pPr>
        <w:spacing w:before="80" w:after="100" w:line="276"/>
        <w:ind/>
        <w:jc w:val="both"/>
      </w:pPr>
      <w:r>
        <w:rPr>
          <w:rFonts w:ascii="Arial" w:cs="Arial" w:eastAsia="Arial" w:hAnsi="Arial"/>
          <w:b w:val="false"/>
          <w:bCs w:val="false"/>
          <w:i w:val="false"/>
          <w:iCs w:val="false"/>
          <w:color w:val="000000"/>
          <w:sz w:val="22"/>
          <w:szCs w:val="22"/>
        </w:rPr>
        <w:t xml:space="preserve">[3] IEEE Std 1207-2011. Guide for the Application of Turbine Governing Systems for Hydroelectric Generating Units. IEEE Power &amp; Energy Society.</w:t>
      </w:r>
    </w:p>
    <w:p>
      <w:pPr>
        <w:spacing w:before="80" w:after="100" w:line="276"/>
        <w:ind/>
        <w:jc w:val="both"/>
      </w:pPr>
      <w:r>
        <w:rPr>
          <w:rFonts w:ascii="Arial" w:cs="Arial" w:eastAsia="Arial" w:hAnsi="Arial"/>
          <w:b w:val="false"/>
          <w:bCs w:val="false"/>
          <w:i w:val="false"/>
          <w:iCs w:val="false"/>
          <w:color w:val="000000"/>
          <w:sz w:val="22"/>
          <w:szCs w:val="22"/>
        </w:rPr>
        <w:t xml:space="preserve">[4] IEC 61362:2012. Guide to Specification of Hydraulic Turbine Control Systems. International Electrotechnical Commission.</w:t>
      </w:r>
    </w:p>
    <w:p>
      <w:pPr>
        <w:spacing w:before="80" w:after="100" w:line="276"/>
        <w:ind/>
        <w:jc w:val="both"/>
      </w:pPr>
      <w:r>
        <w:rPr>
          <w:rFonts w:ascii="Arial" w:cs="Arial" w:eastAsia="Arial" w:hAnsi="Arial"/>
          <w:b w:val="false"/>
          <w:bCs w:val="false"/>
          <w:i w:val="false"/>
          <w:iCs w:val="false"/>
          <w:color w:val="000000"/>
          <w:sz w:val="22"/>
          <w:szCs w:val="22"/>
        </w:rPr>
        <w:t xml:space="preserve">[5] Rackauckas, C. et al. (2020). Universal Differential Equations for Scientific Machine Learning. arXiv:2001.04385.</w:t>
      </w:r>
    </w:p>
    <w:p>
      <w:pPr>
        <w:spacing w:before="80" w:after="100" w:line="276"/>
        <w:ind/>
        <w:jc w:val="both"/>
      </w:pPr>
      <w:r>
        <w:rPr>
          <w:rFonts w:ascii="Arial" w:cs="Arial" w:eastAsia="Arial" w:hAnsi="Arial"/>
          <w:b w:val="false"/>
          <w:bCs w:val="false"/>
          <w:i w:val="false"/>
          <w:iCs w:val="false"/>
          <w:color w:val="000000"/>
          <w:sz w:val="22"/>
          <w:szCs w:val="22"/>
        </w:rPr>
        <w:t xml:space="preserve">[6] Ma, Y. et al. (2021). ModelingToolkit: A Composable Graph Transformation System for Equation-Based Modeling. arXiv:2103.05244.</w:t>
      </w:r>
    </w:p>
    <w:p>
      <w:pPr>
        <w:spacing w:before="80" w:after="100" w:line="276"/>
        <w:ind/>
        <w:jc w:val="both"/>
      </w:pPr>
      <w:r>
        <w:rPr>
          <w:rFonts w:ascii="Arial" w:cs="Arial" w:eastAsia="Arial" w:hAnsi="Arial"/>
          <w:b w:val="false"/>
          <w:bCs w:val="false"/>
          <w:i w:val="false"/>
          <w:iCs w:val="false"/>
          <w:color w:val="000000"/>
          <w:sz w:val="22"/>
          <w:szCs w:val="22"/>
        </w:rPr>
        <w:t xml:space="preserve">[7] De Jaeger, E., Janssens, N., &amp; Wehenkel, L. (1994). Hydro turbine model for system dynamic studies. IEEE Trans. Power Syst., 9(4), 1709–1715.</w:t>
      </w:r>
    </w:p>
    <w:p>
      <w:pPr>
        <w:spacing w:before="80" w:after="100" w:line="276"/>
        <w:ind/>
        <w:jc w:val="both"/>
      </w:pPr>
      <w:r>
        <w:rPr>
          <w:rFonts w:ascii="Arial" w:cs="Arial" w:eastAsia="Arial" w:hAnsi="Arial"/>
          <w:b w:val="false"/>
          <w:bCs w:val="false"/>
          <w:i w:val="false"/>
          <w:iCs w:val="false"/>
          <w:color w:val="000000"/>
          <w:sz w:val="22"/>
          <w:szCs w:val="22"/>
        </w:rPr>
        <w:t xml:space="preserve">[8] Paynter, H.M. (1955). Surge and Water Hammer Problems. ASCE Trans., 79, 1225–1302.</w:t>
      </w:r>
    </w:p>
    <w:p>
      <w:pPr>
        <w:spacing w:before="80" w:after="100" w:line="276"/>
        <w:ind/>
        <w:jc w:val="both"/>
      </w:pPr>
      <w:r>
        <w:rPr>
          <w:rFonts w:ascii="Arial" w:cs="Arial" w:eastAsia="Arial" w:hAnsi="Arial"/>
          <w:b w:val="false"/>
          <w:bCs w:val="false"/>
          <w:i w:val="false"/>
          <w:iCs w:val="false"/>
          <w:color w:val="000000"/>
          <w:sz w:val="22"/>
          <w:szCs w:val="22"/>
        </w:rPr>
        <w:t xml:space="preserve">[9] Anderson, P.M., &amp; Fouad, A.A. (2003). Power System Control and Stability (2nd ed.). IEEE Press.</w:t>
      </w:r>
    </w:p>
    <w:p>
      <w:pPr>
        <w:spacing w:before="80" w:after="100" w:line="276"/>
        <w:ind/>
        <w:jc w:val="both"/>
      </w:pPr>
      <w:r>
        <w:rPr>
          <w:rFonts w:ascii="Arial" w:cs="Arial" w:eastAsia="Arial" w:hAnsi="Arial"/>
          <w:b w:val="false"/>
          <w:bCs w:val="false"/>
          <w:i w:val="false"/>
          <w:iCs w:val="false"/>
          <w:color w:val="000000"/>
          <w:sz w:val="22"/>
          <w:szCs w:val="22"/>
        </w:rPr>
        <w:t xml:space="preserve">[10] Ramos, H.M. et al. (2022). Digital Twin for Hydropower Plants: A Review of Modelling and Simulation Approaches. Energies, 15(18), 6768.</w:t>
      </w:r>
    </w:p>
    <w:p>
      <w:pPr>
        <w:spacing w:before="80" w:after="100" w:line="276"/>
        <w:ind/>
        <w:jc w:val="both"/>
      </w:pPr>
      <w:r>
        <w:rPr>
          <w:rFonts w:ascii="Arial" w:cs="Arial" w:eastAsia="Arial" w:hAnsi="Arial"/>
          <w:b w:val="false"/>
          <w:bCs w:val="false"/>
          <w:i w:val="false"/>
          <w:iCs w:val="false"/>
          <w:color w:val="000000"/>
          <w:sz w:val="22"/>
          <w:szCs w:val="22"/>
        </w:rPr>
        <w:t xml:space="preserve">[11] Makarov, Y.V. et al. (2008). Wide-Area Measurement-Based Estimation of Governor Model Parameters for Hydroelectric Units. IEEE Trans. Power Syst., 23(4), 1610–1618.</w:t>
      </w:r>
    </w:p>
    <w:p>
      <w:pPr>
        <w:spacing w:before="80" w:after="100" w:line="276"/>
        <w:ind/>
        <w:jc w:val="both"/>
      </w:pPr>
      <w:r>
        <w:rPr>
          <w:rFonts w:ascii="Arial" w:cs="Arial" w:eastAsia="Arial" w:hAnsi="Arial"/>
          <w:b w:val="false"/>
          <w:bCs w:val="false"/>
          <w:i w:val="false"/>
          <w:iCs w:val="false"/>
          <w:color w:val="000000"/>
          <w:sz w:val="22"/>
          <w:szCs w:val="22"/>
        </w:rPr>
        <w:t xml:space="preserve">[12] Nagode, K., &amp; Skrjanc, I. (2014). Modelling and Internal Model Control of a Hydroelectric Power Plant. IEEE Trans. Ind. Electron., 61(8), 4297–4305.</w:t>
      </w:r>
    </w:p>
    <w:p>
      <w:pPr>
        <w:spacing w:before="80" w:after="100" w:line="276"/>
        <w:ind/>
        <w:jc w:val="both"/>
      </w:pPr>
      <w:r>
        <w:rPr>
          <w:rFonts w:ascii="Arial" w:cs="Arial" w:eastAsia="Arial" w:hAnsi="Arial"/>
          <w:b w:val="false"/>
          <w:bCs w:val="false"/>
          <w:i w:val="false"/>
          <w:iCs w:val="false"/>
          <w:color w:val="000000"/>
          <w:sz w:val="22"/>
          <w:szCs w:val="22"/>
        </w:rPr>
        <w:t xml:space="preserve">[13] Beus, M., &amp; Pandźic, H. (2020). Application of an Adaptive Model Predictive Control Algorithm on the Pelton Turbine Governor Control. IET Renew. Power Gener., 14(10), 1720–1728.</w:t>
      </w:r>
    </w:p>
    <w:p>
      <w:pPr>
        <w:spacing w:before="80" w:after="100" w:line="276"/>
        <w:ind/>
        <w:jc w:val="both"/>
      </w:pPr>
      <w:r>
        <w:rPr>
          <w:rFonts w:ascii="Arial" w:cs="Arial" w:eastAsia="Arial" w:hAnsi="Arial"/>
          <w:b w:val="false"/>
          <w:bCs w:val="false"/>
          <w:i w:val="false"/>
          <w:iCs w:val="false"/>
          <w:color w:val="000000"/>
          <w:sz w:val="22"/>
          <w:szCs w:val="22"/>
        </w:rPr>
        <w:t xml:space="preserve">[14] Wang, X. et al. (2023). Reinforcement Learning-Based Governor Tuning for Hydropower Plants with Variable Head. IEEE Trans. Energy Conv., 38(3), 1792–1803.</w:t>
      </w:r>
    </w:p>
    <w:p>
      <w:pPr>
        <w:spacing w:before="80" w:after="100" w:line="276"/>
        <w:ind/>
        <w:jc w:val="both"/>
      </w:pPr>
      <w:r>
        <w:rPr>
          <w:rFonts w:ascii="Arial" w:cs="Arial" w:eastAsia="Arial" w:hAnsi="Arial"/>
          <w:b w:val="false"/>
          <w:bCs w:val="false"/>
          <w:i w:val="false"/>
          <w:iCs w:val="false"/>
          <w:color w:val="000000"/>
          <w:sz w:val="22"/>
          <w:szCs w:val="22"/>
        </w:rPr>
        <w:t xml:space="preserve">[15] Margolis, D.L. (1982). Bond Graph Models for Fluid Mechanics. J. Franklin Inst., 313(4), 235–254.</w:t>
      </w:r>
    </w:p>
    <w:p>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i/>
        <w:iCs/>
        <w:color w:val="595959"/>
        <w:sz w:val="18"/>
        <w:szCs w:val="18"/>
      </w:rPr>
      <w:t xml:space="preserve">Hydropower Plant Modelling, Simulation &amp; Control   |   ModelingToolkit.jl / Julia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2026-03-01T08:50:41.076Z</dcterms:created>
  <dcterms:modified xsi:type="dcterms:W3CDTF">2026-03-01T08:50:41.078Z</dcterms:modified>
</cp:coreProperties>
</file>

<file path=docProps/custom.xml><?xml version="1.0" encoding="utf-8"?>
<Properties xmlns="http://schemas.openxmlformats.org/officeDocument/2006/custom-properties" xmlns:vt="http://schemas.openxmlformats.org/officeDocument/2006/docPropsVTypes"/>
</file>