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A1A1A"/>
          <w:sz w:val="48"/>
        </w:rPr>
        <w:t>Distributor Portal Rebuild</w:t>
      </w:r>
    </w:p>
    <w:p>
      <w:pPr>
        <w:spacing w:after="40"/>
      </w:pPr>
      <w:r>
        <w:rPr>
          <w:color w:val="1F6FEB"/>
          <w:sz w:val="26"/>
        </w:rPr>
        <w:t>Structured Requirements Summary</w:t>
      </w:r>
    </w:p>
    <w:p>
      <w:pPr>
        <w:spacing w:after="400"/>
      </w:pPr>
      <w:r>
        <w:rPr>
          <w:i/>
          <w:color w:val="555A64"/>
          <w:sz w:val="19"/>
        </w:rPr>
        <w:t>Prepared from client call notes and follow-up email  |  Draft for client review</w:t>
      </w:r>
    </w:p>
    <w:p>
      <w:pPr>
        <w:spacing w:before="360" w:after="160"/>
      </w:pPr>
      <w:r>
        <w:rPr>
          <w:b/>
          <w:color w:val="1A1A1A"/>
          <w:sz w:val="40"/>
        </w:rPr>
        <w:t>Executive Summary</w:t>
      </w:r>
    </w:p>
    <w:p>
      <w:pPr>
        <w:spacing w:after="120"/>
      </w:pPr>
      <w:r>
        <w:rPr>
          <w:i w:val="0"/>
          <w:color w:val="1A1A1A"/>
          <w:sz w:val="22"/>
        </w:rPr>
        <w:t>The client's distributor portal is no longer meeting operational needs: distributors report slow, confusing performance and are increasingly bypassing the portal to email the ops team directly. This document summarizes the requirements gathered from a recent client call and follow-up correspondence, organized by functional area, along with the open questions that need client clarification before scoping and estimation can be finalized. Two issues carry elevated urgency: a $40,000 order that was mistakenly auto-confirmed earlier this year (driving the approval-step requirement), and a missing audit trail that Legal has flagged as an outstanding risk. Leadership has targeted “something live before Q4,” but whether that means the full rebuild or a first phase depends on budget approval that is still pending.</w:t>
      </w:r>
    </w:p>
    <w:p>
      <w:pPr>
        <w:spacing w:before="360" w:after="160"/>
      </w:pPr>
      <w:r>
        <w:rPr>
          <w:b/>
          <w:color w:val="1A1A1A"/>
          <w:sz w:val="40"/>
        </w:rPr>
        <w:t>Functional Requirements</w:t>
      </w:r>
    </w:p>
    <w:p>
      <w:pPr>
        <w:spacing w:before="360" w:after="160"/>
      </w:pPr>
      <w:r>
        <w:rPr>
          <w:b/>
          <w:color w:val="1F6FEB"/>
          <w:sz w:val="30"/>
        </w:rPr>
        <w:t>1. Order Management</w:t>
      </w:r>
    </w:p>
    <w:p>
      <w:pPr>
        <w:pStyle w:val="ListNumber"/>
      </w:pPr>
      <w:r>
        <w:t>Real-time order status — replace the current “updated every few hours” refresh with true real-time status. Identified as the #1 complaint in the client's last distributor survey.</w:t>
      </w:r>
    </w:p>
    <w:p>
      <w:pPr>
        <w:pStyle w:val="ListNumber"/>
      </w:pPr>
      <w:r>
        <w:t>Bulk order upload via CSV — allow distributors to submit bulk orders through a CSV upload rather than one at a time.</w:t>
      </w:r>
    </w:p>
    <w:p>
      <w:pPr>
        <w:pStyle w:val="ListNumber"/>
      </w:pPr>
      <w:r>
        <w:t>Order approval step — introduce a confirmation/approval step before an order is finalized. Currently any logged-in user can submit an order that goes straight through, which has caused two incidents this year, including one $40,000 order that should not have been confirmed.</w:t>
      </w:r>
    </w:p>
    <w:p>
      <w:pPr>
        <w:pStyle w:val="ListNumber"/>
      </w:pPr>
      <w:r>
        <w:t>Order status change notifications — notify distributors by email when their order status changes, to reduce inbound “is my order shipped yet” calls.</w:t>
      </w:r>
    </w:p>
    <w:p>
      <w:pPr>
        <w:spacing w:before="360" w:after="160"/>
      </w:pPr>
      <w:r>
        <w:rPr>
          <w:b/>
          <w:color w:val="1F6FEB"/>
          <w:sz w:val="30"/>
        </w:rPr>
        <w:t>2. Account &amp; Access</w:t>
      </w:r>
    </w:p>
    <w:p>
      <w:pPr>
        <w:pStyle w:val="ListNumber"/>
      </w:pPr>
      <w:r>
        <w:t>Single sign-on (SSO) via Okta — reduce password-related support burden by integrating with the client's existing Okta identity provider.</w:t>
      </w:r>
    </w:p>
    <w:p>
      <w:pPr>
        <w:pStyle w:val="ListNumber"/>
      </w:pPr>
      <w:r>
        <w:t>API access for distributor systems — provide select distributors (named so far: Hendricks Supply, Maren Foods) with API access to pull order data directly into their own systems, as an alternative to the portal UI.</w:t>
      </w:r>
    </w:p>
    <w:p>
      <w:pPr>
        <w:spacing w:before="360" w:after="160"/>
      </w:pPr>
      <w:r>
        <w:rPr>
          <w:b/>
          <w:color w:val="1F6FEB"/>
          <w:sz w:val="30"/>
        </w:rPr>
        <w:t>3. Performance &amp; Reliability</w:t>
      </w:r>
    </w:p>
    <w:p>
      <w:pPr>
        <w:pStyle w:val="ListNumber"/>
      </w:pPr>
      <w:r>
        <w:t>Search performance at scale — fix order search, which currently degrades once a distributor has more than a few thousand historical orders. The solution must hold up reliably past 10,000+ records in production, not just in testing.</w:t>
      </w:r>
    </w:p>
    <w:p>
      <w:pPr>
        <w:spacing w:before="360" w:after="160"/>
      </w:pPr>
      <w:r>
        <w:rPr>
          <w:b/>
          <w:color w:val="1F6FEB"/>
          <w:sz w:val="30"/>
        </w:rPr>
        <w:t>4. Usability</w:t>
      </w:r>
    </w:p>
    <w:p>
      <w:pPr>
        <w:pStyle w:val="ListNumber"/>
      </w:pPr>
      <w:r>
        <w:t>Mobile usability — make the portal usable on mobile devices; several distributors have raised this, though actual mobile need vs. general dissatisfaction is unconfirmed.</w:t>
      </w:r>
    </w:p>
    <w:p>
      <w:pPr>
        <w:spacing w:before="360" w:after="160"/>
      </w:pPr>
      <w:r>
        <w:rPr>
          <w:b/>
          <w:color w:val="1F6FEB"/>
          <w:sz w:val="30"/>
        </w:rPr>
        <w:t>5. Compliance &amp; Governance</w:t>
      </w:r>
    </w:p>
    <w:p>
      <w:pPr>
        <w:pStyle w:val="ListNumber"/>
      </w:pPr>
      <w:r>
        <w:t>Audit trail — record who modified or cancelled an order, and when. No audit trail exists today; Legal has previously flagged this gap.</w:t>
      </w:r>
    </w:p>
    <w:p>
      <w:pPr>
        <w:spacing w:before="360" w:after="160"/>
      </w:pPr>
      <w:r>
        <w:rPr>
          <w:b/>
          <w:color w:val="1F6FEB"/>
          <w:sz w:val="30"/>
        </w:rPr>
        <w:t>6. Unchanged / Out of Scope for Rework</w:t>
      </w:r>
    </w:p>
    <w:p>
      <w:pPr>
        <w:pStyle w:val="ListNumber"/>
      </w:pPr>
      <w:r>
        <w:t>Invoice download — keep the existing functionality as-is; no changes requested.</w:t>
      </w:r>
    </w:p>
    <w:p>
      <w:pPr>
        <w:spacing w:before="360" w:after="160"/>
      </w:pPr>
      <w:r>
        <w:rPr>
          <w:b/>
          <w:color w:val="1A1A1A"/>
          <w:sz w:val="40"/>
        </w:rPr>
        <w:t>Open Questions for Client Clarification</w:t>
      </w:r>
    </w:p>
    <w:p>
      <w:pPr>
        <w:pStyle w:val="ListBullet"/>
      </w:pPr>
      <w:r>
        <w:t>Is bulk CSV order upload required for phase 1, or can it be deferred to a later phase?</w:t>
      </w:r>
    </w:p>
    <w:p>
      <w:pPr>
        <w:pStyle w:val="ListBullet"/>
      </w:pPr>
      <w:r>
        <w:t>Is SSO/Okta integration in scope for this round, or a later phase — pending budget confirmation?</w:t>
      </w:r>
    </w:p>
    <w:p>
      <w:pPr>
        <w:pStyle w:val="ListBullet"/>
      </w:pPr>
      <w:r>
        <w:t>Is API access for distributors part of this project, or a separate, later initiative?</w:t>
      </w:r>
    </w:p>
    <w:p>
      <w:pPr>
        <w:pStyle w:val="ListBullet"/>
      </w:pPr>
      <w:r>
        <w:t>How many distributors actually require mobile access, versus simply preferring the portal not look outdated on a phone? This affects whether mobile is a launch requirement or a fast-follow.</w:t>
      </w:r>
    </w:p>
    <w:p>
      <w:pPr>
        <w:pStyle w:val="ListBullet"/>
      </w:pPr>
      <w:r>
        <w:t>Does “live before Q4” refer to the full rebuild, or an initial phase covering only the highest-priority items (real-time status, approval step, search fix)?</w:t>
      </w:r>
    </w:p>
    <w:p>
      <w:pPr>
        <w:pStyle w:val="ListBullet"/>
      </w:pPr>
      <w:r>
        <w:t>What is the confirmed budget envelope, and does it cover SSO, API access, and mobile, or only the core rebuild items?</w:t>
      </w:r>
    </w:p>
    <w:p>
      <w:pPr>
        <w:spacing w:before="360" w:after="160"/>
      </w:pPr>
      <w:r>
        <w:rPr>
          <w:b/>
          <w:color w:val="1A1A1A"/>
          <w:sz w:val="40"/>
        </w:rPr>
        <w:t>Rough Timeline Estimate</w:t>
      </w:r>
    </w:p>
    <w:p>
      <w:pPr>
        <w:spacing w:after="200"/>
      </w:pPr>
      <w:r>
        <w:rPr>
          <w:i/>
          <w:color w:val="555A64"/>
          <w:sz w:val="20"/>
        </w:rPr>
        <w:t>Estimates assume a single delivery team and are indicative only, pending scope confirmation on the open questions above.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6FEB"/>
          </w:tcPr>
          <w:p>
            <w:r/>
            <w:r>
              <w:rPr>
                <w:b/>
                <w:color w:val="FFFFFF"/>
                <w:sz w:val="21"/>
              </w:rPr>
              <w:t>Phase</w:t>
            </w:r>
          </w:p>
        </w:tc>
        <w:tc>
          <w:tcPr>
            <w:tcW w:type="dxa" w:w="3120"/>
            <w:shd w:val="clear" w:fill="1F6FEB"/>
          </w:tcPr>
          <w:p>
            <w:r/>
            <w:r>
              <w:rPr>
                <w:b/>
                <w:color w:val="FFFFFF"/>
                <w:sz w:val="21"/>
              </w:rPr>
              <w:t>Scope</w:t>
            </w:r>
          </w:p>
        </w:tc>
        <w:tc>
          <w:tcPr>
            <w:tcW w:type="dxa" w:w="3120"/>
            <w:shd w:val="clear" w:fill="1F6FEB"/>
          </w:tcPr>
          <w:p>
            <w:r/>
            <w:r>
              <w:rPr>
                <w:b/>
                <w:color w:val="FFFFFF"/>
                <w:sz w:val="21"/>
              </w:rPr>
              <w:t>Rough Duration</w:t>
            </w:r>
          </w:p>
        </w:tc>
      </w:tr>
      <w:tr>
        <w:tc>
          <w:tcPr>
            <w:tcW w:type="dxa" w:w="3120"/>
            <w:shd w:val="clear" w:fill="F4F7FB"/>
          </w:tcPr>
          <w:p>
            <w:r/>
            <w:r>
              <w:rPr>
                <w:color w:val="1A1A1A"/>
                <w:sz w:val="21"/>
              </w:rPr>
              <w:t>Phase 1 — Core rebuild</w:t>
            </w:r>
          </w:p>
        </w:tc>
        <w:tc>
          <w:tcPr>
            <w:tcW w:type="dxa" w:w="3120"/>
            <w:shd w:val="clear" w:fill="F4F7FB"/>
          </w:tcPr>
          <w:p>
            <w:r/>
            <w:r>
              <w:rPr>
                <w:color w:val="1A1A1A"/>
                <w:sz w:val="21"/>
              </w:rPr>
              <w:t>Real-time order status, approval step, search fix at scale, audit trail, status-change notifications</w:t>
            </w:r>
          </w:p>
        </w:tc>
        <w:tc>
          <w:tcPr>
            <w:tcW w:type="dxa" w:w="3120"/>
            <w:shd w:val="clear" w:fill="F4F7FB"/>
          </w:tcPr>
          <w:p>
            <w:r/>
            <w:r>
              <w:rPr>
                <w:color w:val="1A1A1A"/>
                <w:sz w:val="21"/>
              </w:rPr>
              <w:t>8–10 weeks</w:t>
            </w:r>
          </w:p>
        </w:tc>
      </w:tr>
      <w:tr>
        <w:tc>
          <w:tcPr>
            <w:tcW w:type="dxa" w:w="3120"/>
            <w:shd w:val="clear" w:fill="FFFFFF"/>
          </w:tcPr>
          <w:p>
            <w:r/>
            <w:r>
              <w:rPr>
                <w:color w:val="1A1A1A"/>
                <w:sz w:val="21"/>
              </w:rPr>
              <w:t>Phase 2 — Access &amp; integration</w:t>
            </w:r>
          </w:p>
        </w:tc>
        <w:tc>
          <w:tcPr>
            <w:tcW w:type="dxa" w:w="3120"/>
            <w:shd w:val="clear" w:fill="FFFFFF"/>
          </w:tcPr>
          <w:p>
            <w:r/>
            <w:r>
              <w:rPr>
                <w:color w:val="1A1A1A"/>
                <w:sz w:val="21"/>
              </w:rPr>
              <w:t>SSO (Okta), bulk CSV upload, distributor API access — pending budget confirmation</w:t>
            </w:r>
          </w:p>
        </w:tc>
        <w:tc>
          <w:tcPr>
            <w:tcW w:type="dxa" w:w="3120"/>
            <w:shd w:val="clear" w:fill="FFFFFF"/>
          </w:tcPr>
          <w:p>
            <w:r/>
            <w:r>
              <w:rPr>
                <w:color w:val="1A1A1A"/>
                <w:sz w:val="21"/>
              </w:rPr>
              <w:t>4–6 weeks</w:t>
            </w:r>
          </w:p>
        </w:tc>
      </w:tr>
      <w:tr>
        <w:tc>
          <w:tcPr>
            <w:tcW w:type="dxa" w:w="3120"/>
            <w:shd w:val="clear" w:fill="F4F7FB"/>
          </w:tcPr>
          <w:p>
            <w:r/>
            <w:r>
              <w:rPr>
                <w:color w:val="1A1A1A"/>
                <w:sz w:val="21"/>
              </w:rPr>
              <w:t>Phase 3 — Mobile</w:t>
            </w:r>
          </w:p>
        </w:tc>
        <w:tc>
          <w:tcPr>
            <w:tcW w:type="dxa" w:w="3120"/>
            <w:shd w:val="clear" w:fill="F4F7FB"/>
          </w:tcPr>
          <w:p>
            <w:r/>
            <w:r>
              <w:rPr>
                <w:color w:val="1A1A1A"/>
                <w:sz w:val="21"/>
              </w:rPr>
              <w:t>Mobile-usable portal experience — pending priority confirmation</w:t>
            </w:r>
          </w:p>
        </w:tc>
        <w:tc>
          <w:tcPr>
            <w:tcW w:type="dxa" w:w="3120"/>
            <w:shd w:val="clear" w:fill="F4F7FB"/>
          </w:tcPr>
          <w:p>
            <w:r/>
            <w:r>
              <w:rPr>
                <w:color w:val="1A1A1A"/>
                <w:sz w:val="21"/>
              </w:rPr>
              <w:t>3–4 weeks</w:t>
            </w:r>
          </w:p>
        </w:tc>
      </w:tr>
    </w:tbl>
    <w:p>
      <w:pPr>
        <w:spacing w:after="80"/>
      </w:pPr>
    </w:p>
    <w:p>
      <w:pPr>
        <w:spacing w:after="0"/>
      </w:pPr>
      <w:r>
        <w:rPr>
          <w:i/>
          <w:color w:val="555A64"/>
          <w:sz w:val="20"/>
        </w:rPr>
        <w:t>Next step: confirm answers to the open questions above so Phase 1 scope and dates can be locked.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