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8"/>
        </w:rPr>
        <w:t>RFP Fit Assessment</w:t>
      </w:r>
    </w:p>
    <w:p>
      <w:r>
        <w:rPr>
          <w:color w:val="404040"/>
          <w:sz w:val="26"/>
        </w:rPr>
        <w:t>Meridian Industrial Supply — Distributor Portal Rebuild (RFP MIS-2026-014)</w:t>
      </w:r>
    </w:p>
    <w:p>
      <w:pPr>
        <w:spacing w:after="280"/>
      </w:pPr>
      <w:r>
        <w:rPr>
          <w:i/>
          <w:color w:val="606060"/>
          <w:sz w:val="19"/>
        </w:rPr>
        <w:t>Prepared by Northbridge Digital Partners  |  Assessment date: July 3, 2026  |  Proposal due: July 24, 2026</w:t>
      </w:r>
    </w:p>
    <w:p>
      <w:pPr>
        <w:spacing w:before="240" w:after="120"/>
      </w:pPr>
      <w:r>
        <w:rPr>
          <w:b/>
          <w:color w:val="1A1A1A"/>
          <w:sz w:val="30"/>
        </w:rPr>
        <w:t>Executive Summary</w:t>
      </w:r>
    </w:p>
    <w:p>
      <w:pPr>
        <w:spacing w:after="160"/>
      </w:pPr>
      <w:r>
        <w:rPr>
          <w:b w:val="0"/>
          <w:i w:val="0"/>
          <w:sz w:val="22"/>
        </w:rPr>
        <w:t>Overall fit: 79% (11 of 14 weighted requirement points). Northbridge is a strong technical match for the core portal rebuild — real-time status, bulk order upload, the approval workflow, audit trail, search performance at scale, and the API layer all map directly onto delivered work, including a comparable industrial distributor portal rebuild in 2024–2025. Three items need attention before we submit: a SOC 2 Type II compliance gap, no completed production Okta integration, and a kickoff-timeline mismatch with Meridian's in-person preference. None of these are disqualifying, but all three should be addressed head-on in the proposal rather than glossed over.</w:t>
      </w:r>
    </w:p>
    <w:p>
      <w:pPr>
        <w:spacing w:before="240" w:after="120"/>
      </w:pPr>
      <w:r>
        <w:rPr>
          <w:b/>
          <w:color w:val="1A1A1A"/>
          <w:sz w:val="30"/>
        </w:rPr>
        <w:t>Requirement-by-Requirement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404040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val="clear" w:color="auto" w:fill="404040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440"/>
            <w:shd w:val="clear" w:color="auto" w:fill="404040"/>
          </w:tcPr>
          <w:p>
            <w:r>
              <w:rPr>
                <w:b/>
                <w:color w:val="FFFFFF"/>
                <w:sz w:val="20"/>
              </w:rPr>
              <w:t>Fit</w:t>
            </w:r>
          </w:p>
        </w:tc>
        <w:tc>
          <w:tcPr>
            <w:tcW w:type="dxa" w:w="4176"/>
            <w:shd w:val="clear" w:color="auto" w:fill="404040"/>
          </w:tcPr>
          <w:p>
            <w:r>
              <w:rPr>
                <w:b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Real-time order status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b/>
                <w:color w:val="006100"/>
                <w:sz w:val="19"/>
              </w:rPr>
              <w:t>Strong Fit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WebSocket/event-driven status updates are part of our default architecture.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Bulk order upload (CSV)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b/>
                <w:color w:val="006100"/>
                <w:sz w:val="19"/>
              </w:rPr>
              <w:t>Strong Fit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Standard capability, including pre-submission validation and error reporting.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Order approval workflow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b/>
                <w:color w:val="006100"/>
                <w:sz w:val="19"/>
              </w:rPr>
              <w:t>Strong Fit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Configurable approval steps are standard; delivered on the 2024–2025 distributor portal.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Invoice download (unchanged)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b/>
                <w:color w:val="006100"/>
                <w:sz w:val="19"/>
              </w:rPr>
              <w:t>Strong Fit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No material change requested; low-risk carryover functionality.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Single sign-on (Okta)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b/>
                <w:color w:val="9C6500"/>
                <w:sz w:val="19"/>
              </w:rPr>
              <w:t>Partial Fit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Broad SAML/OIDC experience (Azure AD, Google Workspace, OneLogin), but no completed production Okta integration — SCIM provisioning and Okta claims mapping would be new.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Search performance at 10,000+ orders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b/>
                <w:color w:val="006100"/>
                <w:sz w:val="19"/>
              </w:rPr>
              <w:t>Strong Fit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Validated well beyond this threshold on the wholesale electronics search remediation project.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Mobile-responsive design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b/>
                <w:color w:val="006100"/>
                <w:sz w:val="19"/>
              </w:rPr>
              <w:t>Strong Fit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Standard capability; native app explicitly out of scope for this phase per the RFP.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Order status notifications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b/>
                <w:color w:val="006100"/>
                <w:sz w:val="19"/>
              </w:rPr>
              <w:t>Strong Fit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Email notifications are standard; SMS/push available as an add-on if needed later.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API access for distributor accounts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b/>
                <w:color w:val="006100"/>
                <w:sz w:val="19"/>
              </w:rPr>
              <w:t>Strong Fit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Directly comparable to the documented REST API built for a packaging supplier client in 2023.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Audit trail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b/>
                <w:color w:val="006100"/>
                <w:sz w:val="19"/>
              </w:rPr>
              <w:t>Strong Fit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Full audit logging of who changed what and when is built into our base platform by default.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SOC 2 Type II / data residency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b/>
                <w:color w:val="9C0006"/>
                <w:sz w:val="19"/>
              </w:rPr>
              <w:t>Gap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US/Canada hosting is met, but we hold SOC 2 Type I only — Type II is in progress (targeted Q1 2027). The RFP states Type I alone is not sufficient.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Support SLA (8am–6pm Eastern, &lt;4hr critical)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b/>
                <w:color w:val="9C6500"/>
                <w:sz w:val="19"/>
              </w:rPr>
              <w:t>Partial Fit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4-hour critical response SLA is met, but standard coverage (9am–7pm IST) overlaps only ~1.5 hours with the requested Eastern business-hours window; after-hours is best-effort, not contracted.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In-person kickoff within 2 weeks</w:t>
            </w:r>
          </w:p>
        </w:tc>
        <w:tc>
          <w:tcPr>
            <w:tcW w:type="dxa" w:w="1440"/>
            <w:shd w:val="clear" w:color="auto" w:fill="FFC7CE"/>
          </w:tcPr>
          <w:p>
            <w:r>
              <w:rPr>
                <w:b/>
                <w:color w:val="9C0006"/>
                <w:sz w:val="19"/>
              </w:rPr>
              <w:t>Gap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No standing US office; in-person kickoffs typically need 4–6 weeks' lead time to schedule travel. RFP notes this is a preference, not a disqualifier.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References (2+, comparable size)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b/>
                <w:color w:val="006100"/>
                <w:sz w:val="19"/>
              </w:rPr>
              <w:t>Strong Fit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Two comparable mid-market portal/e-commerce references available within 2 business days.</w:t>
            </w:r>
          </w:p>
        </w:tc>
      </w:tr>
    </w:tbl>
    <w:p>
      <w:pPr>
        <w:spacing w:after="280"/>
      </w:pPr>
      <w:r>
        <w:rPr>
          <w:b w:val="0"/>
          <w:i/>
          <w:color w:val="606060"/>
          <w:sz w:val="18"/>
        </w:rPr>
        <w:t>Score: Strong Fit = 1.0, Partial Fit = 0.5, Gap = 0.0. (10 × 1.0) + (2 × 0.5) + (2 × 0.0) = 11 / 14 = 79%.</w:t>
      </w:r>
    </w:p>
    <w:p>
      <w:pPr>
        <w:spacing w:before="240" w:after="120"/>
      </w:pPr>
      <w:r>
        <w:rPr>
          <w:b/>
          <w:color w:val="1A1A1A"/>
          <w:sz w:val="30"/>
        </w:rPr>
        <w:t>Top 3 Gaps to Address Before Responding</w:t>
      </w:r>
    </w:p>
    <w:p>
      <w:pPr>
        <w:pStyle w:val="ListBullet"/>
      </w:pPr>
      <w:r>
        <w:rPr>
          <w:b/>
        </w:rPr>
        <w:t xml:space="preserve">SOC 2 Type II compliance gap. </w:t>
      </w:r>
      <w:r>
        <w:t>SOC 2 Type II report is not yet available (Type I only; Type II targeted Q1 2027). This is a hard compliance requirement in the RFP for handling Meridian's order data. Mitigation to propose: share the Type I report plus the Type II audit timeline, and offer interim compensating controls (e.g. a third-party security assessment) if Meridian needs assurance before Q1 2027.</w:t>
      </w:r>
    </w:p>
    <w:p>
      <w:pPr>
        <w:pStyle w:val="ListBullet"/>
      </w:pPr>
      <w:r>
        <w:rPr>
          <w:b/>
        </w:rPr>
        <w:t xml:space="preserve">No completed Okta integration. </w:t>
      </w:r>
      <w:r>
        <w:t>We have strong SAML/OIDC experience but no completed production Okta integration. Mitigation to propose: scope a short Okta integration spike early in Phase 1 to retire this risk before it's on the critical path, and be upfront about this being new-but-adjacent work.</w:t>
      </w:r>
    </w:p>
    <w:p>
      <w:pPr>
        <w:pStyle w:val="ListBullet"/>
      </w:pPr>
      <w:r>
        <w:rPr>
          <w:b/>
        </w:rPr>
        <w:t xml:space="preserve">In-person kickoff timeline mismatch. </w:t>
      </w:r>
      <w:r>
        <w:t>Meridian's VP of Operations prefers an in-person kickoff at their Columbus HQ within two weeks of signature; our distributed team typically needs 4–6 weeks to arrange travel. Mitigation to propose: offer a virtual kickoff in week one to keep the timeline on track, with an in-person visit scheduled for weeks 4–6 — addressing the substance without overpromising on logistics.</w:t>
      </w:r>
    </w:p>
    <w:p>
      <w:pPr>
        <w:spacing w:before="240" w:after="120"/>
      </w:pPr>
      <w:r>
        <w:rPr>
          <w:b/>
          <w:color w:val="1A1A1A"/>
          <w:sz w:val="30"/>
        </w:rPr>
        <w:t>Recommendation</w:t>
      </w:r>
    </w:p>
    <w:p>
      <w:pPr>
        <w:spacing w:after="80"/>
      </w:pPr>
      <w:r>
        <w:rPr>
          <w:b w:val="0"/>
          <w:i w:val="0"/>
          <w:sz w:val="22"/>
        </w:rPr>
        <w:t>Recommend bidding. The core technical scope is a strong match, backed by directly comparable delivered work. None of the three gaps are disqualifying on their own, but all three should be named explicitly in the proposal — with a mitigation plan attached — rather than left for Meridian's evaluation team to discover during due diligence.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