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MPLADS Risk Intelligence &amp; Investigation Engine</w:t>
      </w:r>
    </w:p>
    <w:p>
      <w:pPr>
        <w:jc w:val="center"/>
      </w:pPr>
      <w:r>
        <w:rPr>
          <w:b/>
          <w:sz w:val="30"/>
        </w:rPr>
        <w:t>Locked Build Architecture, Data Strategy, Technology Stack &amp; End-to-End Flow</w:t>
      </w:r>
    </w:p>
    <w:p>
      <w:pPr>
        <w:jc w:val="center"/>
      </w:pPr>
      <w:r>
        <w:rPr>
          <w:sz w:val="21"/>
        </w:rPr>
        <w:t>SIH 2026 — Problem Statement SIH26102 | 48-hour prototype specification</w:t>
      </w:r>
    </w:p>
    <w:tbl>
      <w:tblPr>
        <w:tblStyle w:val="TableGrid"/>
        <w:tblW w:type="auto" w:w="0"/>
        <w:tblLook w:firstColumn="1" w:firstRow="1" w:lastColumn="0" w:lastRow="0" w:noHBand="0" w:noVBand="1" w:val="04A0"/>
      </w:tblPr>
      <w:tblGrid>
        <w:gridCol w:w="10224"/>
      </w:tblGrid>
      <w:tr>
        <w:trPr>
          <w:tblHeader w:val="true"/>
        </w:trPr>
        <w:tc>
          <w:tcPr>
            <w:tcW w:type="dxa" w:w="10224"/>
            <w:shd w:fill="EAF2F8"/>
            <w:vAlign w:val="center"/>
          </w:tcPr>
          <w:p>
            <w:r/>
            <w:r>
              <w:rPr>
                <w:rFonts w:ascii="Aptos" w:hAnsi="Aptos"/>
                <w:b/>
                <w:color w:val="1F4E79"/>
                <w:sz w:val="20"/>
              </w:rPr>
              <w:t>LOCKED RULE: Do not deviate from the four-engine architecture or introduce unvalidated detectors. Build depth, evidence, explainability and real-data honesty—not detector-count.</w:t>
            </w:r>
          </w:p>
        </w:tc>
      </w:tr>
    </w:tbl>
    <w:p/>
    <w:p>
      <w:pPr>
        <w:pStyle w:val="Heading1"/>
      </w:pPr>
      <w:r>
        <w:t>1. Executive Build Definition</w:t>
      </w:r>
    </w:p>
    <w:p>
      <w:r>
        <w:t>The system is an AI-assisted risk intelligence and investigation engine for MPLADS works. It does not declare fraud. It identifies works that deserve investigation by combining independent evidence from four transparent analytical engines and producing an explainable 0–100 risk score.</w:t>
      </w:r>
    </w:p>
    <w:p>
      <w:pPr>
        <w:pStyle w:val="CodeBlock"/>
        <w:spacing w:after="80"/>
        <w:ind w:left="288"/>
      </w:pPr>
      <w:r>
        <w:t>REAL MPLADS WORK DATA</w:t>
        <w:br/>
        <w:t xml:space="preserve">        ↓</w:t>
        <w:br/>
        <w:t>Data acquisition -&gt; schema validation -&gt; cleaning/normalization -&gt; work master table</w:t>
        <w:br/>
        <w:t xml:space="preserve">        ↓</w:t>
        <w:br/>
        <w:t xml:space="preserve"> ┌────────────────────┬────────────────────┬──────────────────────────┬──────────────────────┐</w:t>
        <w:br/>
        <w:t xml:space="preserve"> │ 1. Peer Benchmark  │ 2. Statistical     │ 3. Financial–Execution │ 4. Duplicate/Overlap│</w:t>
        <w:br/>
        <w:t xml:space="preserve"> │ context-aware      │ anomaly detection  │ mismatch hierarchy      │ detection            │</w:t>
        <w:br/>
        <w:t xml:space="preserve"> └─────────┬──────────┴──────────┬─────────┴────────────┬─────────────┴──────────┬───────────┘</w:t>
        <w:br/>
        <w:t xml:space="preserve">           ↓                     ↓                      ↓                        ↓</w:t>
        <w:br/>
        <w:t xml:space="preserve">                 Independent evidence objects + module scores (0–100)</w:t>
        <w:br/>
        <w:t xml:space="preserve">                                   ↓</w:t>
        <w:br/>
        <w:t xml:space="preserve">                     Availability-normalized weighted fusion</w:t>
        <w:br/>
        <w:t xml:space="preserve">                         30% / 25% / 30% / 15%</w:t>
        <w:br/>
        <w:t xml:space="preserve">                                   ↓</w:t>
        <w:br/>
        <w:t xml:space="preserve">                         Unified Risk Score (0–100)</w:t>
        <w:br/>
        <w:t xml:space="preserve">                                   ↓</w:t>
        <w:br/>
        <w:t xml:space="preserve">              Evidence coverage + confidence + explanations</w:t>
        <w:br/>
        <w:t xml:space="preserve">                                   ↓</w:t>
        <w:br/>
        <w:t xml:space="preserve">                  Investigation view / filters / drill-down</w:t>
        <w:br/>
        <w:t xml:space="preserve">                                   ↓</w:t>
        <w:br/>
        <w:t xml:space="preserve">                      Recommended next investigation step</w:t>
      </w:r>
    </w:p>
    <w:p>
      <w:pPr>
        <w:pStyle w:val="Heading1"/>
      </w:pPr>
      <w:r>
        <w:t>2. Non-Negotiable Locked Scope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center"/>
            <w:shd w:fill="1F4E79"/>
          </w:tcPr>
          <w:p>
            <w:r/>
            <w:r>
              <w:rPr>
                <w:rFonts w:ascii="Aptos" w:hAnsi="Aptos"/>
                <w:b/>
                <w:color w:val="FFFFFF"/>
                <w:sz w:val="16"/>
              </w:rPr>
              <w:t>Component</w:t>
            </w:r>
          </w:p>
        </w:tc>
        <w:tc>
          <w:tcPr>
            <w:tcW w:type="dxa" w:w="7920"/>
            <w:vAlign w:val="center"/>
            <w:shd w:fill="1F4E79"/>
          </w:tcPr>
          <w:p>
            <w:r/>
            <w:r>
              <w:rPr>
                <w:rFonts w:ascii="Aptos" w:hAnsi="Aptos"/>
                <w:b/>
                <w:color w:val="FFFFFF"/>
                <w:sz w:val="16"/>
              </w:rPr>
              <w:t>Locked decision</w:t>
            </w:r>
          </w:p>
        </w:tc>
      </w:tr>
      <w:tr>
        <w:tc>
          <w:tcPr>
            <w:tcW w:type="dxa" w:w="2160"/>
            <w:vAlign w:val="center"/>
          </w:tcPr>
          <w:p>
            <w:r/>
            <w:r>
              <w:rPr>
                <w:rFonts w:ascii="Aptos" w:hAnsi="Aptos"/>
                <w:b w:val="0"/>
                <w:sz w:val="16"/>
              </w:rPr>
              <w:t>Core 1</w:t>
            </w:r>
          </w:p>
        </w:tc>
        <w:tc>
          <w:tcPr>
            <w:tcW w:type="dxa" w:w="7920"/>
            <w:vAlign w:val="center"/>
          </w:tcPr>
          <w:p>
            <w:r/>
            <w:r>
              <w:rPr>
                <w:rFonts w:ascii="Aptos" w:hAnsi="Aptos"/>
                <w:b w:val="0"/>
                <w:sz w:val="16"/>
              </w:rPr>
              <w:t>Peer Benchmarking — context-aware cohorts, percentile/IQR evidence, fallback groups.</w:t>
            </w:r>
          </w:p>
        </w:tc>
      </w:tr>
      <w:tr>
        <w:tc>
          <w:tcPr>
            <w:tcW w:type="dxa" w:w="2160"/>
            <w:vAlign w:val="center"/>
          </w:tcPr>
          <w:p>
            <w:r/>
            <w:r>
              <w:rPr>
                <w:rFonts w:ascii="Aptos" w:hAnsi="Aptos"/>
                <w:b w:val="0"/>
                <w:sz w:val="16"/>
              </w:rPr>
              <w:t>Core 2</w:t>
            </w:r>
          </w:p>
        </w:tc>
        <w:tc>
          <w:tcPr>
            <w:tcW w:type="dxa" w:w="7920"/>
            <w:vAlign w:val="center"/>
          </w:tcPr>
          <w:p>
            <w:r/>
            <w:r>
              <w:rPr>
                <w:rFonts w:ascii="Aptos" w:hAnsi="Aptos"/>
                <w:b w:val="0"/>
                <w:sz w:val="16"/>
              </w:rPr>
              <w:t>Statistical Outliers — robust statistical signals combined within the module; no primary Isolation Forest.</w:t>
            </w:r>
          </w:p>
        </w:tc>
      </w:tr>
      <w:tr>
        <w:tc>
          <w:tcPr>
            <w:tcW w:type="dxa" w:w="2160"/>
            <w:vAlign w:val="center"/>
          </w:tcPr>
          <w:p>
            <w:r/>
            <w:r>
              <w:rPr>
                <w:rFonts w:ascii="Aptos" w:hAnsi="Aptos"/>
                <w:b w:val="0"/>
                <w:sz w:val="16"/>
              </w:rPr>
              <w:t>Core 3</w:t>
            </w:r>
          </w:p>
        </w:tc>
        <w:tc>
          <w:tcPr>
            <w:tcW w:type="dxa" w:w="7920"/>
            <w:vAlign w:val="center"/>
          </w:tcPr>
          <w:p>
            <w:r/>
            <w:r>
              <w:rPr>
                <w:rFonts w:ascii="Aptos" w:hAnsi="Aptos"/>
                <w:b w:val="0"/>
                <w:sz w:val="16"/>
              </w:rPr>
              <w:t>Financial–Execution Mismatch — Status -&gt; Time -&gt; Actual Physical Progress evidence hierarchy with confidence.</w:t>
            </w:r>
          </w:p>
        </w:tc>
      </w:tr>
      <w:tr>
        <w:tc>
          <w:tcPr>
            <w:tcW w:type="dxa" w:w="2160"/>
            <w:vAlign w:val="center"/>
          </w:tcPr>
          <w:p>
            <w:r/>
            <w:r>
              <w:rPr>
                <w:rFonts w:ascii="Aptos" w:hAnsi="Aptos"/>
                <w:b w:val="0"/>
                <w:sz w:val="16"/>
              </w:rPr>
              <w:t>Core 4</w:t>
            </w:r>
          </w:p>
        </w:tc>
        <w:tc>
          <w:tcPr>
            <w:tcW w:type="dxa" w:w="7920"/>
            <w:vAlign w:val="center"/>
          </w:tcPr>
          <w:p>
            <w:r/>
            <w:r>
              <w:rPr>
                <w:rFonts w:ascii="Aptos" w:hAnsi="Aptos"/>
                <w:b w:val="0"/>
                <w:sz w:val="16"/>
              </w:rPr>
              <w:t>Duplicate/Overlap — text similarity + agency/entity matching + district/constituency context + candidate blocking.</w:t>
            </w:r>
          </w:p>
        </w:tc>
      </w:tr>
      <w:tr>
        <w:tc>
          <w:tcPr>
            <w:tcW w:type="dxa" w:w="2160"/>
            <w:vAlign w:val="center"/>
          </w:tcPr>
          <w:p>
            <w:r/>
            <w:r>
              <w:rPr>
                <w:rFonts w:ascii="Aptos" w:hAnsi="Aptos"/>
                <w:b w:val="0"/>
                <w:sz w:val="16"/>
              </w:rPr>
              <w:t>Fusion</w:t>
            </w:r>
          </w:p>
        </w:tc>
        <w:tc>
          <w:tcPr>
            <w:tcW w:type="dxa" w:w="7920"/>
            <w:vAlign w:val="center"/>
          </w:tcPr>
          <w:p>
            <w:r/>
            <w:r>
              <w:rPr>
                <w:rFonts w:ascii="Aptos" w:hAnsi="Aptos"/>
                <w:b w:val="0"/>
                <w:sz w:val="16"/>
              </w:rPr>
              <w:t>Availability-normalized weighted fusion: Peer 30%, Statistical 25%, Mismatch 30%, Duplicate 15%.</w:t>
            </w:r>
          </w:p>
        </w:tc>
      </w:tr>
      <w:tr>
        <w:tc>
          <w:tcPr>
            <w:tcW w:type="dxa" w:w="2160"/>
            <w:vAlign w:val="center"/>
          </w:tcPr>
          <w:p>
            <w:r/>
            <w:r>
              <w:rPr>
                <w:rFonts w:ascii="Aptos" w:hAnsi="Aptos"/>
                <w:b w:val="0"/>
                <w:sz w:val="16"/>
              </w:rPr>
              <w:t>Explainability</w:t>
            </w:r>
          </w:p>
        </w:tc>
        <w:tc>
          <w:tcPr>
            <w:tcW w:type="dxa" w:w="7920"/>
            <w:vAlign w:val="center"/>
          </w:tcPr>
          <w:p>
            <w:r/>
            <w:r>
              <w:rPr>
                <w:rFonts w:ascii="Aptos" w:hAnsi="Aptos"/>
                <w:b w:val="0"/>
                <w:sz w:val="16"/>
              </w:rPr>
              <w:t>Direct evidence objects; no SHAP layer because rules/statistics are already transparent.</w:t>
            </w:r>
          </w:p>
        </w:tc>
      </w:tr>
      <w:tr>
        <w:tc>
          <w:tcPr>
            <w:tcW w:type="dxa" w:w="2160"/>
            <w:vAlign w:val="center"/>
          </w:tcPr>
          <w:p>
            <w:r/>
            <w:r>
              <w:rPr>
                <w:rFonts w:ascii="Aptos" w:hAnsi="Aptos"/>
                <w:b w:val="0"/>
                <w:sz w:val="16"/>
              </w:rPr>
              <w:t>Excluded</w:t>
            </w:r>
          </w:p>
        </w:tc>
        <w:tc>
          <w:tcPr>
            <w:tcW w:type="dxa" w:w="7920"/>
            <w:vAlign w:val="center"/>
          </w:tcPr>
          <w:p>
            <w:r/>
            <w:r>
              <w:rPr>
                <w:rFonts w:ascii="Aptos" w:hAnsi="Aptos"/>
                <w:b w:val="0"/>
                <w:sz w:val="16"/>
              </w:rPr>
              <w:t>GPS proximity, vendor-graph detector as a core feature, forecast/survival model, learned confidence calibration, Benford as a core detector.</w:t>
            </w:r>
          </w:p>
        </w:tc>
      </w:tr>
      <w:tr>
        <w:tc>
          <w:tcPr>
            <w:tcW w:type="dxa" w:w="2160"/>
            <w:vAlign w:val="center"/>
          </w:tcPr>
          <w:p>
            <w:r/>
            <w:r>
              <w:rPr>
                <w:rFonts w:ascii="Aptos" w:hAnsi="Aptos"/>
                <w:b w:val="0"/>
                <w:sz w:val="16"/>
              </w:rPr>
              <w:t>Build principle</w:t>
            </w:r>
          </w:p>
        </w:tc>
        <w:tc>
          <w:tcPr>
            <w:tcW w:type="dxa" w:w="7920"/>
            <w:vAlign w:val="center"/>
          </w:tcPr>
          <w:p>
            <w:r/>
            <w:r>
              <w:rPr>
                <w:rFonts w:ascii="Aptos" w:hAnsi="Aptos"/>
                <w:b w:val="0"/>
                <w:sz w:val="16"/>
              </w:rPr>
              <w:t>Use only evidence supported by the actual data loaded into the system. Missing evidence is marked unavailable, never fabricated.</w:t>
            </w:r>
          </w:p>
        </w:tc>
      </w:tr>
    </w:tbl>
    <w:p/>
    <w:p>
      <w:pPr>
        <w:pStyle w:val="Heading1"/>
      </w:pPr>
      <w:r>
        <w:t>3. Data Sources and Exact Dataset Roles</w:t>
      </w:r>
    </w:p>
    <w:p>
      <w:r>
        <w:t>The architecture deliberately separates work-level analytical data from datasets that are useful only as enrichment or context. The most important rule is that the 18th Lok Sabha vendor/expenditure dataset is NOT treated as individual-work expenditure because its work field is too coarse for safe work-level joins.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736"/>
            <w:vAlign w:val="center"/>
            <w:shd w:fill="1F4E79"/>
          </w:tcPr>
          <w:p>
            <w:r/>
            <w:r>
              <w:rPr>
                <w:rFonts w:ascii="Aptos" w:hAnsi="Aptos"/>
                <w:b/>
                <w:color w:val="FFFFFF"/>
                <w:sz w:val="16"/>
              </w:rPr>
              <w:t>Dataset</w:t>
            </w:r>
          </w:p>
        </w:tc>
        <w:tc>
          <w:tcPr>
            <w:tcW w:type="dxa" w:w="2088"/>
            <w:vAlign w:val="center"/>
            <w:shd w:fill="1F4E79"/>
          </w:tcPr>
          <w:p>
            <w:r/>
            <w:r>
              <w:rPr>
                <w:rFonts w:ascii="Aptos" w:hAnsi="Aptos"/>
                <w:b/>
                <w:color w:val="FFFFFF"/>
                <w:sz w:val="16"/>
              </w:rPr>
              <w:t>Role</w:t>
            </w:r>
          </w:p>
        </w:tc>
        <w:tc>
          <w:tcPr>
            <w:tcW w:type="dxa" w:w="3168"/>
            <w:vAlign w:val="center"/>
            <w:shd w:fill="1F4E79"/>
          </w:tcPr>
          <w:p>
            <w:r/>
            <w:r>
              <w:rPr>
                <w:rFonts w:ascii="Aptos" w:hAnsi="Aptos"/>
                <w:b/>
                <w:color w:val="FFFFFF"/>
                <w:sz w:val="16"/>
              </w:rPr>
              <w:t>Key fields</w:t>
            </w:r>
          </w:p>
        </w:tc>
        <w:tc>
          <w:tcPr>
            <w:tcW w:type="dxa" w:w="2880"/>
            <w:vAlign w:val="center"/>
            <w:shd w:fill="1F4E79"/>
          </w:tcPr>
          <w:p>
            <w:r/>
            <w:r>
              <w:rPr>
                <w:rFonts w:ascii="Aptos" w:hAnsi="Aptos"/>
                <w:b/>
                <w:color w:val="FFFFFF"/>
                <w:sz w:val="16"/>
              </w:rPr>
              <w:t>Use in system</w:t>
            </w:r>
          </w:p>
        </w:tc>
      </w:tr>
      <w:tr>
        <w:tc>
          <w:tcPr>
            <w:tcW w:type="dxa" w:w="2736"/>
            <w:vAlign w:val="center"/>
          </w:tcPr>
          <w:p>
            <w:r/>
            <w:r>
              <w:rPr>
                <w:rFonts w:ascii="Aptos" w:hAnsi="Aptos"/>
                <w:b w:val="0"/>
                <w:sz w:val="16"/>
              </w:rPr>
              <w:t>Dataful 22567 — 18th Lok Sabha Recommended Works</w:t>
            </w:r>
          </w:p>
        </w:tc>
        <w:tc>
          <w:tcPr>
            <w:tcW w:type="dxa" w:w="2088"/>
            <w:vAlign w:val="center"/>
          </w:tcPr>
          <w:p>
            <w:r/>
            <w:r>
              <w:rPr>
                <w:rFonts w:ascii="Aptos" w:hAnsi="Aptos"/>
                <w:b w:val="0"/>
                <w:sz w:val="16"/>
              </w:rPr>
              <w:t>PRIMARY work-level base (current)</w:t>
            </w:r>
          </w:p>
        </w:tc>
        <w:tc>
          <w:tcPr>
            <w:tcW w:type="dxa" w:w="3168"/>
            <w:vAlign w:val="center"/>
          </w:tcPr>
          <w:p>
            <w:r/>
            <w:r>
              <w:rPr>
                <w:rFonts w:ascii="Aptos" w:hAnsi="Aptos"/>
                <w:b w:val="0"/>
                <w:sz w:val="16"/>
              </w:rPr>
              <w:t>state, implementing_district, constituency, MP, work_category, unique_work_number, work_name, work_description, agency, recommendation date, recommended_amount, image_status</w:t>
            </w:r>
          </w:p>
        </w:tc>
        <w:tc>
          <w:tcPr>
            <w:tcW w:type="dxa" w:w="2880"/>
            <w:vAlign w:val="center"/>
          </w:tcPr>
          <w:p>
            <w:r/>
            <w:r>
              <w:rPr>
                <w:rFonts w:ascii="Aptos" w:hAnsi="Aptos"/>
                <w:b w:val="0"/>
                <w:sz w:val="16"/>
              </w:rPr>
              <w:t>Main work master; peer cohorts; statistical features; mismatch baseline; duplicate candidates.</w:t>
            </w:r>
          </w:p>
        </w:tc>
      </w:tr>
      <w:tr>
        <w:tc>
          <w:tcPr>
            <w:tcW w:type="dxa" w:w="2736"/>
            <w:vAlign w:val="center"/>
          </w:tcPr>
          <w:p>
            <w:r/>
            <w:r>
              <w:rPr>
                <w:rFonts w:ascii="Aptos" w:hAnsi="Aptos"/>
                <w:b w:val="0"/>
                <w:sz w:val="16"/>
              </w:rPr>
              <w:t>Dataful 22566 — 18th Lok Sabha Completed Works</w:t>
            </w:r>
          </w:p>
        </w:tc>
        <w:tc>
          <w:tcPr>
            <w:tcW w:type="dxa" w:w="2088"/>
            <w:vAlign w:val="center"/>
          </w:tcPr>
          <w:p>
            <w:r/>
            <w:r>
              <w:rPr>
                <w:rFonts w:ascii="Aptos" w:hAnsi="Aptos"/>
                <w:b w:val="0"/>
                <w:sz w:val="16"/>
              </w:rPr>
              <w:t>ENRICHMENT</w:t>
            </w:r>
          </w:p>
        </w:tc>
        <w:tc>
          <w:tcPr>
            <w:tcW w:type="dxa" w:w="3168"/>
            <w:vAlign w:val="center"/>
          </w:tcPr>
          <w:p>
            <w:r/>
            <w:r>
              <w:rPr>
                <w:rFonts w:ascii="Aptos" w:hAnsi="Aptos"/>
                <w:b w:val="0"/>
                <w:sz w:val="16"/>
              </w:rPr>
              <w:t>unique_work_number, work_category, work_description, agency, date_of_completion, amount, image_status</w:t>
            </w:r>
          </w:p>
        </w:tc>
        <w:tc>
          <w:tcPr>
            <w:tcW w:type="dxa" w:w="2880"/>
            <w:vAlign w:val="center"/>
          </w:tcPr>
          <w:p>
            <w:r/>
            <w:r>
              <w:rPr>
                <w:rFonts w:ascii="Aptos" w:hAnsi="Aptos"/>
                <w:b w:val="0"/>
                <w:sz w:val="16"/>
              </w:rPr>
              <w:t>Join by unique_work_number; completion date and completed amount; strengthens time/financial evidence.</w:t>
            </w:r>
          </w:p>
        </w:tc>
      </w:tr>
      <w:tr>
        <w:tc>
          <w:tcPr>
            <w:tcW w:type="dxa" w:w="2736"/>
            <w:vAlign w:val="center"/>
          </w:tcPr>
          <w:p>
            <w:r/>
            <w:r>
              <w:rPr>
                <w:rFonts w:ascii="Aptos" w:hAnsi="Aptos"/>
                <w:b w:val="0"/>
                <w:sz w:val="16"/>
              </w:rPr>
              <w:t>Dataful 18533 — 17th Lok Sabha Works</w:t>
            </w:r>
          </w:p>
        </w:tc>
        <w:tc>
          <w:tcPr>
            <w:tcW w:type="dxa" w:w="2088"/>
            <w:vAlign w:val="center"/>
          </w:tcPr>
          <w:p>
            <w:r/>
            <w:r>
              <w:rPr>
                <w:rFonts w:ascii="Aptos" w:hAnsi="Aptos"/>
                <w:b w:val="0"/>
                <w:sz w:val="16"/>
              </w:rPr>
              <w:t>HISTORICAL / cross-year context</w:t>
            </w:r>
          </w:p>
        </w:tc>
        <w:tc>
          <w:tcPr>
            <w:tcW w:type="dxa" w:w="3168"/>
            <w:vAlign w:val="center"/>
          </w:tcPr>
          <w:p>
            <w:r/>
            <w:r>
              <w:rPr>
                <w:rFonts w:ascii="Aptos" w:hAnsi="Aptos"/>
                <w:b w:val="0"/>
                <w:sz w:val="16"/>
              </w:rPr>
              <w:t>state, district, constituency, MP, sanction_amount, work_name, unique_work_number, agency, work_status, proposal date</w:t>
            </w:r>
          </w:p>
        </w:tc>
        <w:tc>
          <w:tcPr>
            <w:tcW w:type="dxa" w:w="2880"/>
            <w:vAlign w:val="center"/>
          </w:tcPr>
          <w:p>
            <w:r/>
            <w:r>
              <w:rPr>
                <w:rFonts w:ascii="Aptos" w:hAnsi="Aptos"/>
                <w:b w:val="0"/>
                <w:sz w:val="16"/>
              </w:rPr>
              <w:t>Historical peer context and cross-year duplicate/overlap detection; use fields only where populated.</w:t>
            </w:r>
          </w:p>
        </w:tc>
      </w:tr>
      <w:tr>
        <w:tc>
          <w:tcPr>
            <w:tcW w:type="dxa" w:w="2736"/>
            <w:vAlign w:val="center"/>
          </w:tcPr>
          <w:p>
            <w:r/>
            <w:r>
              <w:rPr>
                <w:rFonts w:ascii="Aptos" w:hAnsi="Aptos"/>
                <w:b w:val="0"/>
                <w:sz w:val="16"/>
              </w:rPr>
              <w:t>Dataful 22565 — 18th Lok Sabha vendor-level expenditure</w:t>
            </w:r>
          </w:p>
        </w:tc>
        <w:tc>
          <w:tcPr>
            <w:tcW w:type="dxa" w:w="2088"/>
            <w:vAlign w:val="center"/>
          </w:tcPr>
          <w:p>
            <w:r/>
            <w:r>
              <w:rPr>
                <w:rFonts w:ascii="Aptos" w:hAnsi="Aptos"/>
                <w:b w:val="0"/>
                <w:sz w:val="16"/>
              </w:rPr>
              <w:t>OPTIONAL aggregate/vendor context only</w:t>
            </w:r>
          </w:p>
        </w:tc>
        <w:tc>
          <w:tcPr>
            <w:tcW w:type="dxa" w:w="3168"/>
            <w:vAlign w:val="center"/>
          </w:tcPr>
          <w:p>
            <w:r/>
            <w:r>
              <w:rPr>
                <w:rFonts w:ascii="Aptos" w:hAnsi="Aptos"/>
                <w:b w:val="0"/>
                <w:sz w:val="16"/>
              </w:rPr>
              <w:t>district, constituency, MP, work, agency, vendor, expenditure_date, payment_status, expenditure_amount</w:t>
            </w:r>
          </w:p>
        </w:tc>
        <w:tc>
          <w:tcPr>
            <w:tcW w:type="dxa" w:w="2880"/>
            <w:vAlign w:val="center"/>
          </w:tcPr>
          <w:p>
            <w:r/>
            <w:r>
              <w:rPr>
                <w:rFonts w:ascii="Aptos" w:hAnsi="Aptos"/>
                <w:b w:val="0"/>
                <w:sz w:val="16"/>
              </w:rPr>
              <w:t>Vendor/financial context only; NEVER claim row-level linkage to a specific project without a validated join key.</w:t>
            </w:r>
          </w:p>
        </w:tc>
      </w:tr>
      <w:tr>
        <w:tc>
          <w:tcPr>
            <w:tcW w:type="dxa" w:w="2736"/>
            <w:vAlign w:val="center"/>
          </w:tcPr>
          <w:p>
            <w:r/>
            <w:r>
              <w:rPr>
                <w:rFonts w:ascii="Aptos" w:hAnsi="Aptos"/>
                <w:b w:val="0"/>
                <w:sz w:val="16"/>
              </w:rPr>
              <w:t>Official MPLADS portal / guidelines</w:t>
            </w:r>
          </w:p>
        </w:tc>
        <w:tc>
          <w:tcPr>
            <w:tcW w:type="dxa" w:w="2088"/>
            <w:vAlign w:val="center"/>
          </w:tcPr>
          <w:p>
            <w:r/>
            <w:r>
              <w:rPr>
                <w:rFonts w:ascii="Aptos" w:hAnsi="Aptos"/>
                <w:b w:val="0"/>
                <w:sz w:val="16"/>
              </w:rPr>
              <w:t>RULES + validation source</w:t>
            </w:r>
          </w:p>
        </w:tc>
        <w:tc>
          <w:tcPr>
            <w:tcW w:type="dxa" w:w="3168"/>
            <w:vAlign w:val="center"/>
          </w:tcPr>
          <w:p>
            <w:r/>
            <w:r>
              <w:rPr>
                <w:rFonts w:ascii="Aptos" w:hAnsi="Aptos"/>
                <w:b w:val="0"/>
                <w:sz w:val="16"/>
              </w:rPr>
              <w:t>scheme rules, reports, permissible categories, completion guidance</w:t>
            </w:r>
          </w:p>
        </w:tc>
        <w:tc>
          <w:tcPr>
            <w:tcW w:type="dxa" w:w="2880"/>
            <w:vAlign w:val="center"/>
          </w:tcPr>
          <w:p>
            <w:r/>
            <w:r>
              <w:rPr>
                <w:rFonts w:ascii="Aptos" w:hAnsi="Aptos"/>
                <w:b w:val="0"/>
                <w:sz w:val="16"/>
              </w:rPr>
              <w:t>Business-rule reference for optional invalid-category and threshold-splitting checks; source-of-truth for rules.</w:t>
            </w:r>
          </w:p>
        </w:tc>
      </w:tr>
    </w:tbl>
    <w:p/>
    <w:p>
      <w:pPr>
        <w:pStyle w:val="SmallNote"/>
      </w:pPr>
      <w:r>
        <w:t>Source pages verified during architecture preparation: Dataful 22567 (https://dataful.in/datasets/22567/), 22566 (https://dataful.in/datasets/22566/), 18533 (https://dataful.in/datasets/18533/), 22565 (https://dataful.in/datasets/22565/), and official MPLADS portal/guidelines (https://mplads.gov.in/). Dataset metadata and row/column counts can change as sources are updated; the pipeline must validate schema at runtime.</w:t>
      </w:r>
    </w:p>
    <w:p>
      <w:pPr>
        <w:pStyle w:val="Heading1"/>
      </w:pPr>
      <w:r>
        <w:t>4. Dataset Selection Strategy</w:t>
      </w:r>
    </w:p>
    <w:p>
      <w:pPr>
        <w:pStyle w:val="ListNumber"/>
        <w:spacing w:after="30"/>
      </w:pPr>
      <w:r>
        <w:t>Load 18th Recommended Works (22567) as the primary work-level base because it has work category, unique work number, description, agency, district/constituency and recommendation amount/date.</w:t>
      </w:r>
    </w:p>
    <w:p>
      <w:pPr>
        <w:pStyle w:val="ListNumber"/>
        <w:spacing w:after="30"/>
      </w:pPr>
      <w:r>
        <w:t>Load 18th Completed Works (22566) and left-join it to the primary table on unique_work_number. Only unique, exact key matches are accepted as authoritative joins.</w:t>
      </w:r>
    </w:p>
    <w:p>
      <w:pPr>
        <w:pStyle w:val="ListNumber"/>
        <w:spacing w:after="30"/>
      </w:pPr>
      <w:r>
        <w:t>Load 17th Lok Sabha Works (18533) as a separate historical table. Standardize its columns to the common schema, but do not force fields that do not exist.</w:t>
      </w:r>
    </w:p>
    <w:p>
      <w:pPr>
        <w:pStyle w:val="ListNumber"/>
        <w:spacing w:after="30"/>
      </w:pPr>
      <w:r>
        <w:t>Load 18th vendor-level expenditure (22565) only into an optional context table. Aggregate by MP/district/constituency/agency/vendor when needed; do not assign expenditure rows to individual works unless a validated unique work key is discovered later.</w:t>
      </w:r>
    </w:p>
    <w:p>
      <w:pPr>
        <w:pStyle w:val="ListNumber"/>
        <w:spacing w:after="30"/>
      </w:pPr>
      <w:r>
        <w:t>At runtime, run schema and coverage checks before scoring. The dashboard must expose which modules are actually computable for the selected record.</w:t>
      </w:r>
    </w:p>
    <w:p>
      <w:pPr>
        <w:pStyle w:val="Heading1"/>
      </w:pPr>
      <w:r>
        <w:t>5. Canonical Work Master Schema</w:t>
      </w:r>
    </w:p>
    <w:p>
      <w:r>
        <w:t>All analytical engines consume a normalized internal schema, not raw source columns. Raw data is preserved unchanged for provenance.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vAlign w:val="center"/>
            <w:shd w:fill="1F4E79"/>
          </w:tcPr>
          <w:p>
            <w:r/>
            <w:r>
              <w:rPr>
                <w:rFonts w:ascii="Aptos" w:hAnsi="Aptos"/>
                <w:b/>
                <w:color w:val="FFFFFF"/>
                <w:sz w:val="16"/>
              </w:rPr>
              <w:t>Canonical field</w:t>
            </w:r>
          </w:p>
        </w:tc>
        <w:tc>
          <w:tcPr>
            <w:tcW w:type="dxa" w:w="1080"/>
            <w:vAlign w:val="center"/>
            <w:shd w:fill="1F4E79"/>
          </w:tcPr>
          <w:p>
            <w:r/>
            <w:r>
              <w:rPr>
                <w:rFonts w:ascii="Aptos" w:hAnsi="Aptos"/>
                <w:b/>
                <w:color w:val="FFFFFF"/>
                <w:sz w:val="16"/>
              </w:rPr>
              <w:t>Type</w:t>
            </w:r>
          </w:p>
        </w:tc>
        <w:tc>
          <w:tcPr>
            <w:tcW w:type="dxa" w:w="2880"/>
            <w:vAlign w:val="center"/>
            <w:shd w:fill="1F4E79"/>
          </w:tcPr>
          <w:p>
            <w:r/>
            <w:r>
              <w:rPr>
                <w:rFonts w:ascii="Aptos" w:hAnsi="Aptos"/>
                <w:b/>
                <w:color w:val="FFFFFF"/>
                <w:sz w:val="16"/>
              </w:rPr>
              <w:t>Source mapping</w:t>
            </w:r>
          </w:p>
        </w:tc>
        <w:tc>
          <w:tcPr>
            <w:tcW w:type="dxa" w:w="3960"/>
            <w:vAlign w:val="center"/>
            <w:shd w:fill="1F4E79"/>
          </w:tcPr>
          <w:p>
            <w:r/>
            <w:r>
              <w:rPr>
                <w:rFonts w:ascii="Aptos" w:hAnsi="Aptos"/>
                <w:b/>
                <w:color w:val="FFFFFF"/>
                <w:sz w:val="16"/>
              </w:rPr>
              <w:t>Purpose</w:t>
            </w:r>
          </w:p>
        </w:tc>
      </w:tr>
      <w:tr>
        <w:tc>
          <w:tcPr>
            <w:tcW w:type="dxa" w:w="2232"/>
            <w:vAlign w:val="center"/>
          </w:tcPr>
          <w:p>
            <w:r/>
            <w:r>
              <w:rPr>
                <w:rFonts w:ascii="Aptos" w:hAnsi="Aptos"/>
                <w:b w:val="0"/>
                <w:sz w:val="16"/>
              </w:rPr>
              <w:t>work_id</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unique_work_number</w:t>
            </w:r>
          </w:p>
        </w:tc>
        <w:tc>
          <w:tcPr>
            <w:tcW w:type="dxa" w:w="3960"/>
            <w:vAlign w:val="center"/>
          </w:tcPr>
          <w:p>
            <w:r/>
            <w:r>
              <w:rPr>
                <w:rFonts w:ascii="Aptos" w:hAnsi="Aptos"/>
                <w:b w:val="0"/>
                <w:sz w:val="16"/>
              </w:rPr>
              <w:t>Stable primary key when present.</w:t>
            </w:r>
          </w:p>
        </w:tc>
      </w:tr>
      <w:tr>
        <w:tc>
          <w:tcPr>
            <w:tcW w:type="dxa" w:w="2232"/>
            <w:vAlign w:val="center"/>
          </w:tcPr>
          <w:p>
            <w:r/>
            <w:r>
              <w:rPr>
                <w:rFonts w:ascii="Aptos" w:hAnsi="Aptos"/>
                <w:b w:val="0"/>
                <w:sz w:val="16"/>
              </w:rPr>
              <w:t>source_period</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17th/18th Lok Sabha</w:t>
            </w:r>
          </w:p>
        </w:tc>
        <w:tc>
          <w:tcPr>
            <w:tcW w:type="dxa" w:w="3960"/>
            <w:vAlign w:val="center"/>
          </w:tcPr>
          <w:p>
            <w:r/>
            <w:r>
              <w:rPr>
                <w:rFonts w:ascii="Aptos" w:hAnsi="Aptos"/>
                <w:b w:val="0"/>
                <w:sz w:val="16"/>
              </w:rPr>
              <w:t>Historical context and blocking.</w:t>
            </w:r>
          </w:p>
        </w:tc>
      </w:tr>
      <w:tr>
        <w:tc>
          <w:tcPr>
            <w:tcW w:type="dxa" w:w="2232"/>
            <w:vAlign w:val="center"/>
          </w:tcPr>
          <w:p>
            <w:r/>
            <w:r>
              <w:rPr>
                <w:rFonts w:ascii="Aptos" w:hAnsi="Aptos"/>
                <w:b w:val="0"/>
                <w:sz w:val="16"/>
              </w:rPr>
              <w:t>state</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state</w:t>
            </w:r>
          </w:p>
        </w:tc>
        <w:tc>
          <w:tcPr>
            <w:tcW w:type="dxa" w:w="3960"/>
            <w:vAlign w:val="center"/>
          </w:tcPr>
          <w:p>
            <w:r/>
            <w:r>
              <w:rPr>
                <w:rFonts w:ascii="Aptos" w:hAnsi="Aptos"/>
                <w:b w:val="0"/>
                <w:sz w:val="16"/>
              </w:rPr>
              <w:t>Peer context.</w:t>
            </w:r>
          </w:p>
        </w:tc>
      </w:tr>
      <w:tr>
        <w:tc>
          <w:tcPr>
            <w:tcW w:type="dxa" w:w="2232"/>
            <w:vAlign w:val="center"/>
          </w:tcPr>
          <w:p>
            <w:r/>
            <w:r>
              <w:rPr>
                <w:rFonts w:ascii="Aptos" w:hAnsi="Aptos"/>
                <w:b w:val="0"/>
                <w:sz w:val="16"/>
              </w:rPr>
              <w:t>district</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implementing_district or best available district</w:t>
            </w:r>
          </w:p>
        </w:tc>
        <w:tc>
          <w:tcPr>
            <w:tcW w:type="dxa" w:w="3960"/>
            <w:vAlign w:val="center"/>
          </w:tcPr>
          <w:p>
            <w:r/>
            <w:r>
              <w:rPr>
                <w:rFonts w:ascii="Aptos" w:hAnsi="Aptos"/>
                <w:b w:val="0"/>
                <w:sz w:val="16"/>
              </w:rPr>
              <w:t>Peer context and locality signal.</w:t>
            </w:r>
          </w:p>
        </w:tc>
      </w:tr>
      <w:tr>
        <w:tc>
          <w:tcPr>
            <w:tcW w:type="dxa" w:w="2232"/>
            <w:vAlign w:val="center"/>
          </w:tcPr>
          <w:p>
            <w:r/>
            <w:r>
              <w:rPr>
                <w:rFonts w:ascii="Aptos" w:hAnsi="Aptos"/>
                <w:b w:val="0"/>
                <w:sz w:val="16"/>
              </w:rPr>
              <w:t>constituency</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constituency / loksabha_constituency</w:t>
            </w:r>
          </w:p>
        </w:tc>
        <w:tc>
          <w:tcPr>
            <w:tcW w:type="dxa" w:w="3960"/>
            <w:vAlign w:val="center"/>
          </w:tcPr>
          <w:p>
            <w:r/>
            <w:r>
              <w:rPr>
                <w:rFonts w:ascii="Aptos" w:hAnsi="Aptos"/>
                <w:b w:val="0"/>
                <w:sz w:val="16"/>
              </w:rPr>
              <w:t>Locality/context signal.</w:t>
            </w:r>
          </w:p>
        </w:tc>
      </w:tr>
      <w:tr>
        <w:tc>
          <w:tcPr>
            <w:tcW w:type="dxa" w:w="2232"/>
            <w:vAlign w:val="center"/>
          </w:tcPr>
          <w:p>
            <w:r/>
            <w:r>
              <w:rPr>
                <w:rFonts w:ascii="Aptos" w:hAnsi="Aptos"/>
                <w:b w:val="0"/>
                <w:sz w:val="16"/>
              </w:rPr>
              <w:t>mp_name</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mp_name / loksabha_MP_name</w:t>
            </w:r>
          </w:p>
        </w:tc>
        <w:tc>
          <w:tcPr>
            <w:tcW w:type="dxa" w:w="3960"/>
            <w:vAlign w:val="center"/>
          </w:tcPr>
          <w:p>
            <w:r/>
            <w:r>
              <w:rPr>
                <w:rFonts w:ascii="Aptos" w:hAnsi="Aptos"/>
                <w:b w:val="0"/>
                <w:sz w:val="16"/>
              </w:rPr>
              <w:t>Entity context.</w:t>
            </w:r>
          </w:p>
        </w:tc>
      </w:tr>
      <w:tr>
        <w:tc>
          <w:tcPr>
            <w:tcW w:type="dxa" w:w="2232"/>
            <w:vAlign w:val="center"/>
          </w:tcPr>
          <w:p>
            <w:r/>
            <w:r>
              <w:rPr>
                <w:rFonts w:ascii="Aptos" w:hAnsi="Aptos"/>
                <w:b w:val="0"/>
                <w:sz w:val="16"/>
              </w:rPr>
              <w:t>work_category</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22567/22566; blank if unavailable</w:t>
            </w:r>
          </w:p>
        </w:tc>
        <w:tc>
          <w:tcPr>
            <w:tcW w:type="dxa" w:w="3960"/>
            <w:vAlign w:val="center"/>
          </w:tcPr>
          <w:p>
            <w:r/>
            <w:r>
              <w:rPr>
                <w:rFonts w:ascii="Aptos" w:hAnsi="Aptos"/>
                <w:b w:val="0"/>
                <w:sz w:val="16"/>
              </w:rPr>
              <w:t>Primary peer grouping and category-rule checks.</w:t>
            </w:r>
          </w:p>
        </w:tc>
      </w:tr>
      <w:tr>
        <w:tc>
          <w:tcPr>
            <w:tcW w:type="dxa" w:w="2232"/>
            <w:vAlign w:val="center"/>
          </w:tcPr>
          <w:p>
            <w:r/>
            <w:r>
              <w:rPr>
                <w:rFonts w:ascii="Aptos" w:hAnsi="Aptos"/>
                <w:b w:val="0"/>
                <w:sz w:val="16"/>
              </w:rPr>
              <w:t>work_name</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work_name / work</w:t>
            </w:r>
          </w:p>
        </w:tc>
        <w:tc>
          <w:tcPr>
            <w:tcW w:type="dxa" w:w="3960"/>
            <w:vAlign w:val="center"/>
          </w:tcPr>
          <w:p>
            <w:r/>
            <w:r>
              <w:rPr>
                <w:rFonts w:ascii="Aptos" w:hAnsi="Aptos"/>
                <w:b w:val="0"/>
                <w:sz w:val="16"/>
              </w:rPr>
              <w:t>Text similarity input; never treated as unique description for 22565.</w:t>
            </w:r>
          </w:p>
        </w:tc>
      </w:tr>
      <w:tr>
        <w:tc>
          <w:tcPr>
            <w:tcW w:type="dxa" w:w="2232"/>
            <w:vAlign w:val="center"/>
          </w:tcPr>
          <w:p>
            <w:r/>
            <w:r>
              <w:rPr>
                <w:rFonts w:ascii="Aptos" w:hAnsi="Aptos"/>
                <w:b w:val="0"/>
                <w:sz w:val="16"/>
              </w:rPr>
              <w:t>work_description</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work_description when available</w:t>
            </w:r>
          </w:p>
        </w:tc>
        <w:tc>
          <w:tcPr>
            <w:tcW w:type="dxa" w:w="3960"/>
            <w:vAlign w:val="center"/>
          </w:tcPr>
          <w:p>
            <w:r/>
            <w:r>
              <w:rPr>
                <w:rFonts w:ascii="Aptos" w:hAnsi="Aptos"/>
                <w:b w:val="0"/>
                <w:sz w:val="16"/>
              </w:rPr>
              <w:t>Primary semantic duplicate signal.</w:t>
            </w:r>
          </w:p>
        </w:tc>
      </w:tr>
      <w:tr>
        <w:tc>
          <w:tcPr>
            <w:tcW w:type="dxa" w:w="2232"/>
            <w:vAlign w:val="center"/>
          </w:tcPr>
          <w:p>
            <w:r/>
            <w:r>
              <w:rPr>
                <w:rFonts w:ascii="Aptos" w:hAnsi="Aptos"/>
                <w:b w:val="0"/>
                <w:sz w:val="16"/>
              </w:rPr>
              <w:t>agency_name</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implementing_agency_name</w:t>
            </w:r>
          </w:p>
        </w:tc>
        <w:tc>
          <w:tcPr>
            <w:tcW w:type="dxa" w:w="3960"/>
            <w:vAlign w:val="center"/>
          </w:tcPr>
          <w:p>
            <w:r/>
            <w:r>
              <w:rPr>
                <w:rFonts w:ascii="Aptos" w:hAnsi="Aptos"/>
                <w:b w:val="0"/>
                <w:sz w:val="16"/>
              </w:rPr>
              <w:t>Agency similarity and peer context.</w:t>
            </w:r>
          </w:p>
        </w:tc>
      </w:tr>
      <w:tr>
        <w:tc>
          <w:tcPr>
            <w:tcW w:type="dxa" w:w="2232"/>
            <w:vAlign w:val="center"/>
          </w:tcPr>
          <w:p>
            <w:r/>
            <w:r>
              <w:rPr>
                <w:rFonts w:ascii="Aptos" w:hAnsi="Aptos"/>
                <w:b w:val="0"/>
                <w:sz w:val="16"/>
              </w:rPr>
              <w:t>recommended_amount</w:t>
            </w:r>
          </w:p>
        </w:tc>
        <w:tc>
          <w:tcPr>
            <w:tcW w:type="dxa" w:w="1080"/>
            <w:vAlign w:val="center"/>
          </w:tcPr>
          <w:p>
            <w:r/>
            <w:r>
              <w:rPr>
                <w:rFonts w:ascii="Aptos" w:hAnsi="Aptos"/>
                <w:b w:val="0"/>
                <w:sz w:val="16"/>
              </w:rPr>
              <w:t>float</w:t>
            </w:r>
          </w:p>
        </w:tc>
        <w:tc>
          <w:tcPr>
            <w:tcW w:type="dxa" w:w="2880"/>
            <w:vAlign w:val="center"/>
          </w:tcPr>
          <w:p>
            <w:r/>
            <w:r>
              <w:rPr>
                <w:rFonts w:ascii="Aptos" w:hAnsi="Aptos"/>
                <w:b w:val="0"/>
                <w:sz w:val="16"/>
              </w:rPr>
              <w:t>recommended_amount</w:t>
            </w:r>
          </w:p>
        </w:tc>
        <w:tc>
          <w:tcPr>
            <w:tcW w:type="dxa" w:w="3960"/>
            <w:vAlign w:val="center"/>
          </w:tcPr>
          <w:p>
            <w:r/>
            <w:r>
              <w:rPr>
                <w:rFonts w:ascii="Aptos" w:hAnsi="Aptos"/>
                <w:b w:val="0"/>
                <w:sz w:val="16"/>
              </w:rPr>
              <w:t>Financial baseline where available.</w:t>
            </w:r>
          </w:p>
        </w:tc>
      </w:tr>
      <w:tr>
        <w:tc>
          <w:tcPr>
            <w:tcW w:type="dxa" w:w="2232"/>
            <w:vAlign w:val="center"/>
          </w:tcPr>
          <w:p>
            <w:r/>
            <w:r>
              <w:rPr>
                <w:rFonts w:ascii="Aptos" w:hAnsi="Aptos"/>
                <w:b w:val="0"/>
                <w:sz w:val="16"/>
              </w:rPr>
              <w:t>sanction_amount</w:t>
            </w:r>
          </w:p>
        </w:tc>
        <w:tc>
          <w:tcPr>
            <w:tcW w:type="dxa" w:w="1080"/>
            <w:vAlign w:val="center"/>
          </w:tcPr>
          <w:p>
            <w:r/>
            <w:r>
              <w:rPr>
                <w:rFonts w:ascii="Aptos" w:hAnsi="Aptos"/>
                <w:b w:val="0"/>
                <w:sz w:val="16"/>
              </w:rPr>
              <w:t>float</w:t>
            </w:r>
          </w:p>
        </w:tc>
        <w:tc>
          <w:tcPr>
            <w:tcW w:type="dxa" w:w="2880"/>
            <w:vAlign w:val="center"/>
          </w:tcPr>
          <w:p>
            <w:r/>
            <w:r>
              <w:rPr>
                <w:rFonts w:ascii="Aptos" w:hAnsi="Aptos"/>
                <w:b w:val="0"/>
                <w:sz w:val="16"/>
              </w:rPr>
              <w:t>sanction_amount</w:t>
            </w:r>
          </w:p>
        </w:tc>
        <w:tc>
          <w:tcPr>
            <w:tcW w:type="dxa" w:w="3960"/>
            <w:vAlign w:val="center"/>
          </w:tcPr>
          <w:p>
            <w:r/>
            <w:r>
              <w:rPr>
                <w:rFonts w:ascii="Aptos" w:hAnsi="Aptos"/>
                <w:b w:val="0"/>
                <w:sz w:val="16"/>
              </w:rPr>
              <w:t>Financial baseline for 17th records.</w:t>
            </w:r>
          </w:p>
        </w:tc>
      </w:tr>
      <w:tr>
        <w:tc>
          <w:tcPr>
            <w:tcW w:type="dxa" w:w="2232"/>
            <w:vAlign w:val="center"/>
          </w:tcPr>
          <w:p>
            <w:r/>
            <w:r>
              <w:rPr>
                <w:rFonts w:ascii="Aptos" w:hAnsi="Aptos"/>
                <w:b w:val="0"/>
                <w:sz w:val="16"/>
              </w:rPr>
              <w:t>completed_amount</w:t>
            </w:r>
          </w:p>
        </w:tc>
        <w:tc>
          <w:tcPr>
            <w:tcW w:type="dxa" w:w="1080"/>
            <w:vAlign w:val="center"/>
          </w:tcPr>
          <w:p>
            <w:r/>
            <w:r>
              <w:rPr>
                <w:rFonts w:ascii="Aptos" w:hAnsi="Aptos"/>
                <w:b w:val="0"/>
                <w:sz w:val="16"/>
              </w:rPr>
              <w:t>float</w:t>
            </w:r>
          </w:p>
        </w:tc>
        <w:tc>
          <w:tcPr>
            <w:tcW w:type="dxa" w:w="2880"/>
            <w:vAlign w:val="center"/>
          </w:tcPr>
          <w:p>
            <w:r/>
            <w:r>
              <w:rPr>
                <w:rFonts w:ascii="Aptos" w:hAnsi="Aptos"/>
                <w:b w:val="0"/>
                <w:sz w:val="16"/>
              </w:rPr>
              <w:t>22566 amount</w:t>
            </w:r>
          </w:p>
        </w:tc>
        <w:tc>
          <w:tcPr>
            <w:tcW w:type="dxa" w:w="3960"/>
            <w:vAlign w:val="center"/>
          </w:tcPr>
          <w:p>
            <w:r/>
            <w:r>
              <w:rPr>
                <w:rFonts w:ascii="Aptos" w:hAnsi="Aptos"/>
                <w:b w:val="0"/>
                <w:sz w:val="16"/>
              </w:rPr>
              <w:t>Observed amount for completed works.</w:t>
            </w:r>
          </w:p>
        </w:tc>
      </w:tr>
      <w:tr>
        <w:tc>
          <w:tcPr>
            <w:tcW w:type="dxa" w:w="2232"/>
            <w:vAlign w:val="center"/>
          </w:tcPr>
          <w:p>
            <w:r/>
            <w:r>
              <w:rPr>
                <w:rFonts w:ascii="Aptos" w:hAnsi="Aptos"/>
                <w:b w:val="0"/>
                <w:sz w:val="16"/>
              </w:rPr>
              <w:t>proposal_date</w:t>
            </w:r>
          </w:p>
        </w:tc>
        <w:tc>
          <w:tcPr>
            <w:tcW w:type="dxa" w:w="1080"/>
            <w:vAlign w:val="center"/>
          </w:tcPr>
          <w:p>
            <w:r/>
            <w:r>
              <w:rPr>
                <w:rFonts w:ascii="Aptos" w:hAnsi="Aptos"/>
                <w:b w:val="0"/>
                <w:sz w:val="16"/>
              </w:rPr>
              <w:t>date</w:t>
            </w:r>
          </w:p>
        </w:tc>
        <w:tc>
          <w:tcPr>
            <w:tcW w:type="dxa" w:w="2880"/>
            <w:vAlign w:val="center"/>
          </w:tcPr>
          <w:p>
            <w:r/>
            <w:r>
              <w:rPr>
                <w:rFonts w:ascii="Aptos" w:hAnsi="Aptos"/>
                <w:b w:val="0"/>
                <w:sz w:val="16"/>
              </w:rPr>
              <w:t>proposal/recommendation date</w:t>
            </w:r>
          </w:p>
        </w:tc>
        <w:tc>
          <w:tcPr>
            <w:tcW w:type="dxa" w:w="3960"/>
            <w:vAlign w:val="center"/>
          </w:tcPr>
          <w:p>
            <w:r/>
            <w:r>
              <w:rPr>
                <w:rFonts w:ascii="Aptos" w:hAnsi="Aptos"/>
                <w:b w:val="0"/>
                <w:sz w:val="16"/>
              </w:rPr>
              <w:t>Timeline feature.</w:t>
            </w:r>
          </w:p>
        </w:tc>
      </w:tr>
      <w:tr>
        <w:tc>
          <w:tcPr>
            <w:tcW w:type="dxa" w:w="2232"/>
            <w:vAlign w:val="center"/>
          </w:tcPr>
          <w:p>
            <w:r/>
            <w:r>
              <w:rPr>
                <w:rFonts w:ascii="Aptos" w:hAnsi="Aptos"/>
                <w:b w:val="0"/>
                <w:sz w:val="16"/>
              </w:rPr>
              <w:t>approval_date</w:t>
            </w:r>
          </w:p>
        </w:tc>
        <w:tc>
          <w:tcPr>
            <w:tcW w:type="dxa" w:w="1080"/>
            <w:vAlign w:val="center"/>
          </w:tcPr>
          <w:p>
            <w:r/>
            <w:r>
              <w:rPr>
                <w:rFonts w:ascii="Aptos" w:hAnsi="Aptos"/>
                <w:b w:val="0"/>
                <w:sz w:val="16"/>
              </w:rPr>
              <w:t>date</w:t>
            </w:r>
          </w:p>
        </w:tc>
        <w:tc>
          <w:tcPr>
            <w:tcW w:type="dxa" w:w="2880"/>
            <w:vAlign w:val="center"/>
          </w:tcPr>
          <w:p>
            <w:r/>
            <w:r>
              <w:rPr>
                <w:rFonts w:ascii="Aptos" w:hAnsi="Aptos"/>
                <w:b w:val="0"/>
                <w:sz w:val="16"/>
              </w:rPr>
              <w:t>administrative approval where available</w:t>
            </w:r>
          </w:p>
        </w:tc>
        <w:tc>
          <w:tcPr>
            <w:tcW w:type="dxa" w:w="3960"/>
            <w:vAlign w:val="center"/>
          </w:tcPr>
          <w:p>
            <w:r/>
            <w:r>
              <w:rPr>
                <w:rFonts w:ascii="Aptos" w:hAnsi="Aptos"/>
                <w:b w:val="0"/>
                <w:sz w:val="16"/>
              </w:rPr>
              <w:t>Timeline feature; sparse in 18533.</w:t>
            </w:r>
          </w:p>
        </w:tc>
      </w:tr>
      <w:tr>
        <w:tc>
          <w:tcPr>
            <w:tcW w:type="dxa" w:w="2232"/>
            <w:vAlign w:val="center"/>
          </w:tcPr>
          <w:p>
            <w:r/>
            <w:r>
              <w:rPr>
                <w:rFonts w:ascii="Aptos" w:hAnsi="Aptos"/>
                <w:b w:val="0"/>
                <w:sz w:val="16"/>
              </w:rPr>
              <w:t>completion_date</w:t>
            </w:r>
          </w:p>
        </w:tc>
        <w:tc>
          <w:tcPr>
            <w:tcW w:type="dxa" w:w="1080"/>
            <w:vAlign w:val="center"/>
          </w:tcPr>
          <w:p>
            <w:r/>
            <w:r>
              <w:rPr>
                <w:rFonts w:ascii="Aptos" w:hAnsi="Aptos"/>
                <w:b w:val="0"/>
                <w:sz w:val="16"/>
              </w:rPr>
              <w:t>date</w:t>
            </w:r>
          </w:p>
        </w:tc>
        <w:tc>
          <w:tcPr>
            <w:tcW w:type="dxa" w:w="2880"/>
            <w:vAlign w:val="center"/>
          </w:tcPr>
          <w:p>
            <w:r/>
            <w:r>
              <w:rPr>
                <w:rFonts w:ascii="Aptos" w:hAnsi="Aptos"/>
                <w:b w:val="0"/>
                <w:sz w:val="16"/>
              </w:rPr>
              <w:t>22566 date_of_completion</w:t>
            </w:r>
          </w:p>
        </w:tc>
        <w:tc>
          <w:tcPr>
            <w:tcW w:type="dxa" w:w="3960"/>
            <w:vAlign w:val="center"/>
          </w:tcPr>
          <w:p>
            <w:r/>
            <w:r>
              <w:rPr>
                <w:rFonts w:ascii="Aptos" w:hAnsi="Aptos"/>
                <w:b w:val="0"/>
                <w:sz w:val="16"/>
              </w:rPr>
              <w:t>Timeline feature.</w:t>
            </w:r>
          </w:p>
        </w:tc>
      </w:tr>
      <w:tr>
        <w:tc>
          <w:tcPr>
            <w:tcW w:type="dxa" w:w="2232"/>
            <w:vAlign w:val="center"/>
          </w:tcPr>
          <w:p>
            <w:r/>
            <w:r>
              <w:rPr>
                <w:rFonts w:ascii="Aptos" w:hAnsi="Aptos"/>
                <w:b w:val="0"/>
                <w:sz w:val="16"/>
              </w:rPr>
              <w:t>work_status</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work_status or derived completed flag</w:t>
            </w:r>
          </w:p>
        </w:tc>
        <w:tc>
          <w:tcPr>
            <w:tcW w:type="dxa" w:w="3960"/>
            <w:vAlign w:val="center"/>
          </w:tcPr>
          <w:p>
            <w:r/>
            <w:r>
              <w:rPr>
                <w:rFonts w:ascii="Aptos" w:hAnsi="Aptos"/>
                <w:b w:val="0"/>
                <w:sz w:val="16"/>
              </w:rPr>
              <w:t>Mismatch/status evidence.</w:t>
            </w:r>
          </w:p>
        </w:tc>
      </w:tr>
      <w:tr>
        <w:tc>
          <w:tcPr>
            <w:tcW w:type="dxa" w:w="2232"/>
            <w:vAlign w:val="center"/>
          </w:tcPr>
          <w:p>
            <w:r/>
            <w:r>
              <w:rPr>
                <w:rFonts w:ascii="Aptos" w:hAnsi="Aptos"/>
                <w:b w:val="0"/>
                <w:sz w:val="16"/>
              </w:rPr>
              <w:t>image_status</w:t>
            </w:r>
          </w:p>
        </w:tc>
        <w:tc>
          <w:tcPr>
            <w:tcW w:type="dxa" w:w="1080"/>
            <w:vAlign w:val="center"/>
          </w:tcPr>
          <w:p>
            <w:r/>
            <w:r>
              <w:rPr>
                <w:rFonts w:ascii="Aptos" w:hAnsi="Aptos"/>
                <w:b w:val="0"/>
                <w:sz w:val="16"/>
              </w:rPr>
              <w:t>string</w:t>
            </w:r>
          </w:p>
        </w:tc>
        <w:tc>
          <w:tcPr>
            <w:tcW w:type="dxa" w:w="2880"/>
            <w:vAlign w:val="center"/>
          </w:tcPr>
          <w:p>
            <w:r/>
            <w:r>
              <w:rPr>
                <w:rFonts w:ascii="Aptos" w:hAnsi="Aptos"/>
                <w:b w:val="0"/>
                <w:sz w:val="16"/>
              </w:rPr>
              <w:t>image_status</w:t>
            </w:r>
          </w:p>
        </w:tc>
        <w:tc>
          <w:tcPr>
            <w:tcW w:type="dxa" w:w="3960"/>
            <w:vAlign w:val="center"/>
          </w:tcPr>
          <w:p>
            <w:r/>
            <w:r>
              <w:rPr>
                <w:rFonts w:ascii="Aptos" w:hAnsi="Aptos"/>
                <w:b w:val="0"/>
                <w:sz w:val="16"/>
              </w:rPr>
              <w:t>Evidence-availability context, not proof of physical progress.</w:t>
            </w:r>
          </w:p>
        </w:tc>
      </w:tr>
      <w:tr>
        <w:tc>
          <w:tcPr>
            <w:tcW w:type="dxa" w:w="2232"/>
            <w:vAlign w:val="center"/>
          </w:tcPr>
          <w:p>
            <w:r/>
            <w:r>
              <w:rPr>
                <w:rFonts w:ascii="Aptos" w:hAnsi="Aptos"/>
                <w:b w:val="0"/>
                <w:sz w:val="16"/>
              </w:rPr>
              <w:t>physical_progress_pct</w:t>
            </w:r>
          </w:p>
        </w:tc>
        <w:tc>
          <w:tcPr>
            <w:tcW w:type="dxa" w:w="1080"/>
            <w:vAlign w:val="center"/>
          </w:tcPr>
          <w:p>
            <w:r/>
            <w:r>
              <w:rPr>
                <w:rFonts w:ascii="Aptos" w:hAnsi="Aptos"/>
                <w:b w:val="0"/>
                <w:sz w:val="16"/>
              </w:rPr>
              <w:t>float/NA</w:t>
            </w:r>
          </w:p>
        </w:tc>
        <w:tc>
          <w:tcPr>
            <w:tcW w:type="dxa" w:w="2880"/>
            <w:vAlign w:val="center"/>
          </w:tcPr>
          <w:p>
            <w:r/>
            <w:r>
              <w:rPr>
                <w:rFonts w:ascii="Aptos" w:hAnsi="Aptos"/>
                <w:b w:val="0"/>
                <w:sz w:val="16"/>
              </w:rPr>
              <w:t>ONLY from a future validated official source</w:t>
            </w:r>
          </w:p>
        </w:tc>
        <w:tc>
          <w:tcPr>
            <w:tcW w:type="dxa" w:w="3960"/>
            <w:vAlign w:val="center"/>
          </w:tcPr>
          <w:p>
            <w:r/>
            <w:r>
              <w:rPr>
                <w:rFonts w:ascii="Aptos" w:hAnsi="Aptos"/>
                <w:b w:val="0"/>
                <w:sz w:val="16"/>
              </w:rPr>
              <w:t>Level 3 mismatch; disabled unless genuine field exists.</w:t>
            </w:r>
          </w:p>
        </w:tc>
      </w:tr>
      <w:tr>
        <w:tc>
          <w:tcPr>
            <w:tcW w:type="dxa" w:w="2232"/>
            <w:vAlign w:val="center"/>
          </w:tcPr>
          <w:p>
            <w:r/>
            <w:r>
              <w:rPr>
                <w:rFonts w:ascii="Aptos" w:hAnsi="Aptos"/>
                <w:b w:val="0"/>
                <w:sz w:val="16"/>
              </w:rPr>
              <w:t>data_quality_flags</w:t>
            </w:r>
          </w:p>
        </w:tc>
        <w:tc>
          <w:tcPr>
            <w:tcW w:type="dxa" w:w="1080"/>
            <w:vAlign w:val="center"/>
          </w:tcPr>
          <w:p>
            <w:r/>
            <w:r>
              <w:rPr>
                <w:rFonts w:ascii="Aptos" w:hAnsi="Aptos"/>
                <w:b w:val="0"/>
                <w:sz w:val="16"/>
              </w:rPr>
              <w:t>list</w:t>
            </w:r>
          </w:p>
        </w:tc>
        <w:tc>
          <w:tcPr>
            <w:tcW w:type="dxa" w:w="2880"/>
            <w:vAlign w:val="center"/>
          </w:tcPr>
          <w:p>
            <w:r/>
            <w:r>
              <w:rPr>
                <w:rFonts w:ascii="Aptos" w:hAnsi="Aptos"/>
                <w:b w:val="0"/>
                <w:sz w:val="16"/>
              </w:rPr>
              <w:t>pipeline generated</w:t>
            </w:r>
          </w:p>
        </w:tc>
        <w:tc>
          <w:tcPr>
            <w:tcW w:type="dxa" w:w="3960"/>
            <w:vAlign w:val="center"/>
          </w:tcPr>
          <w:p>
            <w:r/>
            <w:r>
              <w:rPr>
                <w:rFonts w:ascii="Aptos" w:hAnsi="Aptos"/>
                <w:b w:val="0"/>
                <w:sz w:val="16"/>
              </w:rPr>
              <w:t>Missingness, parsing, join and provenance warnings.</w:t>
            </w:r>
          </w:p>
        </w:tc>
      </w:tr>
    </w:tbl>
    <w:p/>
    <w:p>
      <w:pPr>
        <w:pStyle w:val="Heading1"/>
      </w:pPr>
      <w:r>
        <w:t>6. End-to-End Data Pipeline</w:t>
      </w:r>
    </w:p>
    <w:p>
      <w:pPr>
        <w:pStyle w:val="Heading2"/>
      </w:pPr>
      <w:r>
        <w:t>6.1 Acquisition</w:t>
      </w:r>
    </w:p>
    <w:p>
      <w:r>
        <w:t>Download/export the four source datasets into data/raw/. Keep source filenames, source dates and a manifest. Never overwrite raw files during cleaning.</w:t>
      </w:r>
    </w:p>
    <w:p>
      <w:pPr>
        <w:pStyle w:val="Heading2"/>
      </w:pPr>
      <w:r>
        <w:t>6.2 Schema validation</w:t>
      </w:r>
    </w:p>
    <w:p>
      <w:r>
        <w:t>Check required columns, data types, null rates, distinct counts, date parse rate, numeric parse rate, and duplicate work_id rate. Fail loudly if mandatory fields for a dataset are missing.</w:t>
      </w:r>
    </w:p>
    <w:p>
      <w:pPr>
        <w:pStyle w:val="Heading2"/>
      </w:pPr>
      <w:r>
        <w:t>6.3 Cleaning</w:t>
      </w:r>
    </w:p>
    <w:p>
      <w:r>
        <w:t>Normalize whitespace, casing, punctuation, common agency suffixes, district/constituency naming variants, date formats and numeric amount strings. Preserve original raw values in *_raw columns where useful.</w:t>
      </w:r>
    </w:p>
    <w:p>
      <w:pPr>
        <w:pStyle w:val="Heading2"/>
      </w:pPr>
      <w:r>
        <w:t>6.4 Numeric parsing</w:t>
      </w:r>
    </w:p>
    <w:p>
      <w:r>
        <w:t>Remove currency separators and parse Indian-number formats safely. Any unparseable financial value becomes NA with a data-quality flag, never zero.</w:t>
      </w:r>
    </w:p>
    <w:p>
      <w:pPr>
        <w:pStyle w:val="Heading2"/>
      </w:pPr>
      <w:r>
        <w:t>6.5 Date parsing</w:t>
      </w:r>
    </w:p>
    <w:p>
      <w:r>
        <w:t>Parse recommendation/proposal/approval/completion dates. Reject impossible dates and preserve parse failures as NA + flag.</w:t>
      </w:r>
    </w:p>
    <w:p>
      <w:pPr>
        <w:pStyle w:val="Heading2"/>
      </w:pPr>
      <w:r>
        <w:t>6.6 Canonicalization</w:t>
      </w:r>
    </w:p>
    <w:p>
      <w:r>
        <w:t>Map each source into the canonical schema. Use source_period and source_dataset fields for provenance.</w:t>
      </w:r>
    </w:p>
    <w:p>
      <w:pPr>
        <w:pStyle w:val="Heading2"/>
      </w:pPr>
      <w:r>
        <w:t>6.7 Exact joins</w:t>
      </w:r>
    </w:p>
    <w:p>
      <w:r>
        <w:t>Join 22566 to 22567 by unique_work_number. Record match rate and conflicting fields. Do not fuzzy-join work IDs.</w:t>
      </w:r>
    </w:p>
    <w:p>
      <w:pPr>
        <w:pStyle w:val="Heading2"/>
      </w:pPr>
      <w:r>
        <w:t>6.8 Historical append</w:t>
      </w:r>
    </w:p>
    <w:p>
      <w:r>
        <w:t>Stack normalized 17th records with the 18th master for cross-year analysis while preserving source_period.</w:t>
      </w:r>
    </w:p>
    <w:p>
      <w:pPr>
        <w:pStyle w:val="Heading2"/>
      </w:pPr>
      <w:r>
        <w:t>6.9 Feature generation</w:t>
      </w:r>
    </w:p>
    <w:p>
      <w:r>
        <w:t>Create peer keys, robust statistics inputs, duration/lag features, duplicate blocking keys and evidence-coverage flags.</w:t>
      </w:r>
    </w:p>
    <w:p>
      <w:pPr>
        <w:pStyle w:val="Heading2"/>
      </w:pPr>
      <w:r>
        <w:t>6.10 Scoring</w:t>
      </w:r>
    </w:p>
    <w:p>
      <w:r>
        <w:t>Run only engines whose required inputs are available. Return both score and evidence object.</w:t>
      </w:r>
    </w:p>
    <w:p>
      <w:pPr>
        <w:pStyle w:val="Heading2"/>
      </w:pPr>
      <w:r>
        <w:t>6.11 Fusion</w:t>
      </w:r>
    </w:p>
    <w:p>
      <w:r>
        <w:t>Apply the locked weights only to available module scores and renormalize by available weight.</w:t>
      </w:r>
    </w:p>
    <w:p>
      <w:pPr>
        <w:pStyle w:val="Heading2"/>
      </w:pPr>
      <w:r>
        <w:t>6.12 Presentation</w:t>
      </w:r>
    </w:p>
    <w:p>
      <w:r>
        <w:t>Display score, risk band, evidence coverage, module-level scores, evidence text, confidence and recommended investigation action.</w:t>
      </w:r>
    </w:p>
    <w:p>
      <w:pPr>
        <w:pStyle w:val="Heading1"/>
      </w:pPr>
      <w:r>
        <w:t>7. Feature Engineering Layer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1F4E79"/>
          </w:tcPr>
          <w:p>
            <w:r/>
            <w:r>
              <w:rPr>
                <w:rFonts w:ascii="Aptos" w:hAnsi="Aptos"/>
                <w:b/>
                <w:color w:val="FFFFFF"/>
                <w:sz w:val="16"/>
              </w:rPr>
              <w:t>Feature</w:t>
            </w:r>
          </w:p>
        </w:tc>
        <w:tc>
          <w:tcPr>
            <w:tcW w:type="dxa" w:w="4896"/>
            <w:vAlign w:val="center"/>
            <w:shd w:fill="1F4E79"/>
          </w:tcPr>
          <w:p>
            <w:r/>
            <w:r>
              <w:rPr>
                <w:rFonts w:ascii="Aptos" w:hAnsi="Aptos"/>
                <w:b/>
                <w:color w:val="FFFFFF"/>
                <w:sz w:val="16"/>
              </w:rPr>
              <w:t>Formula/logic</w:t>
            </w:r>
          </w:p>
        </w:tc>
        <w:tc>
          <w:tcPr>
            <w:tcW w:type="dxa" w:w="2448"/>
            <w:vAlign w:val="center"/>
            <w:shd w:fill="1F4E79"/>
          </w:tcPr>
          <w:p>
            <w:r/>
            <w:r>
              <w:rPr>
                <w:rFonts w:ascii="Aptos" w:hAnsi="Aptos"/>
                <w:b/>
                <w:color w:val="FFFFFF"/>
                <w:sz w:val="16"/>
              </w:rPr>
              <w:t>Used by</w:t>
            </w:r>
          </w:p>
        </w:tc>
      </w:tr>
      <w:tr>
        <w:tc>
          <w:tcPr>
            <w:tcW w:type="dxa" w:w="2088"/>
            <w:vAlign w:val="center"/>
          </w:tcPr>
          <w:p>
            <w:r/>
            <w:r>
              <w:rPr>
                <w:rFonts w:ascii="Aptos" w:hAnsi="Aptos"/>
                <w:b w:val="0"/>
                <w:sz w:val="16"/>
              </w:rPr>
              <w:t>project_amount</w:t>
            </w:r>
          </w:p>
        </w:tc>
        <w:tc>
          <w:tcPr>
            <w:tcW w:type="dxa" w:w="4896"/>
            <w:vAlign w:val="center"/>
          </w:tcPr>
          <w:p>
            <w:r/>
            <w:r>
              <w:rPr>
                <w:rFonts w:ascii="Aptos" w:hAnsi="Aptos"/>
                <w:b w:val="0"/>
                <w:sz w:val="16"/>
              </w:rPr>
              <w:t>Prefer recommended_amount; use sanction_amount where recommended is absent.</w:t>
            </w:r>
          </w:p>
        </w:tc>
        <w:tc>
          <w:tcPr>
            <w:tcW w:type="dxa" w:w="2448"/>
            <w:vAlign w:val="center"/>
          </w:tcPr>
          <w:p>
            <w:r/>
            <w:r>
              <w:rPr>
                <w:rFonts w:ascii="Aptos" w:hAnsi="Aptos"/>
                <w:b w:val="0"/>
                <w:sz w:val="16"/>
              </w:rPr>
              <w:t>Peer, Statistical, Mismatch baseline</w:t>
            </w:r>
          </w:p>
        </w:tc>
      </w:tr>
      <w:tr>
        <w:tc>
          <w:tcPr>
            <w:tcW w:type="dxa" w:w="2088"/>
            <w:vAlign w:val="center"/>
          </w:tcPr>
          <w:p>
            <w:r/>
            <w:r>
              <w:rPr>
                <w:rFonts w:ascii="Aptos" w:hAnsi="Aptos"/>
                <w:b w:val="0"/>
                <w:sz w:val="16"/>
              </w:rPr>
              <w:t>final_amount_ratio</w:t>
            </w:r>
          </w:p>
        </w:tc>
        <w:tc>
          <w:tcPr>
            <w:tcW w:type="dxa" w:w="4896"/>
            <w:vAlign w:val="center"/>
          </w:tcPr>
          <w:p>
            <w:r/>
            <w:r>
              <w:rPr>
                <w:rFonts w:ascii="Aptos" w:hAnsi="Aptos"/>
                <w:b w:val="0"/>
                <w:sz w:val="16"/>
              </w:rPr>
              <w:t>completed_amount / recommended_amount when both exist and recommendation baseline is valid.</w:t>
            </w:r>
          </w:p>
        </w:tc>
        <w:tc>
          <w:tcPr>
            <w:tcW w:type="dxa" w:w="2448"/>
            <w:vAlign w:val="center"/>
          </w:tcPr>
          <w:p>
            <w:r/>
            <w:r>
              <w:rPr>
                <w:rFonts w:ascii="Aptos" w:hAnsi="Aptos"/>
                <w:b w:val="0"/>
                <w:sz w:val="16"/>
              </w:rPr>
              <w:t>Mismatch / financial evidence</w:t>
            </w:r>
          </w:p>
        </w:tc>
      </w:tr>
      <w:tr>
        <w:tc>
          <w:tcPr>
            <w:tcW w:type="dxa" w:w="2088"/>
            <w:vAlign w:val="center"/>
          </w:tcPr>
          <w:p>
            <w:r/>
            <w:r>
              <w:rPr>
                <w:rFonts w:ascii="Aptos" w:hAnsi="Aptos"/>
                <w:b w:val="0"/>
                <w:sz w:val="16"/>
              </w:rPr>
              <w:t>duration_days</w:t>
            </w:r>
          </w:p>
        </w:tc>
        <w:tc>
          <w:tcPr>
            <w:tcW w:type="dxa" w:w="4896"/>
            <w:vAlign w:val="center"/>
          </w:tcPr>
          <w:p>
            <w:r/>
            <w:r>
              <w:rPr>
                <w:rFonts w:ascii="Aptos" w:hAnsi="Aptos"/>
                <w:b w:val="0"/>
                <w:sz w:val="16"/>
              </w:rPr>
              <w:t>completion_date - proposal/recommendation date when both exist; for ongoing records, snapshot/recommendation date if a valid operational snapshot is defined.</w:t>
            </w:r>
          </w:p>
        </w:tc>
        <w:tc>
          <w:tcPr>
            <w:tcW w:type="dxa" w:w="2448"/>
            <w:vAlign w:val="center"/>
          </w:tcPr>
          <w:p>
            <w:r/>
            <w:r>
              <w:rPr>
                <w:rFonts w:ascii="Aptos" w:hAnsi="Aptos"/>
                <w:b w:val="0"/>
                <w:sz w:val="16"/>
              </w:rPr>
              <w:t>Mismatch, Statistical</w:t>
            </w:r>
          </w:p>
        </w:tc>
      </w:tr>
      <w:tr>
        <w:tc>
          <w:tcPr>
            <w:tcW w:type="dxa" w:w="2088"/>
            <w:vAlign w:val="center"/>
          </w:tcPr>
          <w:p>
            <w:r/>
            <w:r>
              <w:rPr>
                <w:rFonts w:ascii="Aptos" w:hAnsi="Aptos"/>
                <w:b w:val="0"/>
                <w:sz w:val="16"/>
              </w:rPr>
              <w:t>approval_lag_days</w:t>
            </w:r>
          </w:p>
        </w:tc>
        <w:tc>
          <w:tcPr>
            <w:tcW w:type="dxa" w:w="4896"/>
            <w:vAlign w:val="center"/>
          </w:tcPr>
          <w:p>
            <w:r/>
            <w:r>
              <w:rPr>
                <w:rFonts w:ascii="Aptos" w:hAnsi="Aptos"/>
                <w:b w:val="0"/>
                <w:sz w:val="16"/>
              </w:rPr>
              <w:t>approval_date - proposal_date when both exist.</w:t>
            </w:r>
          </w:p>
        </w:tc>
        <w:tc>
          <w:tcPr>
            <w:tcW w:type="dxa" w:w="2448"/>
            <w:vAlign w:val="center"/>
          </w:tcPr>
          <w:p>
            <w:r/>
            <w:r>
              <w:rPr>
                <w:rFonts w:ascii="Aptos" w:hAnsi="Aptos"/>
                <w:b w:val="0"/>
                <w:sz w:val="16"/>
              </w:rPr>
              <w:t>Statistical / timeline context</w:t>
            </w:r>
          </w:p>
        </w:tc>
      </w:tr>
      <w:tr>
        <w:tc>
          <w:tcPr>
            <w:tcW w:type="dxa" w:w="2088"/>
            <w:vAlign w:val="center"/>
          </w:tcPr>
          <w:p>
            <w:r/>
            <w:r>
              <w:rPr>
                <w:rFonts w:ascii="Aptos" w:hAnsi="Aptos"/>
                <w:b w:val="0"/>
                <w:sz w:val="16"/>
              </w:rPr>
              <w:t>peer_group_size</w:t>
            </w:r>
          </w:p>
        </w:tc>
        <w:tc>
          <w:tcPr>
            <w:tcW w:type="dxa" w:w="4896"/>
            <w:vAlign w:val="center"/>
          </w:tcPr>
          <w:p>
            <w:r/>
            <w:r>
              <w:rPr>
                <w:rFonts w:ascii="Aptos" w:hAnsi="Aptos"/>
                <w:b w:val="0"/>
                <w:sz w:val="16"/>
              </w:rPr>
              <w:t>count of candidate peers after fallback.</w:t>
            </w:r>
          </w:p>
        </w:tc>
        <w:tc>
          <w:tcPr>
            <w:tcW w:type="dxa" w:w="2448"/>
            <w:vAlign w:val="center"/>
          </w:tcPr>
          <w:p>
            <w:r/>
            <w:r>
              <w:rPr>
                <w:rFonts w:ascii="Aptos" w:hAnsi="Aptos"/>
                <w:b w:val="0"/>
                <w:sz w:val="16"/>
              </w:rPr>
              <w:t>Peer score + coverage</w:t>
            </w:r>
          </w:p>
        </w:tc>
      </w:tr>
      <w:tr>
        <w:tc>
          <w:tcPr>
            <w:tcW w:type="dxa" w:w="2088"/>
            <w:vAlign w:val="center"/>
          </w:tcPr>
          <w:p>
            <w:r/>
            <w:r>
              <w:rPr>
                <w:rFonts w:ascii="Aptos" w:hAnsi="Aptos"/>
                <w:b w:val="0"/>
                <w:sz w:val="16"/>
              </w:rPr>
              <w:t>peer_percentile</w:t>
            </w:r>
          </w:p>
        </w:tc>
        <w:tc>
          <w:tcPr>
            <w:tcW w:type="dxa" w:w="4896"/>
            <w:vAlign w:val="center"/>
          </w:tcPr>
          <w:p>
            <w:r/>
            <w:r>
              <w:rPr>
                <w:rFonts w:ascii="Aptos" w:hAnsi="Aptos"/>
                <w:b w:val="0"/>
                <w:sz w:val="16"/>
              </w:rPr>
              <w:t>empirical percentile of project_amount in peer cohort.</w:t>
            </w:r>
          </w:p>
        </w:tc>
        <w:tc>
          <w:tcPr>
            <w:tcW w:type="dxa" w:w="2448"/>
            <w:vAlign w:val="center"/>
          </w:tcPr>
          <w:p>
            <w:r/>
            <w:r>
              <w:rPr>
                <w:rFonts w:ascii="Aptos" w:hAnsi="Aptos"/>
                <w:b w:val="0"/>
                <w:sz w:val="16"/>
              </w:rPr>
              <w:t>Peer</w:t>
            </w:r>
          </w:p>
        </w:tc>
      </w:tr>
      <w:tr>
        <w:tc>
          <w:tcPr>
            <w:tcW w:type="dxa" w:w="2088"/>
            <w:vAlign w:val="center"/>
          </w:tcPr>
          <w:p>
            <w:r/>
            <w:r>
              <w:rPr>
                <w:rFonts w:ascii="Aptos" w:hAnsi="Aptos"/>
                <w:b w:val="0"/>
                <w:sz w:val="16"/>
              </w:rPr>
              <w:t>iqr_distance</w:t>
            </w:r>
          </w:p>
        </w:tc>
        <w:tc>
          <w:tcPr>
            <w:tcW w:type="dxa" w:w="4896"/>
            <w:vAlign w:val="center"/>
          </w:tcPr>
          <w:p>
            <w:r/>
            <w:r>
              <w:rPr>
                <w:rFonts w:ascii="Aptos" w:hAnsi="Aptos"/>
                <w:b w:val="0"/>
                <w:sz w:val="16"/>
              </w:rPr>
              <w:t>distance beyond Q1/Q3 relative to peer IQR.</w:t>
            </w:r>
          </w:p>
        </w:tc>
        <w:tc>
          <w:tcPr>
            <w:tcW w:type="dxa" w:w="2448"/>
            <w:vAlign w:val="center"/>
          </w:tcPr>
          <w:p>
            <w:r/>
            <w:r>
              <w:rPr>
                <w:rFonts w:ascii="Aptos" w:hAnsi="Aptos"/>
                <w:b w:val="0"/>
                <w:sz w:val="16"/>
              </w:rPr>
              <w:t>Peer, Statistical</w:t>
            </w:r>
          </w:p>
        </w:tc>
      </w:tr>
      <w:tr>
        <w:tc>
          <w:tcPr>
            <w:tcW w:type="dxa" w:w="2088"/>
            <w:vAlign w:val="center"/>
          </w:tcPr>
          <w:p>
            <w:r/>
            <w:r>
              <w:rPr>
                <w:rFonts w:ascii="Aptos" w:hAnsi="Aptos"/>
                <w:b w:val="0"/>
                <w:sz w:val="16"/>
              </w:rPr>
              <w:t>category_share</w:t>
            </w:r>
          </w:p>
        </w:tc>
        <w:tc>
          <w:tcPr>
            <w:tcW w:type="dxa" w:w="4896"/>
            <w:vAlign w:val="center"/>
          </w:tcPr>
          <w:p>
            <w:r/>
            <w:r>
              <w:rPr>
                <w:rFonts w:ascii="Aptos" w:hAnsi="Aptos"/>
                <w:b w:val="0"/>
                <w:sz w:val="16"/>
              </w:rPr>
              <w:t>category frequency in relevant scope.</w:t>
            </w:r>
          </w:p>
        </w:tc>
        <w:tc>
          <w:tcPr>
            <w:tcW w:type="dxa" w:w="2448"/>
            <w:vAlign w:val="center"/>
          </w:tcPr>
          <w:p>
            <w:r/>
            <w:r>
              <w:rPr>
                <w:rFonts w:ascii="Aptos" w:hAnsi="Aptos"/>
                <w:b w:val="0"/>
                <w:sz w:val="16"/>
              </w:rPr>
              <w:t>Statistical/context</w:t>
            </w:r>
          </w:p>
        </w:tc>
      </w:tr>
      <w:tr>
        <w:tc>
          <w:tcPr>
            <w:tcW w:type="dxa" w:w="2088"/>
            <w:vAlign w:val="center"/>
          </w:tcPr>
          <w:p>
            <w:r/>
            <w:r>
              <w:rPr>
                <w:rFonts w:ascii="Aptos" w:hAnsi="Aptos"/>
                <w:b w:val="0"/>
                <w:sz w:val="16"/>
              </w:rPr>
              <w:t>agency_frequency</w:t>
            </w:r>
          </w:p>
        </w:tc>
        <w:tc>
          <w:tcPr>
            <w:tcW w:type="dxa" w:w="4896"/>
            <w:vAlign w:val="center"/>
          </w:tcPr>
          <w:p>
            <w:r/>
            <w:r>
              <w:rPr>
                <w:rFonts w:ascii="Aptos" w:hAnsi="Aptos"/>
                <w:b w:val="0"/>
                <w:sz w:val="16"/>
              </w:rPr>
              <w:t>agency frequency within district/state/period.</w:t>
            </w:r>
          </w:p>
        </w:tc>
        <w:tc>
          <w:tcPr>
            <w:tcW w:type="dxa" w:w="2448"/>
            <w:vAlign w:val="center"/>
          </w:tcPr>
          <w:p>
            <w:r/>
            <w:r>
              <w:rPr>
                <w:rFonts w:ascii="Aptos" w:hAnsi="Aptos"/>
                <w:b w:val="0"/>
                <w:sz w:val="16"/>
              </w:rPr>
              <w:t>Duplicate/entity context</w:t>
            </w:r>
          </w:p>
        </w:tc>
      </w:tr>
      <w:tr>
        <w:tc>
          <w:tcPr>
            <w:tcW w:type="dxa" w:w="2088"/>
            <w:vAlign w:val="center"/>
          </w:tcPr>
          <w:p>
            <w:r/>
            <w:r>
              <w:rPr>
                <w:rFonts w:ascii="Aptos" w:hAnsi="Aptos"/>
                <w:b w:val="0"/>
                <w:sz w:val="16"/>
              </w:rPr>
              <w:t>text_normalized</w:t>
            </w:r>
          </w:p>
        </w:tc>
        <w:tc>
          <w:tcPr>
            <w:tcW w:type="dxa" w:w="4896"/>
            <w:vAlign w:val="center"/>
          </w:tcPr>
          <w:p>
            <w:r/>
            <w:r>
              <w:rPr>
                <w:rFonts w:ascii="Aptos" w:hAnsi="Aptos"/>
                <w:b w:val="0"/>
                <w:sz w:val="16"/>
              </w:rPr>
              <w:t>lowercase, punctuation-normalized work description/name.</w:t>
            </w:r>
          </w:p>
        </w:tc>
        <w:tc>
          <w:tcPr>
            <w:tcW w:type="dxa" w:w="2448"/>
            <w:vAlign w:val="center"/>
          </w:tcPr>
          <w:p>
            <w:r/>
            <w:r>
              <w:rPr>
                <w:rFonts w:ascii="Aptos" w:hAnsi="Aptos"/>
                <w:b w:val="0"/>
                <w:sz w:val="16"/>
              </w:rPr>
              <w:t>Duplicate</w:t>
            </w:r>
          </w:p>
        </w:tc>
      </w:tr>
      <w:tr>
        <w:tc>
          <w:tcPr>
            <w:tcW w:type="dxa" w:w="2088"/>
            <w:vAlign w:val="center"/>
          </w:tcPr>
          <w:p>
            <w:r/>
            <w:r>
              <w:rPr>
                <w:rFonts w:ascii="Aptos" w:hAnsi="Aptos"/>
                <w:b w:val="0"/>
                <w:sz w:val="16"/>
              </w:rPr>
              <w:t>embedding</w:t>
            </w:r>
          </w:p>
        </w:tc>
        <w:tc>
          <w:tcPr>
            <w:tcW w:type="dxa" w:w="4896"/>
            <w:vAlign w:val="center"/>
          </w:tcPr>
          <w:p>
            <w:r/>
            <w:r>
              <w:rPr>
                <w:rFonts w:ascii="Aptos" w:hAnsi="Aptos"/>
                <w:b w:val="0"/>
                <w:sz w:val="16"/>
              </w:rPr>
              <w:t>MiniLM sentence embedding of text.</w:t>
            </w:r>
          </w:p>
        </w:tc>
        <w:tc>
          <w:tcPr>
            <w:tcW w:type="dxa" w:w="2448"/>
            <w:vAlign w:val="center"/>
          </w:tcPr>
          <w:p>
            <w:r/>
            <w:r>
              <w:rPr>
                <w:rFonts w:ascii="Aptos" w:hAnsi="Aptos"/>
                <w:b w:val="0"/>
                <w:sz w:val="16"/>
              </w:rPr>
              <w:t>Duplicate</w:t>
            </w:r>
          </w:p>
        </w:tc>
      </w:tr>
      <w:tr>
        <w:tc>
          <w:tcPr>
            <w:tcW w:type="dxa" w:w="2088"/>
            <w:vAlign w:val="center"/>
          </w:tcPr>
          <w:p>
            <w:r/>
            <w:r>
              <w:rPr>
                <w:rFonts w:ascii="Aptos" w:hAnsi="Aptos"/>
                <w:b w:val="0"/>
                <w:sz w:val="16"/>
              </w:rPr>
              <w:t>candidate_block</w:t>
            </w:r>
          </w:p>
        </w:tc>
        <w:tc>
          <w:tcPr>
            <w:tcW w:type="dxa" w:w="4896"/>
            <w:vAlign w:val="center"/>
          </w:tcPr>
          <w:p>
            <w:r/>
            <w:r>
              <w:rPr>
                <w:rFonts w:ascii="Aptos" w:hAnsi="Aptos"/>
                <w:b w:val="0"/>
                <w:sz w:val="16"/>
              </w:rPr>
              <w:t>same district or constituency, compatible category, within available time window.</w:t>
            </w:r>
          </w:p>
        </w:tc>
        <w:tc>
          <w:tcPr>
            <w:tcW w:type="dxa" w:w="2448"/>
            <w:vAlign w:val="center"/>
          </w:tcPr>
          <w:p>
            <w:r/>
            <w:r>
              <w:rPr>
                <w:rFonts w:ascii="Aptos" w:hAnsi="Aptos"/>
                <w:b w:val="0"/>
                <w:sz w:val="16"/>
              </w:rPr>
              <w:t>Duplicate</w:t>
            </w:r>
          </w:p>
        </w:tc>
      </w:tr>
    </w:tbl>
    <w:p/>
    <w:p>
      <w:pPr>
        <w:pStyle w:val="Heading1"/>
      </w:pPr>
      <w:r>
        <w:t>8. Engine 1 — Context-Aware Peer Benchmarking</w:t>
      </w:r>
    </w:p>
    <w:p>
      <w:r>
        <w:t>Purpose: determine whether a work is financially or structurally unusual compared with genuinely comparable works, rather than comparing it against the entire national dataset.</w:t>
      </w:r>
    </w:p>
    <w:p>
      <w:pPr>
        <w:pStyle w:val="Heading2"/>
      </w:pPr>
      <w:r>
        <w:t>8.1 Peer cohort hierarchy</w:t>
      </w:r>
    </w:p>
    <w:p>
      <w:pPr>
        <w:pStyle w:val="CodeBlock"/>
        <w:spacing w:after="80"/>
        <w:ind w:left="288"/>
      </w:pPr>
      <w:r>
        <w:t>Try 1: same district + same category + same year</w:t>
        <w:br/>
        <w:t>Try 2: same district + same category</w:t>
        <w:br/>
        <w:t>Try 3: same state + same category + same year</w:t>
        <w:br/>
        <w:t>Try 4: same state + same category</w:t>
        <w:br/>
        <w:t>Try 5: national + same category</w:t>
        <w:br/>
        <w:t>Use the first cohort meeting minimum peer count (recommended target: 10).</w:t>
      </w:r>
    </w:p>
    <w:p>
      <w:pPr>
        <w:pStyle w:val="SmallNote"/>
      </w:pPr>
      <w:r>
        <w:t>Do not require the exact cohort if it is too thin. The fallback is mandatory so live demo selections never produce empty cohorts unnecessarily.</w:t>
      </w:r>
    </w:p>
    <w:p>
      <w:pPr>
        <w:pStyle w:val="Heading2"/>
      </w:pPr>
      <w:r>
        <w:t>8.2 Metrics</w:t>
      </w:r>
    </w:p>
    <w:p>
      <w:pPr>
        <w:pStyle w:val="ListBullet"/>
        <w:spacing w:after="30"/>
      </w:pPr>
      <w:r>
        <w:t>Peer median and IQR of comparable project amount.</w:t>
      </w:r>
    </w:p>
    <w:p>
      <w:pPr>
        <w:pStyle w:val="ListBullet"/>
        <w:spacing w:after="30"/>
      </w:pPr>
      <w:r>
        <w:t>Empirical percentile of the selected project within the cohort.</w:t>
      </w:r>
    </w:p>
    <w:p>
      <w:pPr>
        <w:pStyle w:val="ListBullet"/>
        <w:spacing w:after="30"/>
      </w:pPr>
      <w:r>
        <w:t>IQR-fence test: upper outlier threshold = Q3 + 1.5xIQR; extreme threshold = Q3 + 3xIQR. Mirror the logic below Q1 for low-side anomalies when relevant.</w:t>
      </w:r>
    </w:p>
    <w:p>
      <w:pPr>
        <w:pStyle w:val="ListBullet"/>
        <w:spacing w:after="30"/>
      </w:pPr>
      <w:r>
        <w:t>Report peer count, cohort definition and exact compared value in the evidence object.</w:t>
      </w:r>
    </w:p>
    <w:p>
      <w:pPr>
        <w:pStyle w:val="Heading2"/>
      </w:pPr>
      <w:r>
        <w:t>8.3 Module score</w:t>
      </w:r>
    </w:p>
    <w:p>
      <w:pPr>
        <w:pStyle w:val="CodeBlock"/>
        <w:spacing w:after="80"/>
        <w:ind w:left="288"/>
      </w:pPr>
      <w:r>
        <w:t>PeerScore = weighted blend of percentile extremeness and IQR-fence severity, capped at 100.</w:t>
        <w:br/>
        <w:t>The score is explanatory: “₹X vs peer median ₹Y; percentile P; IQR position Z”.</w:t>
      </w:r>
    </w:p>
    <w:p>
      <w:pPr>
        <w:pStyle w:val="Heading1"/>
      </w:pPr>
      <w:r>
        <w:t>9. Engine 2 — Statistical Outlier Detection</w:t>
      </w:r>
    </w:p>
    <w:p>
      <w:r>
        <w:t>Purpose: detect statistically unusual combinations or values independent of a single local peer cohort. This module stays transparent and defensible under judge questioning.</w:t>
      </w:r>
    </w:p>
    <w:p>
      <w:pPr>
        <w:pStyle w:val="Heading2"/>
      </w:pPr>
      <w:r>
        <w:t>9.1 Inputs</w:t>
      </w:r>
    </w:p>
    <w:p>
      <w:pPr>
        <w:pStyle w:val="ListBullet"/>
        <w:spacing w:after="30"/>
      </w:pPr>
      <w:r>
        <w:t>Project amount (recommended/sanction baseline depending on source).</w:t>
      </w:r>
    </w:p>
    <w:p>
      <w:pPr>
        <w:pStyle w:val="ListBullet"/>
        <w:spacing w:after="30"/>
      </w:pPr>
      <w:r>
        <w:t>Amount-per-unit only if a numeric, comparable units field is genuinely available; otherwise omit.</w:t>
      </w:r>
    </w:p>
    <w:p>
      <w:pPr>
        <w:pStyle w:val="ListBullet"/>
        <w:spacing w:after="30"/>
      </w:pPr>
      <w:r>
        <w:t>Duration days when valid dates exist.</w:t>
      </w:r>
    </w:p>
    <w:p>
      <w:pPr>
        <w:pStyle w:val="ListBullet"/>
        <w:spacing w:after="30"/>
      </w:pPr>
      <w:r>
        <w:t>Approval/proposal lag when valid.</w:t>
      </w:r>
    </w:p>
    <w:p>
      <w:pPr>
        <w:pStyle w:val="ListBullet"/>
        <w:spacing w:after="30"/>
      </w:pPr>
      <w:r>
        <w:t>Other numeric features only when coverage is adequate and semantic comparability is proven.</w:t>
      </w:r>
    </w:p>
    <w:p>
      <w:pPr>
        <w:pStyle w:val="Heading2"/>
      </w:pPr>
      <w:r>
        <w:t>9.2 Method</w:t>
      </w:r>
    </w:p>
    <w:p>
      <w:pPr>
        <w:pStyle w:val="ListBullet"/>
        <w:spacing w:after="30"/>
      </w:pPr>
      <w:r>
        <w:t>For each usable numeric feature, calculate robust distribution statistics using median, IQR and/or MAD.</w:t>
      </w:r>
    </w:p>
    <w:p>
      <w:pPr>
        <w:pStyle w:val="ListBullet"/>
        <w:spacing w:after="30"/>
      </w:pPr>
      <w:r>
        <w:t>Generate a 0–100 anomaly strength for each feature based on distance beyond robust bounds.</w:t>
      </w:r>
    </w:p>
    <w:p>
      <w:pPr>
        <w:pStyle w:val="ListBullet"/>
        <w:spacing w:after="30"/>
      </w:pPr>
      <w:r>
        <w:t>Combine the available feature anomaly strengths into the module score; no black-box model is required.</w:t>
      </w:r>
    </w:p>
    <w:p>
      <w:pPr>
        <w:pStyle w:val="ListBullet"/>
        <w:spacing w:after="30"/>
      </w:pPr>
      <w:r>
        <w:t>Isolation Forest is explicitly not part of the primary build.</w:t>
      </w:r>
    </w:p>
    <w:p>
      <w:pPr>
        <w:pStyle w:val="Heading2"/>
      </w:pPr>
      <w:r>
        <w:t>9.3 Multi-signal meaning</w:t>
      </w:r>
    </w:p>
    <w:p>
      <w:r>
        <w:t>“Multi-signal” means multiple transparent statistical indicators contribute to one module score. It does NOT mean an unvalidated multivariate machine-learning detector.</w:t>
      </w:r>
    </w:p>
    <w:p>
      <w:pPr>
        <w:pStyle w:val="Heading1"/>
      </w:pPr>
      <w:r>
        <w:t>10. Engine 3 — Financial–Execution Mismatch</w:t>
      </w:r>
    </w:p>
    <w:p>
      <w:r>
        <w:t>This is the strongest differentiating engine. It is an evidence hierarchy, not a fabricated physical-progress estimator.</w:t>
      </w:r>
    </w:p>
    <w:p>
      <w:pPr>
        <w:pStyle w:val="Heading2"/>
      </w:pPr>
      <w:r>
        <w:t>10.1 Level 1 — Status + Money</w:t>
      </w:r>
    </w:p>
    <w:p>
      <w:pPr>
        <w:pStyle w:val="ListBullet"/>
        <w:spacing w:after="30"/>
      </w:pPr>
      <w:r>
        <w:t>Used only when a valid money observation and status are available for the same work or an exact validated work-level join exists.</w:t>
      </w:r>
    </w:p>
    <w:p>
      <w:pPr>
        <w:pStyle w:val="ListBullet"/>
        <w:spacing w:after="30"/>
      </w:pPr>
      <w:r>
        <w:t>Detects inconsistencies such as status suggesting incomplete work while observed financial realization is disproportionately high, or completed status with missing/implausible financial evidence.</w:t>
      </w:r>
    </w:p>
    <w:p>
      <w:pPr>
        <w:pStyle w:val="ListBullet"/>
        <w:spacing w:after="30"/>
      </w:pPr>
      <w:r>
        <w:t>This is explicitly a proxy-level signal; do not claim it equals physical progress.</w:t>
      </w:r>
    </w:p>
    <w:p>
      <w:pPr>
        <w:pStyle w:val="Heading2"/>
      </w:pPr>
      <w:r>
        <w:t>10.2 Level 2 — Time + Money</w:t>
      </w:r>
    </w:p>
    <w:p>
      <w:pPr>
        <w:pStyle w:val="ListBullet"/>
        <w:spacing w:after="30"/>
      </w:pPr>
      <w:r>
        <w:t>Use valid recommendation/proposal/approval/completion or snapshot dates plus an observed financial amount.</w:t>
      </w:r>
    </w:p>
    <w:p>
      <w:pPr>
        <w:pStyle w:val="ListBullet"/>
        <w:spacing w:after="30"/>
      </w:pPr>
      <w:r>
        <w:t>Compare elapsed time with peer duration distributions and financial realization where available.</w:t>
      </w:r>
    </w:p>
    <w:p>
      <w:pPr>
        <w:pStyle w:val="ListBullet"/>
        <w:spacing w:after="30"/>
      </w:pPr>
      <w:r>
        <w:t>Example evidence: “elapsed duration is 1.8x peer median while financial realization is high.”</w:t>
      </w:r>
    </w:p>
    <w:p>
      <w:pPr>
        <w:pStyle w:val="Heading2"/>
      </w:pPr>
      <w:r>
        <w:t>10.3 Level 3 — Actual Physical Progress</w:t>
      </w:r>
    </w:p>
    <w:p>
      <w:pPr>
        <w:pStyle w:val="ListBullet"/>
        <w:spacing w:after="30"/>
      </w:pPr>
      <w:r>
        <w:t>Only activated if a genuine physical_progress_pct field is obtained from an authoritative source.</w:t>
      </w:r>
    </w:p>
    <w:p>
      <w:pPr>
        <w:pStyle w:val="ListBullet"/>
        <w:spacing w:after="30"/>
      </w:pPr>
      <w:r>
        <w:t>Compute financial progress % versus physical progress % directly.</w:t>
      </w:r>
    </w:p>
    <w:p>
      <w:pPr>
        <w:pStyle w:val="ListBullet"/>
        <w:spacing w:after="30"/>
      </w:pPr>
      <w:r>
        <w:t>Example: 80% financial vs 40% physical = strong mismatch signal.</w:t>
      </w:r>
    </w:p>
    <w:p>
      <w:pPr>
        <w:pStyle w:val="ListBullet"/>
        <w:spacing w:after="30"/>
      </w:pPr>
      <w:r>
        <w:t>If no genuine physical-progress field exists, store NA and show “Level 3 unavailable” in the UI. Never infer a physical percentage from status text.</w:t>
      </w:r>
    </w:p>
    <w:p>
      <w:pPr>
        <w:pStyle w:val="Heading2"/>
      </w:pPr>
      <w:r>
        <w:t>10.4 Confidence tiers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1F4E79"/>
          </w:tcPr>
          <w:p>
            <w:r/>
            <w:r>
              <w:rPr>
                <w:rFonts w:ascii="Aptos" w:hAnsi="Aptos"/>
                <w:b/>
                <w:color w:val="FFFFFF"/>
                <w:sz w:val="16"/>
              </w:rPr>
              <w:t>Evidence level</w:t>
            </w:r>
          </w:p>
        </w:tc>
        <w:tc>
          <w:tcPr>
            <w:tcW w:type="dxa" w:w="4320"/>
            <w:vAlign w:val="center"/>
            <w:shd w:fill="1F4E79"/>
          </w:tcPr>
          <w:p>
            <w:r/>
            <w:r>
              <w:rPr>
                <w:rFonts w:ascii="Aptos" w:hAnsi="Aptos"/>
                <w:b/>
                <w:color w:val="FFFFFF"/>
                <w:sz w:val="16"/>
              </w:rPr>
              <w:t>Meaning</w:t>
            </w:r>
          </w:p>
        </w:tc>
        <w:tc>
          <w:tcPr>
            <w:tcW w:type="dxa" w:w="3024"/>
            <w:vAlign w:val="center"/>
            <w:shd w:fill="1F4E79"/>
          </w:tcPr>
          <w:p>
            <w:r/>
            <w:r>
              <w:rPr>
                <w:rFonts w:ascii="Aptos" w:hAnsi="Aptos"/>
                <w:b/>
                <w:color w:val="FFFFFF"/>
                <w:sz w:val="16"/>
              </w:rPr>
              <w:t>Confidence treatment</w:t>
            </w:r>
          </w:p>
        </w:tc>
      </w:tr>
      <w:tr>
        <w:tc>
          <w:tcPr>
            <w:tcW w:type="dxa" w:w="2016"/>
            <w:vAlign w:val="center"/>
          </w:tcPr>
          <w:p>
            <w:r/>
            <w:r>
              <w:rPr>
                <w:rFonts w:ascii="Aptos" w:hAnsi="Aptos"/>
                <w:b w:val="0"/>
                <w:sz w:val="16"/>
              </w:rPr>
              <w:t>Level 1</w:t>
            </w:r>
          </w:p>
        </w:tc>
        <w:tc>
          <w:tcPr>
            <w:tcW w:type="dxa" w:w="4320"/>
            <w:vAlign w:val="center"/>
          </w:tcPr>
          <w:p>
            <w:r/>
            <w:r>
              <w:rPr>
                <w:rFonts w:ascii="Aptos" w:hAnsi="Aptos"/>
                <w:b w:val="0"/>
                <w:sz w:val="16"/>
              </w:rPr>
              <w:t>Status + money proxy</w:t>
            </w:r>
          </w:p>
        </w:tc>
        <w:tc>
          <w:tcPr>
            <w:tcW w:type="dxa" w:w="3024"/>
            <w:vAlign w:val="center"/>
          </w:tcPr>
          <w:p>
            <w:r/>
            <w:r>
              <w:rPr>
                <w:rFonts w:ascii="Aptos" w:hAnsi="Aptos"/>
                <w:b w:val="0"/>
                <w:sz w:val="16"/>
              </w:rPr>
              <w:t>Lower / Medium; explicitly labeled proxy</w:t>
            </w:r>
          </w:p>
        </w:tc>
      </w:tr>
      <w:tr>
        <w:tc>
          <w:tcPr>
            <w:tcW w:type="dxa" w:w="2016"/>
            <w:vAlign w:val="center"/>
          </w:tcPr>
          <w:p>
            <w:r/>
            <w:r>
              <w:rPr>
                <w:rFonts w:ascii="Aptos" w:hAnsi="Aptos"/>
                <w:b w:val="0"/>
                <w:sz w:val="16"/>
              </w:rPr>
              <w:t>Level 2</w:t>
            </w:r>
          </w:p>
        </w:tc>
        <w:tc>
          <w:tcPr>
            <w:tcW w:type="dxa" w:w="4320"/>
            <w:vAlign w:val="center"/>
          </w:tcPr>
          <w:p>
            <w:r/>
            <w:r>
              <w:rPr>
                <w:rFonts w:ascii="Aptos" w:hAnsi="Aptos"/>
                <w:b w:val="0"/>
                <w:sz w:val="16"/>
              </w:rPr>
              <w:t>Time + money with valid dates</w:t>
            </w:r>
          </w:p>
        </w:tc>
        <w:tc>
          <w:tcPr>
            <w:tcW w:type="dxa" w:w="3024"/>
            <w:vAlign w:val="center"/>
          </w:tcPr>
          <w:p>
            <w:r/>
            <w:r>
              <w:rPr>
                <w:rFonts w:ascii="Aptos" w:hAnsi="Aptos"/>
                <w:b w:val="0"/>
                <w:sz w:val="16"/>
              </w:rPr>
              <w:t>Higher when dates and money are complete</w:t>
            </w:r>
          </w:p>
        </w:tc>
      </w:tr>
      <w:tr>
        <w:tc>
          <w:tcPr>
            <w:tcW w:type="dxa" w:w="2016"/>
            <w:vAlign w:val="center"/>
          </w:tcPr>
          <w:p>
            <w:r/>
            <w:r>
              <w:rPr>
                <w:rFonts w:ascii="Aptos" w:hAnsi="Aptos"/>
                <w:b w:val="0"/>
                <w:sz w:val="16"/>
              </w:rPr>
              <w:t>Level 3</w:t>
            </w:r>
          </w:p>
        </w:tc>
        <w:tc>
          <w:tcPr>
            <w:tcW w:type="dxa" w:w="4320"/>
            <w:vAlign w:val="center"/>
          </w:tcPr>
          <w:p>
            <w:r/>
            <w:r>
              <w:rPr>
                <w:rFonts w:ascii="Aptos" w:hAnsi="Aptos"/>
                <w:b w:val="0"/>
                <w:sz w:val="16"/>
              </w:rPr>
              <w:t>Actual physical progress %</w:t>
            </w:r>
          </w:p>
        </w:tc>
        <w:tc>
          <w:tcPr>
            <w:tcW w:type="dxa" w:w="3024"/>
            <w:vAlign w:val="center"/>
          </w:tcPr>
          <w:p>
            <w:r/>
            <w:r>
              <w:rPr>
                <w:rFonts w:ascii="Aptos" w:hAnsi="Aptos"/>
                <w:b w:val="0"/>
                <w:sz w:val="16"/>
              </w:rPr>
              <w:t>Highest; only with genuine authoritative field</w:t>
            </w:r>
          </w:p>
        </w:tc>
      </w:tr>
    </w:tbl>
    <w:p/>
    <w:p>
      <w:pPr>
        <w:pStyle w:val="Heading1"/>
      </w:pPr>
      <w:r>
        <w:t>11. Engine 4 — Duplicate / Overlap Detection</w:t>
      </w:r>
    </w:p>
    <w:p>
      <w:r>
        <w:t>Purpose: surface works that may describe the same or substantially overlapping asset/activity across MPs, years, agencies or records.</w:t>
      </w:r>
    </w:p>
    <w:p>
      <w:pPr>
        <w:pStyle w:val="Heading2"/>
      </w:pPr>
      <w:r>
        <w:t>11.1 Text signal</w:t>
      </w:r>
    </w:p>
    <w:p>
      <w:pPr>
        <w:pStyle w:val="ListBullet"/>
        <w:spacing w:after="30"/>
      </w:pPr>
      <w:r>
        <w:t>Use sentence-transformers MiniLM: all-MiniLM-L6-v2, locally cached after first download.</w:t>
      </w:r>
    </w:p>
    <w:p>
      <w:pPr>
        <w:pStyle w:val="ListBullet"/>
        <w:spacing w:after="30"/>
      </w:pPr>
      <w:r>
        <w:t>Embed work_description when present; otherwise normalized work_name.</w:t>
      </w:r>
    </w:p>
    <w:p>
      <w:pPr>
        <w:pStyle w:val="ListBullet"/>
        <w:spacing w:after="30"/>
      </w:pPr>
      <w:r>
        <w:t>Cosine similarity gives the semantic similarity component.</w:t>
      </w:r>
    </w:p>
    <w:p>
      <w:pPr>
        <w:pStyle w:val="Heading2"/>
      </w:pPr>
      <w:r>
        <w:t>11.2 Entity/agency signal</w:t>
      </w:r>
    </w:p>
    <w:p>
      <w:pPr>
        <w:pStyle w:val="ListBullet"/>
        <w:spacing w:after="30"/>
      </w:pPr>
      <w:r>
        <w:t>Normalize agency names and compare aliases using RapidFuzz.</w:t>
      </w:r>
    </w:p>
    <w:p>
      <w:pPr>
        <w:pStyle w:val="ListBullet"/>
        <w:spacing w:after="30"/>
      </w:pPr>
      <w:r>
        <w:t>Exact/near-exact agency match increases overlap confidence but does not decide duplication alone.</w:t>
      </w:r>
    </w:p>
    <w:p>
      <w:pPr>
        <w:pStyle w:val="Heading2"/>
      </w:pPr>
      <w:r>
        <w:t>11.3 Locality/context signal</w:t>
      </w:r>
    </w:p>
    <w:p>
      <w:pPr>
        <w:pStyle w:val="ListBullet"/>
        <w:spacing w:after="30"/>
      </w:pPr>
      <w:r>
        <w:t>Use district and constituency as geographic/contextual signals because confirmed public datasets do not provide reliable project GPS coordinates.</w:t>
      </w:r>
    </w:p>
    <w:p>
      <w:pPr>
        <w:pStyle w:val="ListBullet"/>
        <w:spacing w:after="30"/>
      </w:pPr>
      <w:r>
        <w:t>Do not implement latitude/longitude proximity matching in the locked build.</w:t>
      </w:r>
    </w:p>
    <w:p>
      <w:pPr>
        <w:pStyle w:val="Heading2"/>
      </w:pPr>
      <w:r>
        <w:t>11.4 Candidate blocking</w:t>
      </w:r>
    </w:p>
    <w:p>
      <w:pPr>
        <w:pStyle w:val="CodeBlock"/>
        <w:spacing w:after="80"/>
        <w:ind w:left="288"/>
      </w:pPr>
      <w:r>
        <w:t>Candidate pool = records sharing district OR constituency</w:t>
        <w:br/>
        <w:t xml:space="preserve">                 AND compatible category when category exists</w:t>
        <w:br/>
        <w:t xml:space="preserve">                 AND available dates within a defined window</w:t>
        <w:br/>
        <w:t xml:space="preserve">                 AND different unique_work_number</w:t>
      </w:r>
    </w:p>
    <w:p>
      <w:pPr>
        <w:pStyle w:val="ListBullet"/>
        <w:spacing w:after="30"/>
      </w:pPr>
      <w:r>
        <w:t>Blocking prevents all-pairs comparison and keeps a 48-hour prototype computationally practical.</w:t>
      </w:r>
    </w:p>
    <w:p>
      <w:pPr>
        <w:pStyle w:val="Heading2"/>
      </w:pPr>
      <w:r>
        <w:t>11.5 Output classification</w:t>
      </w:r>
    </w:p>
    <w:p>
      <w:pPr>
        <w:pStyle w:val="ListBullet"/>
        <w:spacing w:after="30"/>
      </w:pPr>
      <w:r>
        <w:t>Likely duplicate: high semantic similarity + strong contextual agreement.</w:t>
      </w:r>
    </w:p>
    <w:p>
      <w:pPr>
        <w:pStyle w:val="ListBullet"/>
        <w:spacing w:after="30"/>
      </w:pPr>
      <w:r>
        <w:t>Possible overlap: moderate/high similarity with partial contextual agreement.</w:t>
      </w:r>
    </w:p>
    <w:p>
      <w:pPr>
        <w:pStyle w:val="ListBullet"/>
        <w:spacing w:after="30"/>
      </w:pPr>
      <w:r>
        <w:t>Unrelated: similarity below investigation threshold or conflicting context.</w:t>
      </w:r>
    </w:p>
    <w:p>
      <w:pPr>
        <w:pStyle w:val="Heading1"/>
      </w:pPr>
      <w:r>
        <w:t>12. Evidence Fusion &amp; Unified Risk Score</w:t>
      </w:r>
    </w:p>
    <w:p>
      <w:pPr>
        <w:pStyle w:val="Heading2"/>
      </w:pPr>
      <w:r>
        <w:t>12.1 Locked weights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480"/>
            <w:vAlign w:val="center"/>
            <w:shd w:fill="1F4E79"/>
          </w:tcPr>
          <w:p>
            <w:r/>
            <w:r>
              <w:rPr>
                <w:rFonts w:ascii="Aptos" w:hAnsi="Aptos"/>
                <w:b/>
                <w:color w:val="FFFFFF"/>
                <w:sz w:val="16"/>
              </w:rPr>
              <w:t>Module</w:t>
            </w:r>
          </w:p>
        </w:tc>
        <w:tc>
          <w:tcPr>
            <w:tcW w:type="dxa" w:w="2880"/>
            <w:vAlign w:val="center"/>
            <w:shd w:fill="1F4E79"/>
          </w:tcPr>
          <w:p>
            <w:r/>
            <w:r>
              <w:rPr>
                <w:rFonts w:ascii="Aptos" w:hAnsi="Aptos"/>
                <w:b/>
                <w:color w:val="FFFFFF"/>
                <w:sz w:val="16"/>
              </w:rPr>
              <w:t>Weight</w:t>
            </w:r>
          </w:p>
        </w:tc>
      </w:tr>
      <w:tr>
        <w:tc>
          <w:tcPr>
            <w:tcW w:type="dxa" w:w="6480"/>
            <w:vAlign w:val="center"/>
          </w:tcPr>
          <w:p>
            <w:r/>
            <w:r>
              <w:rPr>
                <w:rFonts w:ascii="Aptos" w:hAnsi="Aptos"/>
                <w:b w:val="0"/>
                <w:sz w:val="16"/>
              </w:rPr>
              <w:t>Peer Benchmarking</w:t>
            </w:r>
          </w:p>
        </w:tc>
        <w:tc>
          <w:tcPr>
            <w:tcW w:type="dxa" w:w="2880"/>
            <w:vAlign w:val="center"/>
          </w:tcPr>
          <w:p>
            <w:r/>
            <w:r>
              <w:rPr>
                <w:rFonts w:ascii="Aptos" w:hAnsi="Aptos"/>
                <w:b w:val="0"/>
                <w:sz w:val="16"/>
              </w:rPr>
              <w:t>30%</w:t>
            </w:r>
          </w:p>
        </w:tc>
      </w:tr>
      <w:tr>
        <w:tc>
          <w:tcPr>
            <w:tcW w:type="dxa" w:w="6480"/>
            <w:vAlign w:val="center"/>
          </w:tcPr>
          <w:p>
            <w:r/>
            <w:r>
              <w:rPr>
                <w:rFonts w:ascii="Aptos" w:hAnsi="Aptos"/>
                <w:b w:val="0"/>
                <w:sz w:val="16"/>
              </w:rPr>
              <w:t>Statistical Outliers</w:t>
            </w:r>
          </w:p>
        </w:tc>
        <w:tc>
          <w:tcPr>
            <w:tcW w:type="dxa" w:w="2880"/>
            <w:vAlign w:val="center"/>
          </w:tcPr>
          <w:p>
            <w:r/>
            <w:r>
              <w:rPr>
                <w:rFonts w:ascii="Aptos" w:hAnsi="Aptos"/>
                <w:b w:val="0"/>
                <w:sz w:val="16"/>
              </w:rPr>
              <w:t>25%</w:t>
            </w:r>
          </w:p>
        </w:tc>
      </w:tr>
      <w:tr>
        <w:tc>
          <w:tcPr>
            <w:tcW w:type="dxa" w:w="6480"/>
            <w:vAlign w:val="center"/>
          </w:tcPr>
          <w:p>
            <w:r/>
            <w:r>
              <w:rPr>
                <w:rFonts w:ascii="Aptos" w:hAnsi="Aptos"/>
                <w:b w:val="0"/>
                <w:sz w:val="16"/>
              </w:rPr>
              <w:t>Financial–Execution Mismatch</w:t>
            </w:r>
          </w:p>
        </w:tc>
        <w:tc>
          <w:tcPr>
            <w:tcW w:type="dxa" w:w="2880"/>
            <w:vAlign w:val="center"/>
          </w:tcPr>
          <w:p>
            <w:r/>
            <w:r>
              <w:rPr>
                <w:rFonts w:ascii="Aptos" w:hAnsi="Aptos"/>
                <w:b w:val="0"/>
                <w:sz w:val="16"/>
              </w:rPr>
              <w:t>30%</w:t>
            </w:r>
          </w:p>
        </w:tc>
      </w:tr>
      <w:tr>
        <w:tc>
          <w:tcPr>
            <w:tcW w:type="dxa" w:w="6480"/>
            <w:vAlign w:val="center"/>
          </w:tcPr>
          <w:p>
            <w:r/>
            <w:r>
              <w:rPr>
                <w:rFonts w:ascii="Aptos" w:hAnsi="Aptos"/>
                <w:b w:val="0"/>
                <w:sz w:val="16"/>
              </w:rPr>
              <w:t>Duplicate/Overlap</w:t>
            </w:r>
          </w:p>
        </w:tc>
        <w:tc>
          <w:tcPr>
            <w:tcW w:type="dxa" w:w="2880"/>
            <w:vAlign w:val="center"/>
          </w:tcPr>
          <w:p>
            <w:r/>
            <w:r>
              <w:rPr>
                <w:rFonts w:ascii="Aptos" w:hAnsi="Aptos"/>
                <w:b w:val="0"/>
                <w:sz w:val="16"/>
              </w:rPr>
              <w:t>15%</w:t>
            </w:r>
          </w:p>
        </w:tc>
      </w:tr>
    </w:tbl>
    <w:p/>
    <w:p>
      <w:pPr>
        <w:pStyle w:val="Heading2"/>
      </w:pPr>
      <w:r>
        <w:t>12.2 Availability-normalized fusion</w:t>
      </w:r>
    </w:p>
    <w:p>
      <w:pPr>
        <w:pStyle w:val="CodeBlock"/>
        <w:spacing w:after="80"/>
        <w:ind w:left="288"/>
      </w:pPr>
      <w:r>
        <w:t>For available modules A:</w:t>
        <w:br/>
        <w:t>RiskScore = Σ(weight_i x score_i) / Σ(weight_i),  i ∈ A</w:t>
        <w:br/>
        <w:t>where each score_i is 0–100 and weight_i is the locked module weight.</w:t>
      </w:r>
    </w:p>
    <w:p>
      <w:pPr>
        <w:pStyle w:val="ListBullet"/>
        <w:spacing w:after="30"/>
      </w:pPr>
      <w:r>
        <w:t>Unavailable modules are excluded from the denominator, not treated as score 0.</w:t>
      </w:r>
    </w:p>
    <w:p>
      <w:pPr>
        <w:pStyle w:val="ListBullet"/>
        <w:spacing w:after="30"/>
      </w:pPr>
      <w:r>
        <w:t>The denominator becomes the Evidence Coverage percentage of locked module weight actually available for that work.</w:t>
      </w:r>
    </w:p>
    <w:p>
      <w:pPr>
        <w:pStyle w:val="ListBullet"/>
        <w:spacing w:after="30"/>
      </w:pPr>
      <w:r>
        <w:t>Always show both Risk Score and Evidence Coverage so a 90 based on 100% coverage is distinguishable from a 90 based on 30% coverage.</w:t>
      </w:r>
    </w:p>
    <w:p>
      <w:pPr>
        <w:pStyle w:val="Heading2"/>
      </w:pPr>
      <w:r>
        <w:t>12.3 Risk bands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center"/>
            <w:shd w:fill="1F4E79"/>
          </w:tcPr>
          <w:p>
            <w:r/>
            <w:r>
              <w:rPr>
                <w:rFonts w:ascii="Aptos" w:hAnsi="Aptos"/>
                <w:b/>
                <w:color w:val="FFFFFF"/>
                <w:sz w:val="16"/>
              </w:rPr>
              <w:t>Score</w:t>
            </w:r>
          </w:p>
        </w:tc>
        <w:tc>
          <w:tcPr>
            <w:tcW w:type="dxa" w:w="1872"/>
            <w:vAlign w:val="center"/>
            <w:shd w:fill="1F4E79"/>
          </w:tcPr>
          <w:p>
            <w:r/>
            <w:r>
              <w:rPr>
                <w:rFonts w:ascii="Aptos" w:hAnsi="Aptos"/>
                <w:b/>
                <w:color w:val="FFFFFF"/>
                <w:sz w:val="16"/>
              </w:rPr>
              <w:t>Band</w:t>
            </w:r>
          </w:p>
        </w:tc>
        <w:tc>
          <w:tcPr>
            <w:tcW w:type="dxa" w:w="6048"/>
            <w:vAlign w:val="center"/>
            <w:shd w:fill="1F4E79"/>
          </w:tcPr>
          <w:p>
            <w:r/>
            <w:r>
              <w:rPr>
                <w:rFonts w:ascii="Aptos" w:hAnsi="Aptos"/>
                <w:b/>
                <w:color w:val="FFFFFF"/>
                <w:sz w:val="16"/>
              </w:rPr>
              <w:t>UI meaning</w:t>
            </w:r>
          </w:p>
        </w:tc>
      </w:tr>
      <w:tr>
        <w:tc>
          <w:tcPr>
            <w:tcW w:type="dxa" w:w="1728"/>
            <w:vAlign w:val="center"/>
          </w:tcPr>
          <w:p>
            <w:r/>
            <w:r>
              <w:rPr>
                <w:rFonts w:ascii="Aptos" w:hAnsi="Aptos"/>
                <w:b w:val="0"/>
                <w:sz w:val="16"/>
              </w:rPr>
              <w:t>0–39</w:t>
            </w:r>
          </w:p>
        </w:tc>
        <w:tc>
          <w:tcPr>
            <w:tcW w:type="dxa" w:w="1872"/>
            <w:vAlign w:val="center"/>
          </w:tcPr>
          <w:p>
            <w:r/>
            <w:r>
              <w:rPr>
                <w:rFonts w:ascii="Aptos" w:hAnsi="Aptos"/>
                <w:b w:val="0"/>
                <w:sz w:val="16"/>
              </w:rPr>
              <w:t>LOW</w:t>
            </w:r>
          </w:p>
        </w:tc>
        <w:tc>
          <w:tcPr>
            <w:tcW w:type="dxa" w:w="6048"/>
            <w:vAlign w:val="center"/>
          </w:tcPr>
          <w:p>
            <w:r/>
            <w:r>
              <w:rPr>
                <w:rFonts w:ascii="Aptos" w:hAnsi="Aptos"/>
                <w:b w:val="0"/>
                <w:sz w:val="16"/>
              </w:rPr>
              <w:t>No strong combined anomaly signal</w:t>
            </w:r>
          </w:p>
        </w:tc>
      </w:tr>
      <w:tr>
        <w:tc>
          <w:tcPr>
            <w:tcW w:type="dxa" w:w="1728"/>
            <w:vAlign w:val="center"/>
          </w:tcPr>
          <w:p>
            <w:r/>
            <w:r>
              <w:rPr>
                <w:rFonts w:ascii="Aptos" w:hAnsi="Aptos"/>
                <w:b w:val="0"/>
                <w:sz w:val="16"/>
              </w:rPr>
              <w:t>40–69</w:t>
            </w:r>
          </w:p>
        </w:tc>
        <w:tc>
          <w:tcPr>
            <w:tcW w:type="dxa" w:w="1872"/>
            <w:vAlign w:val="center"/>
          </w:tcPr>
          <w:p>
            <w:r/>
            <w:r>
              <w:rPr>
                <w:rFonts w:ascii="Aptos" w:hAnsi="Aptos"/>
                <w:b w:val="0"/>
                <w:sz w:val="16"/>
              </w:rPr>
              <w:t>MEDIUM</w:t>
            </w:r>
          </w:p>
        </w:tc>
        <w:tc>
          <w:tcPr>
            <w:tcW w:type="dxa" w:w="6048"/>
            <w:vAlign w:val="center"/>
          </w:tcPr>
          <w:p>
            <w:r/>
            <w:r>
              <w:rPr>
                <w:rFonts w:ascii="Aptos" w:hAnsi="Aptos"/>
                <w:b w:val="0"/>
                <w:sz w:val="16"/>
              </w:rPr>
              <w:t>Review recommended</w:t>
            </w:r>
          </w:p>
        </w:tc>
      </w:tr>
      <w:tr>
        <w:tc>
          <w:tcPr>
            <w:tcW w:type="dxa" w:w="1728"/>
            <w:vAlign w:val="center"/>
          </w:tcPr>
          <w:p>
            <w:r/>
            <w:r>
              <w:rPr>
                <w:rFonts w:ascii="Aptos" w:hAnsi="Aptos"/>
                <w:b w:val="0"/>
                <w:sz w:val="16"/>
              </w:rPr>
              <w:t>70–84</w:t>
            </w:r>
          </w:p>
        </w:tc>
        <w:tc>
          <w:tcPr>
            <w:tcW w:type="dxa" w:w="1872"/>
            <w:vAlign w:val="center"/>
          </w:tcPr>
          <w:p>
            <w:r/>
            <w:r>
              <w:rPr>
                <w:rFonts w:ascii="Aptos" w:hAnsi="Aptos"/>
                <w:b w:val="0"/>
                <w:sz w:val="16"/>
              </w:rPr>
              <w:t>HIGH</w:t>
            </w:r>
          </w:p>
        </w:tc>
        <w:tc>
          <w:tcPr>
            <w:tcW w:type="dxa" w:w="6048"/>
            <w:vAlign w:val="center"/>
          </w:tcPr>
          <w:p>
            <w:r/>
            <w:r>
              <w:rPr>
                <w:rFonts w:ascii="Aptos" w:hAnsi="Aptos"/>
                <w:b w:val="0"/>
                <w:sz w:val="16"/>
              </w:rPr>
              <w:t>Priority investigation</w:t>
            </w:r>
          </w:p>
        </w:tc>
      </w:tr>
      <w:tr>
        <w:tc>
          <w:tcPr>
            <w:tcW w:type="dxa" w:w="1728"/>
            <w:vAlign w:val="center"/>
          </w:tcPr>
          <w:p>
            <w:r/>
            <w:r>
              <w:rPr>
                <w:rFonts w:ascii="Aptos" w:hAnsi="Aptos"/>
                <w:b w:val="0"/>
                <w:sz w:val="16"/>
              </w:rPr>
              <w:t>85–100</w:t>
            </w:r>
          </w:p>
        </w:tc>
        <w:tc>
          <w:tcPr>
            <w:tcW w:type="dxa" w:w="1872"/>
            <w:vAlign w:val="center"/>
          </w:tcPr>
          <w:p>
            <w:r/>
            <w:r>
              <w:rPr>
                <w:rFonts w:ascii="Aptos" w:hAnsi="Aptos"/>
                <w:b w:val="0"/>
                <w:sz w:val="16"/>
              </w:rPr>
              <w:t>CRITICAL</w:t>
            </w:r>
          </w:p>
        </w:tc>
        <w:tc>
          <w:tcPr>
            <w:tcW w:type="dxa" w:w="6048"/>
            <w:vAlign w:val="center"/>
          </w:tcPr>
          <w:p>
            <w:r/>
            <w:r>
              <w:rPr>
                <w:rFonts w:ascii="Aptos" w:hAnsi="Aptos"/>
                <w:b w:val="0"/>
                <w:sz w:val="16"/>
              </w:rPr>
              <w:t>Strong multi-signal evidence; investigate first</w:t>
            </w:r>
          </w:p>
        </w:tc>
      </w:tr>
    </w:tbl>
    <w:p/>
    <w:p>
      <w:pPr>
        <w:pStyle w:val="SmallNote"/>
      </w:pPr>
      <w:r>
        <w:t>Risk bands are prototype decision thresholds, not official MPLADS classifications. They are configurable constants in config.py.</w:t>
      </w:r>
    </w:p>
    <w:p>
      <w:pPr>
        <w:pStyle w:val="Heading1"/>
      </w:pPr>
      <w:r>
        <w:t>13. Explainability &amp; Evidence Object</w:t>
      </w:r>
    </w:p>
    <w:p>
      <w:r>
        <w:t>Every module must return a structured evidence object so the interface can explain exactly why a record was flagged without requiring SHAP.</w:t>
      </w:r>
    </w:p>
    <w:p>
      <w:pPr>
        <w:pStyle w:val="CodeBlock"/>
        <w:spacing w:after="80"/>
        <w:ind w:left="288"/>
      </w:pPr>
      <w:r>
        <w:t>EvidenceItem {</w:t>
        <w:br/>
        <w:t xml:space="preserve">  module: str</w:t>
        <w:br/>
        <w:t xml:space="preserve">  score: float</w:t>
        <w:br/>
        <w:t xml:space="preserve">  available: bool</w:t>
        <w:br/>
        <w:t xml:space="preserve">  confidence: str</w:t>
        <w:br/>
        <w:t xml:space="preserve">  metric: str</w:t>
        <w:br/>
        <w:t xml:space="preserve">  observed_value: str</w:t>
        <w:br/>
        <w:t xml:space="preserve">  comparison_value: str</w:t>
        <w:br/>
        <w:t xml:space="preserve">  comparison_group: str</w:t>
        <w:br/>
        <w:t xml:space="preserve">  explanation: str</w:t>
        <w:br/>
        <w:t xml:space="preserve">  source_dataset: str</w:t>
        <w:br/>
        <w:t xml:space="preserve">  data_quality_flags: list</w:t>
        <w:br/>
        <w:t>}</w:t>
        <w:br/>
        <w:br/>
        <w:t>WorkRisk {</w:t>
        <w:br/>
        <w:t xml:space="preserve">  work_id</w:t>
        <w:br/>
        <w:t xml:space="preserve">  risk_score</w:t>
        <w:br/>
        <w:t xml:space="preserve">  risk_band</w:t>
        <w:br/>
        <w:t xml:space="preserve">  evidence_coverage</w:t>
        <w:br/>
        <w:t xml:space="preserve">  module_scores</w:t>
        <w:br/>
        <w:t xml:space="preserve">  evidence_items</w:t>
        <w:br/>
        <w:t xml:space="preserve">  investigation_actions</w:t>
        <w:br/>
        <w:t>}</w:t>
      </w:r>
    </w:p>
    <w:p>
      <w:pPr>
        <w:pStyle w:val="Heading1"/>
      </w:pPr>
      <w:r>
        <w:t>14. Data Coverage &amp; Honesty Layer</w:t>
      </w:r>
    </w:p>
    <w:p>
      <w:pPr>
        <w:pStyle w:val="ListBullet"/>
        <w:spacing w:after="30"/>
      </w:pPr>
      <w:r>
        <w:t>Compute coverage per module before scoring: e.g., % of works with usable amount, category, dates, exact completion join, text, locality and agency fields.</w:t>
      </w:r>
    </w:p>
    <w:p>
      <w:pPr>
        <w:pStyle w:val="ListBullet"/>
        <w:spacing w:after="30"/>
      </w:pPr>
      <w:r>
        <w:t>Show module coverage in the dashboard and in the demo.</w:t>
      </w:r>
    </w:p>
    <w:p>
      <w:pPr>
        <w:pStyle w:val="ListBullet"/>
        <w:spacing w:after="30"/>
      </w:pPr>
      <w:r>
        <w:t>Mark inferred/proxy evidence separately from observed evidence.</w:t>
      </w:r>
    </w:p>
    <w:p>
      <w:pPr>
        <w:pStyle w:val="ListBullet"/>
        <w:spacing w:after="30"/>
      </w:pPr>
      <w:r>
        <w:t>Never convert missing expenditure into zero expenditure.</w:t>
      </w:r>
    </w:p>
    <w:p>
      <w:pPr>
        <w:pStyle w:val="ListBullet"/>
        <w:spacing w:after="30"/>
      </w:pPr>
      <w:r>
        <w:t>Never convert image_uploaded/image_status into physical progress.</w:t>
      </w:r>
    </w:p>
    <w:p>
      <w:pPr>
        <w:pStyle w:val="ListBullet"/>
        <w:spacing w:after="30"/>
      </w:pPr>
      <w:r>
        <w:t>Never claim the vendor-level expenditure dataset is linked to a specific project without a validated project key.</w:t>
      </w:r>
    </w:p>
    <w:p>
      <w:pPr>
        <w:pStyle w:val="Heading1"/>
      </w:pPr>
      <w:r>
        <w:t>15. Optional Low-Cost Extensions — Only After Core Pipeline Works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vAlign w:val="center"/>
            <w:shd w:fill="1F4E79"/>
          </w:tcPr>
          <w:p>
            <w:r/>
            <w:r>
              <w:rPr>
                <w:rFonts w:ascii="Aptos" w:hAnsi="Aptos"/>
                <w:b/>
                <w:color w:val="FFFFFF"/>
                <w:sz w:val="16"/>
              </w:rPr>
              <w:t>Extension</w:t>
            </w:r>
          </w:p>
        </w:tc>
        <w:tc>
          <w:tcPr>
            <w:tcW w:type="dxa" w:w="6696"/>
            <w:vAlign w:val="center"/>
            <w:shd w:fill="1F4E79"/>
          </w:tcPr>
          <w:p>
            <w:r/>
            <w:r>
              <w:rPr>
                <w:rFonts w:ascii="Aptos" w:hAnsi="Aptos"/>
                <w:b/>
                <w:color w:val="FFFFFF"/>
                <w:sz w:val="16"/>
              </w:rPr>
              <w:t>Logic</w:t>
            </w:r>
          </w:p>
        </w:tc>
        <w:tc>
          <w:tcPr>
            <w:tcW w:type="dxa" w:w="2088"/>
            <w:vAlign w:val="center"/>
            <w:shd w:fill="1F4E79"/>
          </w:tcPr>
          <w:p>
            <w:r/>
            <w:r>
              <w:rPr>
                <w:rFonts w:ascii="Aptos" w:hAnsi="Aptos"/>
                <w:b/>
                <w:color w:val="FFFFFF"/>
                <w:sz w:val="16"/>
              </w:rPr>
              <w:t>Status</w:t>
            </w:r>
          </w:p>
        </w:tc>
      </w:tr>
      <w:tr>
        <w:tc>
          <w:tcPr>
            <w:tcW w:type="dxa" w:w="1944"/>
            <w:vAlign w:val="center"/>
          </w:tcPr>
          <w:p>
            <w:r/>
            <w:r>
              <w:rPr>
                <w:rFonts w:ascii="Aptos" w:hAnsi="Aptos"/>
                <w:b w:val="0"/>
                <w:sz w:val="16"/>
              </w:rPr>
              <w:t>Threshold splitting</w:t>
            </w:r>
          </w:p>
        </w:tc>
        <w:tc>
          <w:tcPr>
            <w:tcW w:type="dxa" w:w="6696"/>
            <w:vAlign w:val="center"/>
          </w:tcPr>
          <w:p>
            <w:r/>
            <w:r>
              <w:rPr>
                <w:rFonts w:ascii="Aptos" w:hAnsi="Aptos"/>
                <w:b w:val="0"/>
                <w:sz w:val="16"/>
              </w:rPr>
              <w:t>Detect clusters of sanctions/recommendations just below a relevant approval threshold within a short time window, grouped by agency/MP/context.</w:t>
            </w:r>
          </w:p>
        </w:tc>
        <w:tc>
          <w:tcPr>
            <w:tcW w:type="dxa" w:w="2088"/>
            <w:vAlign w:val="center"/>
          </w:tcPr>
          <w:p>
            <w:r/>
            <w:r>
              <w:rPr>
                <w:rFonts w:ascii="Aptos" w:hAnsi="Aptos"/>
                <w:b w:val="0"/>
                <w:sz w:val="16"/>
              </w:rPr>
              <w:t>Optional bolt-on; not core.</w:t>
            </w:r>
          </w:p>
        </w:tc>
      </w:tr>
      <w:tr>
        <w:tc>
          <w:tcPr>
            <w:tcW w:type="dxa" w:w="1944"/>
            <w:vAlign w:val="center"/>
          </w:tcPr>
          <w:p>
            <w:r/>
            <w:r>
              <w:rPr>
                <w:rFonts w:ascii="Aptos" w:hAnsi="Aptos"/>
                <w:b w:val="0"/>
                <w:sz w:val="16"/>
              </w:rPr>
              <w:t>Invalid work category</w:t>
            </w:r>
          </w:p>
        </w:tc>
        <w:tc>
          <w:tcPr>
            <w:tcW w:type="dxa" w:w="6696"/>
            <w:vAlign w:val="center"/>
          </w:tcPr>
          <w:p>
            <w:r/>
            <w:r>
              <w:rPr>
                <w:rFonts w:ascii="Aptos" w:hAnsi="Aptos"/>
                <w:b w:val="0"/>
                <w:sz w:val="16"/>
              </w:rPr>
              <w:t>Rule/classifier against authoritative MPLADS permissible/barred categories using work category/description.</w:t>
            </w:r>
          </w:p>
        </w:tc>
        <w:tc>
          <w:tcPr>
            <w:tcW w:type="dxa" w:w="2088"/>
            <w:vAlign w:val="center"/>
          </w:tcPr>
          <w:p>
            <w:r/>
            <w:r>
              <w:rPr>
                <w:rFonts w:ascii="Aptos" w:hAnsi="Aptos"/>
                <w:b w:val="0"/>
                <w:sz w:val="16"/>
              </w:rPr>
              <w:t>Optional bolt-on; only after core four engines.</w:t>
            </w:r>
          </w:p>
        </w:tc>
      </w:tr>
      <w:tr>
        <w:tc>
          <w:tcPr>
            <w:tcW w:type="dxa" w:w="1944"/>
            <w:vAlign w:val="center"/>
          </w:tcPr>
          <w:p>
            <w:r/>
            <w:r>
              <w:rPr>
                <w:rFonts w:ascii="Aptos" w:hAnsi="Aptos"/>
                <w:b w:val="0"/>
                <w:sz w:val="16"/>
              </w:rPr>
              <w:t>Benford’s Law</w:t>
            </w:r>
          </w:p>
        </w:tc>
        <w:tc>
          <w:tcPr>
            <w:tcW w:type="dxa" w:w="6696"/>
            <w:vAlign w:val="center"/>
          </w:tcPr>
          <w:p>
            <w:r/>
            <w:r>
              <w:rPr>
                <w:rFonts w:ascii="Aptos" w:hAnsi="Aptos"/>
                <w:b w:val="0"/>
                <w:sz w:val="16"/>
              </w:rPr>
              <w:t>Not included in core. Requires bill-level financial amounts and sufficient transactions; sanction amounts are not a substitute.</w:t>
            </w:r>
          </w:p>
        </w:tc>
        <w:tc>
          <w:tcPr>
            <w:tcW w:type="dxa" w:w="2088"/>
            <w:vAlign w:val="center"/>
          </w:tcPr>
          <w:p>
            <w:r/>
            <w:r>
              <w:rPr>
                <w:rFonts w:ascii="Aptos" w:hAnsi="Aptos"/>
                <w:b w:val="0"/>
                <w:sz w:val="16"/>
              </w:rPr>
              <w:t>Excluded from locked build.</w:t>
            </w:r>
          </w:p>
        </w:tc>
      </w:tr>
      <w:tr>
        <w:tc>
          <w:tcPr>
            <w:tcW w:type="dxa" w:w="1944"/>
            <w:vAlign w:val="center"/>
          </w:tcPr>
          <w:p>
            <w:r/>
            <w:r>
              <w:rPr>
                <w:rFonts w:ascii="Aptos" w:hAnsi="Aptos"/>
                <w:b w:val="0"/>
                <w:sz w:val="16"/>
              </w:rPr>
              <w:t>GPS duplicate distance</w:t>
            </w:r>
          </w:p>
        </w:tc>
        <w:tc>
          <w:tcPr>
            <w:tcW w:type="dxa" w:w="6696"/>
            <w:vAlign w:val="center"/>
          </w:tcPr>
          <w:p>
            <w:r/>
            <w:r>
              <w:rPr>
                <w:rFonts w:ascii="Aptos" w:hAnsi="Aptos"/>
                <w:b w:val="0"/>
                <w:sz w:val="16"/>
              </w:rPr>
              <w:t>Not included because reliable project GPS is not in confirmed public work-level datasets.</w:t>
            </w:r>
          </w:p>
        </w:tc>
        <w:tc>
          <w:tcPr>
            <w:tcW w:type="dxa" w:w="2088"/>
            <w:vAlign w:val="center"/>
          </w:tcPr>
          <w:p>
            <w:r/>
            <w:r>
              <w:rPr>
                <w:rFonts w:ascii="Aptos" w:hAnsi="Aptos"/>
                <w:b w:val="0"/>
                <w:sz w:val="16"/>
              </w:rPr>
              <w:t>Excluded.</w:t>
            </w:r>
          </w:p>
        </w:tc>
      </w:tr>
      <w:tr>
        <w:tc>
          <w:tcPr>
            <w:tcW w:type="dxa" w:w="1944"/>
            <w:vAlign w:val="center"/>
          </w:tcPr>
          <w:p>
            <w:r/>
            <w:r>
              <w:rPr>
                <w:rFonts w:ascii="Aptos" w:hAnsi="Aptos"/>
                <w:b w:val="0"/>
                <w:sz w:val="16"/>
              </w:rPr>
              <w:t>Vendor graph detector</w:t>
            </w:r>
          </w:p>
        </w:tc>
        <w:tc>
          <w:tcPr>
            <w:tcW w:type="dxa" w:w="6696"/>
            <w:vAlign w:val="center"/>
          </w:tcPr>
          <w:p>
            <w:r/>
            <w:r>
              <w:rPr>
                <w:rFonts w:ascii="Aptos" w:hAnsi="Aptos"/>
                <w:b w:val="0"/>
                <w:sz w:val="16"/>
              </w:rPr>
              <w:t>Not included as a core detector because vendor transactions cannot safely be tied to individual projects from 22565 alone.</w:t>
            </w:r>
          </w:p>
        </w:tc>
        <w:tc>
          <w:tcPr>
            <w:tcW w:type="dxa" w:w="2088"/>
            <w:vAlign w:val="center"/>
          </w:tcPr>
          <w:p>
            <w:r/>
            <w:r>
              <w:rPr>
                <w:rFonts w:ascii="Aptos" w:hAnsi="Aptos"/>
                <w:b w:val="0"/>
                <w:sz w:val="16"/>
              </w:rPr>
              <w:t>Excluded.</w:t>
            </w:r>
          </w:p>
        </w:tc>
      </w:tr>
      <w:tr>
        <w:tc>
          <w:tcPr>
            <w:tcW w:type="dxa" w:w="1944"/>
            <w:vAlign w:val="center"/>
          </w:tcPr>
          <w:p>
            <w:r/>
            <w:r>
              <w:rPr>
                <w:rFonts w:ascii="Aptos" w:hAnsi="Aptos"/>
                <w:b w:val="0"/>
                <w:sz w:val="16"/>
              </w:rPr>
              <w:t>Forecasting/survival model</w:t>
            </w:r>
          </w:p>
        </w:tc>
        <w:tc>
          <w:tcPr>
            <w:tcW w:type="dxa" w:w="6696"/>
            <w:vAlign w:val="center"/>
          </w:tcPr>
          <w:p>
            <w:r/>
            <w:r>
              <w:rPr>
                <w:rFonts w:ascii="Aptos" w:hAnsi="Aptos"/>
                <w:b w:val="0"/>
                <w:sz w:val="16"/>
              </w:rPr>
              <w:t>Not included because 48-hour validation and model justification are inadequate for the prototype.</w:t>
            </w:r>
          </w:p>
        </w:tc>
        <w:tc>
          <w:tcPr>
            <w:tcW w:type="dxa" w:w="2088"/>
            <w:vAlign w:val="center"/>
          </w:tcPr>
          <w:p>
            <w:r/>
            <w:r>
              <w:rPr>
                <w:rFonts w:ascii="Aptos" w:hAnsi="Aptos"/>
                <w:b w:val="0"/>
                <w:sz w:val="16"/>
              </w:rPr>
              <w:t>Excluded.</w:t>
            </w:r>
          </w:p>
        </w:tc>
      </w:tr>
    </w:tbl>
    <w:p/>
    <w:p>
      <w:pPr>
        <w:pStyle w:val="Heading1"/>
      </w:pPr>
      <w:r>
        <w:t>16. Investigation Layer</w:t>
      </w:r>
    </w:p>
    <w:p>
      <w:r>
        <w:t>The product is a risk prioritization tool, not a fraud verdict system. For each selected work, the dashboard should produce an investigator-readable case summary.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vAlign w:val="center"/>
            <w:shd w:fill="1F4E79"/>
          </w:tcPr>
          <w:p>
            <w:r/>
            <w:r>
              <w:rPr>
                <w:rFonts w:ascii="Aptos" w:hAnsi="Aptos"/>
                <w:b/>
                <w:color w:val="FFFFFF"/>
                <w:sz w:val="16"/>
              </w:rPr>
              <w:t>Section</w:t>
            </w:r>
          </w:p>
        </w:tc>
        <w:tc>
          <w:tcPr>
            <w:tcW w:type="dxa" w:w="7776"/>
            <w:vAlign w:val="center"/>
            <w:shd w:fill="1F4E79"/>
          </w:tcPr>
          <w:p>
            <w:r/>
            <w:r>
              <w:rPr>
                <w:rFonts w:ascii="Aptos" w:hAnsi="Aptos"/>
                <w:b/>
                <w:color w:val="FFFFFF"/>
                <w:sz w:val="16"/>
              </w:rPr>
              <w:t>Required output</w:t>
            </w:r>
          </w:p>
        </w:tc>
      </w:tr>
      <w:tr>
        <w:tc>
          <w:tcPr>
            <w:tcW w:type="dxa" w:w="2088"/>
            <w:vAlign w:val="center"/>
          </w:tcPr>
          <w:p>
            <w:r/>
            <w:r>
              <w:rPr>
                <w:rFonts w:ascii="Aptos" w:hAnsi="Aptos"/>
                <w:b w:val="0"/>
                <w:sz w:val="16"/>
              </w:rPr>
              <w:t>Risk header</w:t>
            </w:r>
          </w:p>
        </w:tc>
        <w:tc>
          <w:tcPr>
            <w:tcW w:type="dxa" w:w="7776"/>
            <w:vAlign w:val="center"/>
          </w:tcPr>
          <w:p>
            <w:r/>
            <w:r>
              <w:rPr>
                <w:rFonts w:ascii="Aptos" w:hAnsi="Aptos"/>
                <w:b w:val="0"/>
                <w:sz w:val="16"/>
              </w:rPr>
              <w:t>Risk score, band, evidence coverage, selected work ID, MP, constituency, district.</w:t>
            </w:r>
          </w:p>
        </w:tc>
      </w:tr>
      <w:tr>
        <w:tc>
          <w:tcPr>
            <w:tcW w:type="dxa" w:w="2088"/>
            <w:vAlign w:val="center"/>
          </w:tcPr>
          <w:p>
            <w:r/>
            <w:r>
              <w:rPr>
                <w:rFonts w:ascii="Aptos" w:hAnsi="Aptos"/>
                <w:b w:val="0"/>
                <w:sz w:val="16"/>
              </w:rPr>
              <w:t>Why flagged</w:t>
            </w:r>
          </w:p>
        </w:tc>
        <w:tc>
          <w:tcPr>
            <w:tcW w:type="dxa" w:w="7776"/>
            <w:vAlign w:val="center"/>
          </w:tcPr>
          <w:p>
            <w:r/>
            <w:r>
              <w:rPr>
                <w:rFonts w:ascii="Aptos" w:hAnsi="Aptos"/>
                <w:b w:val="0"/>
                <w:sz w:val="16"/>
              </w:rPr>
              <w:t>Top 3–5 evidence statements ordered by contribution/severity.</w:t>
            </w:r>
          </w:p>
        </w:tc>
      </w:tr>
      <w:tr>
        <w:tc>
          <w:tcPr>
            <w:tcW w:type="dxa" w:w="2088"/>
            <w:vAlign w:val="center"/>
          </w:tcPr>
          <w:p>
            <w:r/>
            <w:r>
              <w:rPr>
                <w:rFonts w:ascii="Aptos" w:hAnsi="Aptos"/>
                <w:b w:val="0"/>
                <w:sz w:val="16"/>
              </w:rPr>
              <w:t>Peer context</w:t>
            </w:r>
          </w:p>
        </w:tc>
        <w:tc>
          <w:tcPr>
            <w:tcW w:type="dxa" w:w="7776"/>
            <w:vAlign w:val="center"/>
          </w:tcPr>
          <w:p>
            <w:r/>
            <w:r>
              <w:rPr>
                <w:rFonts w:ascii="Aptos" w:hAnsi="Aptos"/>
                <w:b w:val="0"/>
                <w:sz w:val="16"/>
              </w:rPr>
              <w:t>Peer cohort definition, peer count, median, percentile, IQR and comparison chart.</w:t>
            </w:r>
          </w:p>
        </w:tc>
      </w:tr>
      <w:tr>
        <w:tc>
          <w:tcPr>
            <w:tcW w:type="dxa" w:w="2088"/>
            <w:vAlign w:val="center"/>
          </w:tcPr>
          <w:p>
            <w:r/>
            <w:r>
              <w:rPr>
                <w:rFonts w:ascii="Aptos" w:hAnsi="Aptos"/>
                <w:b w:val="0"/>
                <w:sz w:val="16"/>
              </w:rPr>
              <w:t>Mismatch timeline</w:t>
            </w:r>
          </w:p>
        </w:tc>
        <w:tc>
          <w:tcPr>
            <w:tcW w:type="dxa" w:w="7776"/>
            <w:vAlign w:val="center"/>
          </w:tcPr>
          <w:p>
            <w:r/>
            <w:r>
              <w:rPr>
                <w:rFonts w:ascii="Aptos" w:hAnsi="Aptos"/>
                <w:b w:val="0"/>
                <w:sz w:val="16"/>
              </w:rPr>
              <w:t>Proposal/recommendation -&gt; approval -&gt; completion/snapshot timeline; money evidence where available.</w:t>
            </w:r>
          </w:p>
        </w:tc>
      </w:tr>
      <w:tr>
        <w:tc>
          <w:tcPr>
            <w:tcW w:type="dxa" w:w="2088"/>
            <w:vAlign w:val="center"/>
          </w:tcPr>
          <w:p>
            <w:r/>
            <w:r>
              <w:rPr>
                <w:rFonts w:ascii="Aptos" w:hAnsi="Aptos"/>
                <w:b w:val="0"/>
                <w:sz w:val="16"/>
              </w:rPr>
              <w:t>Duplicate candidates</w:t>
            </w:r>
          </w:p>
        </w:tc>
        <w:tc>
          <w:tcPr>
            <w:tcW w:type="dxa" w:w="7776"/>
            <w:vAlign w:val="center"/>
          </w:tcPr>
          <w:p>
            <w:r/>
            <w:r>
              <w:rPr>
                <w:rFonts w:ascii="Aptos" w:hAnsi="Aptos"/>
                <w:b w:val="0"/>
                <w:sz w:val="16"/>
              </w:rPr>
              <w:t>Top candidate works, semantic similarity, shared district/constituency, shared agency and dates.</w:t>
            </w:r>
          </w:p>
        </w:tc>
      </w:tr>
      <w:tr>
        <w:tc>
          <w:tcPr>
            <w:tcW w:type="dxa" w:w="2088"/>
            <w:vAlign w:val="center"/>
          </w:tcPr>
          <w:p>
            <w:r/>
            <w:r>
              <w:rPr>
                <w:rFonts w:ascii="Aptos" w:hAnsi="Aptos"/>
                <w:b w:val="0"/>
                <w:sz w:val="16"/>
              </w:rPr>
              <w:t>Data quality</w:t>
            </w:r>
          </w:p>
        </w:tc>
        <w:tc>
          <w:tcPr>
            <w:tcW w:type="dxa" w:w="7776"/>
            <w:vAlign w:val="center"/>
          </w:tcPr>
          <w:p>
            <w:r/>
            <w:r>
              <w:rPr>
                <w:rFonts w:ascii="Aptos" w:hAnsi="Aptos"/>
                <w:b w:val="0"/>
                <w:sz w:val="16"/>
              </w:rPr>
              <w:t>Missing fields, proxy labels, join match state, source dataset for each claim.</w:t>
            </w:r>
          </w:p>
        </w:tc>
      </w:tr>
      <w:tr>
        <w:tc>
          <w:tcPr>
            <w:tcW w:type="dxa" w:w="2088"/>
            <w:vAlign w:val="center"/>
          </w:tcPr>
          <w:p>
            <w:r/>
            <w:r>
              <w:rPr>
                <w:rFonts w:ascii="Aptos" w:hAnsi="Aptos"/>
                <w:b w:val="0"/>
                <w:sz w:val="16"/>
              </w:rPr>
              <w:t>Recommended investigation</w:t>
            </w:r>
          </w:p>
        </w:tc>
        <w:tc>
          <w:tcPr>
            <w:tcW w:type="dxa" w:w="7776"/>
            <w:vAlign w:val="center"/>
          </w:tcPr>
          <w:p>
            <w:r/>
            <w:r>
              <w:rPr>
                <w:rFonts w:ascii="Aptos" w:hAnsi="Aptos"/>
                <w:b w:val="0"/>
                <w:sz w:val="16"/>
              </w:rPr>
              <w:t>Concrete next step: verify sanction, payment/expenditure record, work completion documentation, agency records, or possible duplicate asset details depending on the triggered evidence.</w:t>
            </w:r>
          </w:p>
        </w:tc>
      </w:tr>
      <w:tr>
        <w:tc>
          <w:tcPr>
            <w:tcW w:type="dxa" w:w="2088"/>
            <w:vAlign w:val="center"/>
          </w:tcPr>
          <w:p>
            <w:r/>
            <w:r>
              <w:rPr>
                <w:rFonts w:ascii="Aptos" w:hAnsi="Aptos"/>
                <w:b w:val="0"/>
                <w:sz w:val="16"/>
              </w:rPr>
              <w:t>Audit/provenance</w:t>
            </w:r>
          </w:p>
        </w:tc>
        <w:tc>
          <w:tcPr>
            <w:tcW w:type="dxa" w:w="7776"/>
            <w:vAlign w:val="center"/>
          </w:tcPr>
          <w:p>
            <w:r/>
            <w:r>
              <w:rPr>
                <w:rFonts w:ascii="Aptos" w:hAnsi="Aptos"/>
                <w:b w:val="0"/>
                <w:sz w:val="16"/>
              </w:rPr>
              <w:t>Source dataset names and data-as-on dates; scoring version/config version.</w:t>
            </w:r>
          </w:p>
        </w:tc>
      </w:tr>
    </w:tbl>
    <w:p/>
    <w:p>
      <w:pPr>
        <w:pStyle w:val="Heading1"/>
      </w:pPr>
      <w:r>
        <w:t>17. Streamlit Application Architecture</w:t>
      </w:r>
    </w:p>
    <w:p>
      <w:pPr>
        <w:pStyle w:val="CodeBlock"/>
        <w:spacing w:after="80"/>
        <w:ind w:left="288"/>
      </w:pPr>
      <w:r>
        <w:t>Sidebar</w:t>
        <w:br/>
        <w:t xml:space="preserve">  • Dataset/source status</w:t>
        <w:br/>
        <w:t xml:space="preserve">  • State / district / constituency / MP filters</w:t>
        <w:br/>
        <w:t xml:space="preserve">  • Risk band filter</w:t>
        <w:br/>
        <w:t xml:space="preserve">  • Minimum evidence coverage</w:t>
        <w:br/>
        <w:t xml:space="preserve">  • Module filter</w:t>
        <w:br/>
        <w:br/>
        <w:t>Main dashboard</w:t>
        <w:br/>
        <w:t xml:space="preserve">  • KPI cards: total works, flagged works, high/critical, evidence coverage</w:t>
        <w:br/>
        <w:t xml:space="preserve">  • Risk distribution chart</w:t>
        <w:br/>
        <w:t xml:space="preserve">  • Module contribution chart</w:t>
        <w:br/>
        <w:t xml:space="preserve">  • Ranked investigation queue</w:t>
        <w:br/>
        <w:br/>
        <w:t>Work detail</w:t>
        <w:br/>
        <w:t xml:space="preserve">  • Work identity + source</w:t>
        <w:br/>
        <w:t xml:space="preserve">  • Unified Risk Score + coverage</w:t>
        <w:br/>
        <w:t xml:space="preserve">  • Four module cards</w:t>
        <w:br/>
        <w:t xml:space="preserve">  • Peer comparison plot</w:t>
        <w:br/>
        <w:t xml:space="preserve">  • Timeline / mismatch panel</w:t>
        <w:br/>
        <w:t xml:space="preserve">  • Duplicate candidates table</w:t>
        <w:br/>
        <w:t xml:space="preserve">  • Evidence &amp; confidence panel</w:t>
        <w:br/>
        <w:t xml:space="preserve">  • Recommended investigation action</w:t>
        <w:br/>
        <w:br/>
        <w:t>Data health page</w:t>
        <w:br/>
        <w:t xml:space="preserve">  • row counts, null rates, join match rate, module coverage</w:t>
        <w:br/>
        <w:t xml:space="preserve">  • last loaded date/source manifest</w:t>
      </w:r>
    </w:p>
    <w:p>
      <w:pPr>
        <w:pStyle w:val="Heading1"/>
      </w:pPr>
      <w:r>
        <w:t>18. AI / Analytical Model Boundary</w:t>
      </w:r>
    </w:p>
    <w:p>
      <w:r>
        <w:t>The prototype is AI-assisted but intentionally does not depend on training a new supervised fraud model. The intelligence layer combines a pretrained sentence-embedding model for semantic overlap detection with transparent statistical and rule-based analytics. This keeps the system explainable and buildable in 48 hours.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1F4E79"/>
          </w:tcPr>
          <w:p>
            <w:r/>
            <w:r>
              <w:rPr>
                <w:rFonts w:ascii="Aptos" w:hAnsi="Aptos"/>
                <w:b/>
                <w:color w:val="FFFFFF"/>
                <w:sz w:val="16"/>
              </w:rPr>
              <w:t>Layer</w:t>
            </w:r>
          </w:p>
        </w:tc>
        <w:tc>
          <w:tcPr>
            <w:tcW w:type="dxa" w:w="4176"/>
            <w:vAlign w:val="center"/>
            <w:shd w:fill="1F4E79"/>
          </w:tcPr>
          <w:p>
            <w:r/>
            <w:r>
              <w:rPr>
                <w:rFonts w:ascii="Aptos" w:hAnsi="Aptos"/>
                <w:b/>
                <w:color w:val="FFFFFF"/>
                <w:sz w:val="16"/>
              </w:rPr>
              <w:t>What is learned/model-based</w:t>
            </w:r>
          </w:p>
        </w:tc>
        <w:tc>
          <w:tcPr>
            <w:tcW w:type="dxa" w:w="4032"/>
            <w:vAlign w:val="center"/>
            <w:shd w:fill="1F4E79"/>
          </w:tcPr>
          <w:p>
            <w:r/>
            <w:r>
              <w:rPr>
                <w:rFonts w:ascii="Aptos" w:hAnsi="Aptos"/>
                <w:b/>
                <w:color w:val="FFFFFF"/>
                <w:sz w:val="16"/>
              </w:rPr>
              <w:t>What is deterministic</w:t>
            </w:r>
          </w:p>
        </w:tc>
      </w:tr>
      <w:tr>
        <w:tc>
          <w:tcPr>
            <w:tcW w:type="dxa" w:w="2304"/>
            <w:vAlign w:val="center"/>
          </w:tcPr>
          <w:p>
            <w:r/>
            <w:r>
              <w:rPr>
                <w:rFonts w:ascii="Aptos" w:hAnsi="Aptos"/>
                <w:b w:val="0"/>
                <w:sz w:val="16"/>
              </w:rPr>
              <w:t>Semantic similarity</w:t>
            </w:r>
          </w:p>
        </w:tc>
        <w:tc>
          <w:tcPr>
            <w:tcW w:type="dxa" w:w="4176"/>
            <w:vAlign w:val="center"/>
          </w:tcPr>
          <w:p>
            <w:r/>
            <w:r>
              <w:rPr>
                <w:rFonts w:ascii="Aptos" w:hAnsi="Aptos"/>
                <w:b w:val="0"/>
                <w:sz w:val="16"/>
              </w:rPr>
              <w:t>all-MiniLM-L6-v2 pretrained embeddings + cosine similarity</w:t>
            </w:r>
          </w:p>
        </w:tc>
        <w:tc>
          <w:tcPr>
            <w:tcW w:type="dxa" w:w="4032"/>
            <w:vAlign w:val="center"/>
          </w:tcPr>
          <w:p>
            <w:r/>
            <w:r>
              <w:rPr>
                <w:rFonts w:ascii="Aptos" w:hAnsi="Aptos"/>
                <w:b w:val="0"/>
                <w:sz w:val="16"/>
              </w:rPr>
              <w:t>Candidate blocking, thresholds and contextual checks</w:t>
            </w:r>
          </w:p>
        </w:tc>
      </w:tr>
      <w:tr>
        <w:tc>
          <w:tcPr>
            <w:tcW w:type="dxa" w:w="2304"/>
            <w:vAlign w:val="center"/>
          </w:tcPr>
          <w:p>
            <w:r/>
            <w:r>
              <w:rPr>
                <w:rFonts w:ascii="Aptos" w:hAnsi="Aptos"/>
                <w:b w:val="0"/>
                <w:sz w:val="16"/>
              </w:rPr>
              <w:t>Peer intelligence</w:t>
            </w:r>
          </w:p>
        </w:tc>
        <w:tc>
          <w:tcPr>
            <w:tcW w:type="dxa" w:w="4176"/>
            <w:vAlign w:val="center"/>
          </w:tcPr>
          <w:p>
            <w:r/>
            <w:r>
              <w:rPr>
                <w:rFonts w:ascii="Aptos" w:hAnsi="Aptos"/>
                <w:b w:val="0"/>
                <w:sz w:val="16"/>
              </w:rPr>
              <w:t>Empirical distributions from real MPLADS works</w:t>
            </w:r>
          </w:p>
        </w:tc>
        <w:tc>
          <w:tcPr>
            <w:tcW w:type="dxa" w:w="4032"/>
            <w:vAlign w:val="center"/>
          </w:tcPr>
          <w:p>
            <w:r/>
            <w:r>
              <w:rPr>
                <w:rFonts w:ascii="Aptos" w:hAnsi="Aptos"/>
                <w:b w:val="0"/>
                <w:sz w:val="16"/>
              </w:rPr>
              <w:t>Cohort hierarchy, percentile/IQR calculations</w:t>
            </w:r>
          </w:p>
        </w:tc>
      </w:tr>
      <w:tr>
        <w:tc>
          <w:tcPr>
            <w:tcW w:type="dxa" w:w="2304"/>
            <w:vAlign w:val="center"/>
          </w:tcPr>
          <w:p>
            <w:r/>
            <w:r>
              <w:rPr>
                <w:rFonts w:ascii="Aptos" w:hAnsi="Aptos"/>
                <w:b w:val="0"/>
                <w:sz w:val="16"/>
              </w:rPr>
              <w:t>Statistical intelligence</w:t>
            </w:r>
          </w:p>
        </w:tc>
        <w:tc>
          <w:tcPr>
            <w:tcW w:type="dxa" w:w="4176"/>
            <w:vAlign w:val="center"/>
          </w:tcPr>
          <w:p>
            <w:r/>
            <w:r>
              <w:rPr>
                <w:rFonts w:ascii="Aptos" w:hAnsi="Aptos"/>
                <w:b w:val="0"/>
                <w:sz w:val="16"/>
              </w:rPr>
              <w:t>No fitted fraud classifier</w:t>
            </w:r>
          </w:p>
        </w:tc>
        <w:tc>
          <w:tcPr>
            <w:tcW w:type="dxa" w:w="4032"/>
            <w:vAlign w:val="center"/>
          </w:tcPr>
          <w:p>
            <w:r/>
            <w:r>
              <w:rPr>
                <w:rFonts w:ascii="Aptos" w:hAnsi="Aptos"/>
                <w:b w:val="0"/>
                <w:sz w:val="16"/>
              </w:rPr>
              <w:t>Robust anomaly calculations and aggregation</w:t>
            </w:r>
          </w:p>
        </w:tc>
      </w:tr>
      <w:tr>
        <w:tc>
          <w:tcPr>
            <w:tcW w:type="dxa" w:w="2304"/>
            <w:vAlign w:val="center"/>
          </w:tcPr>
          <w:p>
            <w:r/>
            <w:r>
              <w:rPr>
                <w:rFonts w:ascii="Aptos" w:hAnsi="Aptos"/>
                <w:b w:val="0"/>
                <w:sz w:val="16"/>
              </w:rPr>
              <w:t>Mismatch intelligence</w:t>
            </w:r>
          </w:p>
        </w:tc>
        <w:tc>
          <w:tcPr>
            <w:tcW w:type="dxa" w:w="4176"/>
            <w:vAlign w:val="center"/>
          </w:tcPr>
          <w:p>
            <w:r/>
            <w:r>
              <w:rPr>
                <w:rFonts w:ascii="Aptos" w:hAnsi="Aptos"/>
                <w:b w:val="0"/>
                <w:sz w:val="16"/>
              </w:rPr>
              <w:t>No trained progress model</w:t>
            </w:r>
          </w:p>
        </w:tc>
        <w:tc>
          <w:tcPr>
            <w:tcW w:type="dxa" w:w="4032"/>
            <w:vAlign w:val="center"/>
          </w:tcPr>
          <w:p>
            <w:r/>
            <w:r>
              <w:rPr>
                <w:rFonts w:ascii="Aptos" w:hAnsi="Aptos"/>
                <w:b w:val="0"/>
                <w:sz w:val="16"/>
              </w:rPr>
              <w:t>Status/time/physical-progress rules and ratios</w:t>
            </w:r>
          </w:p>
        </w:tc>
      </w:tr>
      <w:tr>
        <w:tc>
          <w:tcPr>
            <w:tcW w:type="dxa" w:w="2304"/>
            <w:vAlign w:val="center"/>
          </w:tcPr>
          <w:p>
            <w:r/>
            <w:r>
              <w:rPr>
                <w:rFonts w:ascii="Aptos" w:hAnsi="Aptos"/>
                <w:b w:val="0"/>
                <w:sz w:val="16"/>
              </w:rPr>
              <w:t>Risk fusion</w:t>
            </w:r>
          </w:p>
        </w:tc>
        <w:tc>
          <w:tcPr>
            <w:tcW w:type="dxa" w:w="4176"/>
            <w:vAlign w:val="center"/>
          </w:tcPr>
          <w:p>
            <w:r/>
            <w:r>
              <w:rPr>
                <w:rFonts w:ascii="Aptos" w:hAnsi="Aptos"/>
                <w:b w:val="0"/>
                <w:sz w:val="16"/>
              </w:rPr>
              <w:t>No learned calibration</w:t>
            </w:r>
          </w:p>
        </w:tc>
        <w:tc>
          <w:tcPr>
            <w:tcW w:type="dxa" w:w="4032"/>
            <w:vAlign w:val="center"/>
          </w:tcPr>
          <w:p>
            <w:r/>
            <w:r>
              <w:rPr>
                <w:rFonts w:ascii="Aptos" w:hAnsi="Aptos"/>
                <w:b w:val="0"/>
                <w:sz w:val="16"/>
              </w:rPr>
              <w:t>Locked 30/25/30/15 weighted fusion</w:t>
            </w:r>
          </w:p>
        </w:tc>
      </w:tr>
    </w:tbl>
    <w:p/>
    <w:p>
      <w:pPr>
        <w:pStyle w:val="Heading1"/>
      </w:pPr>
      <w:r>
        <w:t>18. Exact Technology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1F4E79"/>
          </w:tcPr>
          <w:p>
            <w:r/>
            <w:r>
              <w:rPr>
                <w:rFonts w:ascii="Aptos" w:hAnsi="Aptos"/>
                <w:b/>
                <w:color w:val="FFFFFF"/>
                <w:sz w:val="16"/>
              </w:rPr>
              <w:t>Layer</w:t>
            </w:r>
          </w:p>
        </w:tc>
        <w:tc>
          <w:tcPr>
            <w:tcW w:type="dxa" w:w="3744"/>
            <w:vAlign w:val="center"/>
            <w:shd w:fill="1F4E79"/>
          </w:tcPr>
          <w:p>
            <w:r/>
            <w:r>
              <w:rPr>
                <w:rFonts w:ascii="Aptos" w:hAnsi="Aptos"/>
                <w:b/>
                <w:color w:val="FFFFFF"/>
                <w:sz w:val="16"/>
              </w:rPr>
              <w:t>Technology</w:t>
            </w:r>
          </w:p>
        </w:tc>
        <w:tc>
          <w:tcPr>
            <w:tcW w:type="dxa" w:w="4320"/>
            <w:vAlign w:val="center"/>
            <w:shd w:fill="1F4E79"/>
          </w:tcPr>
          <w:p>
            <w:r/>
            <w:r>
              <w:rPr>
                <w:rFonts w:ascii="Aptos" w:hAnsi="Aptos"/>
                <w:b/>
                <w:color w:val="FFFFFF"/>
                <w:sz w:val="16"/>
              </w:rPr>
              <w:t>Reason</w:t>
            </w:r>
          </w:p>
        </w:tc>
      </w:tr>
      <w:tr>
        <w:tc>
          <w:tcPr>
            <w:tcW w:type="dxa" w:w="1800"/>
            <w:vAlign w:val="center"/>
          </w:tcPr>
          <w:p>
            <w:r/>
            <w:r>
              <w:rPr>
                <w:rFonts w:ascii="Aptos" w:hAnsi="Aptos"/>
                <w:b w:val="0"/>
                <w:sz w:val="16"/>
              </w:rPr>
              <w:t>Language</w:t>
            </w:r>
          </w:p>
        </w:tc>
        <w:tc>
          <w:tcPr>
            <w:tcW w:type="dxa" w:w="3744"/>
            <w:vAlign w:val="center"/>
          </w:tcPr>
          <w:p>
            <w:r/>
            <w:r>
              <w:rPr>
                <w:rFonts w:ascii="Aptos" w:hAnsi="Aptos"/>
                <w:b w:val="0"/>
                <w:sz w:val="16"/>
              </w:rPr>
              <w:t>Python 3.11+</w:t>
            </w:r>
          </w:p>
        </w:tc>
        <w:tc>
          <w:tcPr>
            <w:tcW w:type="dxa" w:w="4320"/>
            <w:vAlign w:val="center"/>
          </w:tcPr>
          <w:p>
            <w:r/>
            <w:r>
              <w:rPr>
                <w:rFonts w:ascii="Aptos" w:hAnsi="Aptos"/>
                <w:b w:val="0"/>
                <w:sz w:val="16"/>
              </w:rPr>
              <w:t>Fastest prototype path; strong data/ML ecosystem.</w:t>
            </w:r>
          </w:p>
        </w:tc>
      </w:tr>
      <w:tr>
        <w:tc>
          <w:tcPr>
            <w:tcW w:type="dxa" w:w="1800"/>
            <w:vAlign w:val="center"/>
          </w:tcPr>
          <w:p>
            <w:r/>
            <w:r>
              <w:rPr>
                <w:rFonts w:ascii="Aptos" w:hAnsi="Aptos"/>
                <w:b w:val="0"/>
                <w:sz w:val="16"/>
              </w:rPr>
              <w:t>Data processing</w:t>
            </w:r>
          </w:p>
        </w:tc>
        <w:tc>
          <w:tcPr>
            <w:tcW w:type="dxa" w:w="3744"/>
            <w:vAlign w:val="center"/>
          </w:tcPr>
          <w:p>
            <w:r/>
            <w:r>
              <w:rPr>
                <w:rFonts w:ascii="Aptos" w:hAnsi="Aptos"/>
                <w:b w:val="0"/>
                <w:sz w:val="16"/>
              </w:rPr>
              <w:t>Pandas + NumPy</w:t>
            </w:r>
          </w:p>
        </w:tc>
        <w:tc>
          <w:tcPr>
            <w:tcW w:type="dxa" w:w="4320"/>
            <w:vAlign w:val="center"/>
          </w:tcPr>
          <w:p>
            <w:r/>
            <w:r>
              <w:rPr>
                <w:rFonts w:ascii="Aptos" w:hAnsi="Aptos"/>
                <w:b w:val="0"/>
                <w:sz w:val="16"/>
              </w:rPr>
              <w:t>Cleaning, joins, feature engineering, scoring.</w:t>
            </w:r>
          </w:p>
        </w:tc>
      </w:tr>
      <w:tr>
        <w:tc>
          <w:tcPr>
            <w:tcW w:type="dxa" w:w="1800"/>
            <w:vAlign w:val="center"/>
          </w:tcPr>
          <w:p>
            <w:r/>
            <w:r>
              <w:rPr>
                <w:rFonts w:ascii="Aptos" w:hAnsi="Aptos"/>
                <w:b w:val="0"/>
                <w:sz w:val="16"/>
              </w:rPr>
              <w:t>Statistics</w:t>
            </w:r>
          </w:p>
        </w:tc>
        <w:tc>
          <w:tcPr>
            <w:tcW w:type="dxa" w:w="3744"/>
            <w:vAlign w:val="center"/>
          </w:tcPr>
          <w:p>
            <w:r/>
            <w:r>
              <w:rPr>
                <w:rFonts w:ascii="Aptos" w:hAnsi="Aptos"/>
                <w:b w:val="0"/>
                <w:sz w:val="16"/>
              </w:rPr>
              <w:t>NumPy + SciPy (optional)</w:t>
            </w:r>
          </w:p>
        </w:tc>
        <w:tc>
          <w:tcPr>
            <w:tcW w:type="dxa" w:w="4320"/>
            <w:vAlign w:val="center"/>
          </w:tcPr>
          <w:p>
            <w:r/>
            <w:r>
              <w:rPr>
                <w:rFonts w:ascii="Aptos" w:hAnsi="Aptos"/>
                <w:b w:val="0"/>
                <w:sz w:val="16"/>
              </w:rPr>
              <w:t>IQR, robust statistics, percentiles and distribution calculations.</w:t>
            </w:r>
          </w:p>
        </w:tc>
      </w:tr>
      <w:tr>
        <w:tc>
          <w:tcPr>
            <w:tcW w:type="dxa" w:w="1800"/>
            <w:vAlign w:val="center"/>
          </w:tcPr>
          <w:p>
            <w:r/>
            <w:r>
              <w:rPr>
                <w:rFonts w:ascii="Aptos" w:hAnsi="Aptos"/>
                <w:b w:val="0"/>
                <w:sz w:val="16"/>
              </w:rPr>
              <w:t>Embeddings</w:t>
            </w:r>
          </w:p>
        </w:tc>
        <w:tc>
          <w:tcPr>
            <w:tcW w:type="dxa" w:w="3744"/>
            <w:vAlign w:val="center"/>
          </w:tcPr>
          <w:p>
            <w:r/>
            <w:r>
              <w:rPr>
                <w:rFonts w:ascii="Aptos" w:hAnsi="Aptos"/>
                <w:b w:val="0"/>
                <w:sz w:val="16"/>
              </w:rPr>
              <w:t>sentence-transformers + all-MiniLM-L6-v2</w:t>
            </w:r>
          </w:p>
        </w:tc>
        <w:tc>
          <w:tcPr>
            <w:tcW w:type="dxa" w:w="4320"/>
            <w:vAlign w:val="center"/>
          </w:tcPr>
          <w:p>
            <w:r/>
            <w:r>
              <w:rPr>
                <w:rFonts w:ascii="Aptos" w:hAnsi="Aptos"/>
                <w:b w:val="0"/>
                <w:sz w:val="16"/>
              </w:rPr>
              <w:t>Semantic similarity for duplicate/overlap detection.</w:t>
            </w:r>
          </w:p>
        </w:tc>
      </w:tr>
      <w:tr>
        <w:tc>
          <w:tcPr>
            <w:tcW w:type="dxa" w:w="1800"/>
            <w:vAlign w:val="center"/>
          </w:tcPr>
          <w:p>
            <w:r/>
            <w:r>
              <w:rPr>
                <w:rFonts w:ascii="Aptos" w:hAnsi="Aptos"/>
                <w:b w:val="0"/>
                <w:sz w:val="16"/>
              </w:rPr>
              <w:t>Fuzzy matching</w:t>
            </w:r>
          </w:p>
        </w:tc>
        <w:tc>
          <w:tcPr>
            <w:tcW w:type="dxa" w:w="3744"/>
            <w:vAlign w:val="center"/>
          </w:tcPr>
          <w:p>
            <w:r/>
            <w:r>
              <w:rPr>
                <w:rFonts w:ascii="Aptos" w:hAnsi="Aptos"/>
                <w:b w:val="0"/>
                <w:sz w:val="16"/>
              </w:rPr>
              <w:t>RapidFuzz</w:t>
            </w:r>
          </w:p>
        </w:tc>
        <w:tc>
          <w:tcPr>
            <w:tcW w:type="dxa" w:w="4320"/>
            <w:vAlign w:val="center"/>
          </w:tcPr>
          <w:p>
            <w:r/>
            <w:r>
              <w:rPr>
                <w:rFonts w:ascii="Aptos" w:hAnsi="Aptos"/>
                <w:b w:val="0"/>
                <w:sz w:val="16"/>
              </w:rPr>
              <w:t>Fast agency/entity normalization and similarity.</w:t>
            </w:r>
          </w:p>
        </w:tc>
      </w:tr>
      <w:tr>
        <w:tc>
          <w:tcPr>
            <w:tcW w:type="dxa" w:w="1800"/>
            <w:vAlign w:val="center"/>
          </w:tcPr>
          <w:p>
            <w:r/>
            <w:r>
              <w:rPr>
                <w:rFonts w:ascii="Aptos" w:hAnsi="Aptos"/>
                <w:b w:val="0"/>
                <w:sz w:val="16"/>
              </w:rPr>
              <w:t>ML utilities</w:t>
            </w:r>
          </w:p>
        </w:tc>
        <w:tc>
          <w:tcPr>
            <w:tcW w:type="dxa" w:w="3744"/>
            <w:vAlign w:val="center"/>
          </w:tcPr>
          <w:p>
            <w:r/>
            <w:r>
              <w:rPr>
                <w:rFonts w:ascii="Aptos" w:hAnsi="Aptos"/>
                <w:b w:val="0"/>
                <w:sz w:val="16"/>
              </w:rPr>
              <w:t>scikit-learn only where useful (e.g., cosine utilities); no primary anomaly forest</w:t>
            </w:r>
          </w:p>
        </w:tc>
        <w:tc>
          <w:tcPr>
            <w:tcW w:type="dxa" w:w="4320"/>
            <w:vAlign w:val="center"/>
          </w:tcPr>
          <w:p>
            <w:r/>
            <w:r>
              <w:rPr>
                <w:rFonts w:ascii="Aptos" w:hAnsi="Aptos"/>
                <w:b w:val="0"/>
                <w:sz w:val="16"/>
              </w:rPr>
              <w:t>Avoid unnecessary black-box modeling.</w:t>
            </w:r>
          </w:p>
        </w:tc>
      </w:tr>
      <w:tr>
        <w:tc>
          <w:tcPr>
            <w:tcW w:type="dxa" w:w="1800"/>
            <w:vAlign w:val="center"/>
          </w:tcPr>
          <w:p>
            <w:r/>
            <w:r>
              <w:rPr>
                <w:rFonts w:ascii="Aptos" w:hAnsi="Aptos"/>
                <w:b w:val="0"/>
                <w:sz w:val="16"/>
              </w:rPr>
              <w:t>Visualization</w:t>
            </w:r>
          </w:p>
        </w:tc>
        <w:tc>
          <w:tcPr>
            <w:tcW w:type="dxa" w:w="3744"/>
            <w:vAlign w:val="center"/>
          </w:tcPr>
          <w:p>
            <w:r/>
            <w:r>
              <w:rPr>
                <w:rFonts w:ascii="Aptos" w:hAnsi="Aptos"/>
                <w:b w:val="0"/>
                <w:sz w:val="16"/>
              </w:rPr>
              <w:t>Plotly</w:t>
            </w:r>
          </w:p>
        </w:tc>
        <w:tc>
          <w:tcPr>
            <w:tcW w:type="dxa" w:w="4320"/>
            <w:vAlign w:val="center"/>
          </w:tcPr>
          <w:p>
            <w:r/>
            <w:r>
              <w:rPr>
                <w:rFonts w:ascii="Aptos" w:hAnsi="Aptos"/>
                <w:b w:val="0"/>
                <w:sz w:val="16"/>
              </w:rPr>
              <w:t>Interactive peer distributions, rankings and timelines.</w:t>
            </w:r>
          </w:p>
        </w:tc>
      </w:tr>
      <w:tr>
        <w:tc>
          <w:tcPr>
            <w:tcW w:type="dxa" w:w="1800"/>
            <w:vAlign w:val="center"/>
          </w:tcPr>
          <w:p>
            <w:r/>
            <w:r>
              <w:rPr>
                <w:rFonts w:ascii="Aptos" w:hAnsi="Aptos"/>
                <w:b w:val="0"/>
                <w:sz w:val="16"/>
              </w:rPr>
              <w:t>UI</w:t>
            </w:r>
          </w:p>
        </w:tc>
        <w:tc>
          <w:tcPr>
            <w:tcW w:type="dxa" w:w="3744"/>
            <w:vAlign w:val="center"/>
          </w:tcPr>
          <w:p>
            <w:r/>
            <w:r>
              <w:rPr>
                <w:rFonts w:ascii="Aptos" w:hAnsi="Aptos"/>
                <w:b w:val="0"/>
                <w:sz w:val="16"/>
              </w:rPr>
              <w:t>Streamlit</w:t>
            </w:r>
          </w:p>
        </w:tc>
        <w:tc>
          <w:tcPr>
            <w:tcW w:type="dxa" w:w="4320"/>
            <w:vAlign w:val="center"/>
          </w:tcPr>
          <w:p>
            <w:r/>
            <w:r>
              <w:rPr>
                <w:rFonts w:ascii="Aptos" w:hAnsi="Aptos"/>
                <w:b w:val="0"/>
                <w:sz w:val="16"/>
              </w:rPr>
              <w:t>Rapid live dashboard and drill-down application.</w:t>
            </w:r>
          </w:p>
        </w:tc>
      </w:tr>
      <w:tr>
        <w:tc>
          <w:tcPr>
            <w:tcW w:type="dxa" w:w="1800"/>
            <w:vAlign w:val="center"/>
          </w:tcPr>
          <w:p>
            <w:r/>
            <w:r>
              <w:rPr>
                <w:rFonts w:ascii="Aptos" w:hAnsi="Aptos"/>
                <w:b w:val="0"/>
                <w:sz w:val="16"/>
              </w:rPr>
              <w:t>Caching</w:t>
            </w:r>
          </w:p>
        </w:tc>
        <w:tc>
          <w:tcPr>
            <w:tcW w:type="dxa" w:w="3744"/>
            <w:vAlign w:val="center"/>
          </w:tcPr>
          <w:p>
            <w:r/>
            <w:r>
              <w:rPr>
                <w:rFonts w:ascii="Aptos" w:hAnsi="Aptos"/>
                <w:b w:val="0"/>
                <w:sz w:val="16"/>
              </w:rPr>
              <w:t>Streamlit cache_data/cache_resource + local artifacts</w:t>
            </w:r>
          </w:p>
        </w:tc>
        <w:tc>
          <w:tcPr>
            <w:tcW w:type="dxa" w:w="4320"/>
            <w:vAlign w:val="center"/>
          </w:tcPr>
          <w:p>
            <w:r/>
            <w:r>
              <w:rPr>
                <w:rFonts w:ascii="Aptos" w:hAnsi="Aptos"/>
                <w:b w:val="0"/>
                <w:sz w:val="16"/>
              </w:rPr>
              <w:t>Prevent repeated embedding/model computation.</w:t>
            </w:r>
          </w:p>
        </w:tc>
      </w:tr>
      <w:tr>
        <w:tc>
          <w:tcPr>
            <w:tcW w:type="dxa" w:w="1800"/>
            <w:vAlign w:val="center"/>
          </w:tcPr>
          <w:p>
            <w:r/>
            <w:r>
              <w:rPr>
                <w:rFonts w:ascii="Aptos" w:hAnsi="Aptos"/>
                <w:b w:val="0"/>
                <w:sz w:val="16"/>
              </w:rPr>
              <w:t>Storage</w:t>
            </w:r>
          </w:p>
        </w:tc>
        <w:tc>
          <w:tcPr>
            <w:tcW w:type="dxa" w:w="3744"/>
            <w:vAlign w:val="center"/>
          </w:tcPr>
          <w:p>
            <w:r/>
            <w:r>
              <w:rPr>
                <w:rFonts w:ascii="Aptos" w:hAnsi="Aptos"/>
                <w:b w:val="0"/>
                <w:sz w:val="16"/>
              </w:rPr>
              <w:t>Parquet/CSV locally</w:t>
            </w:r>
          </w:p>
        </w:tc>
        <w:tc>
          <w:tcPr>
            <w:tcW w:type="dxa" w:w="4320"/>
            <w:vAlign w:val="center"/>
          </w:tcPr>
          <w:p>
            <w:r/>
            <w:r>
              <w:rPr>
                <w:rFonts w:ascii="Aptos" w:hAnsi="Aptos"/>
                <w:b w:val="0"/>
                <w:sz w:val="16"/>
              </w:rPr>
              <w:t>Simple prototype storage; Parquet preferred for processed tables.</w:t>
            </w:r>
          </w:p>
        </w:tc>
      </w:tr>
      <w:tr>
        <w:tc>
          <w:tcPr>
            <w:tcW w:type="dxa" w:w="1800"/>
            <w:vAlign w:val="center"/>
          </w:tcPr>
          <w:p>
            <w:r/>
            <w:r>
              <w:rPr>
                <w:rFonts w:ascii="Aptos" w:hAnsi="Aptos"/>
                <w:b w:val="0"/>
                <w:sz w:val="16"/>
              </w:rPr>
              <w:t>Packaging</w:t>
            </w:r>
          </w:p>
        </w:tc>
        <w:tc>
          <w:tcPr>
            <w:tcW w:type="dxa" w:w="3744"/>
            <w:vAlign w:val="center"/>
          </w:tcPr>
          <w:p>
            <w:r/>
            <w:r>
              <w:rPr>
                <w:rFonts w:ascii="Aptos" w:hAnsi="Aptos"/>
                <w:b w:val="0"/>
                <w:sz w:val="16"/>
              </w:rPr>
              <w:t>requirements.txt</w:t>
            </w:r>
          </w:p>
        </w:tc>
        <w:tc>
          <w:tcPr>
            <w:tcW w:type="dxa" w:w="4320"/>
            <w:vAlign w:val="center"/>
          </w:tcPr>
          <w:p>
            <w:r/>
            <w:r>
              <w:rPr>
                <w:rFonts w:ascii="Aptos" w:hAnsi="Aptos"/>
                <w:b w:val="0"/>
                <w:sz w:val="16"/>
              </w:rPr>
              <w:t>Reproducible environment for demo machine.</w:t>
            </w:r>
          </w:p>
        </w:tc>
      </w:tr>
      <w:tr>
        <w:tc>
          <w:tcPr>
            <w:tcW w:type="dxa" w:w="1800"/>
            <w:vAlign w:val="center"/>
          </w:tcPr>
          <w:p>
            <w:r/>
            <w:r>
              <w:rPr>
                <w:rFonts w:ascii="Aptos" w:hAnsi="Aptos"/>
                <w:b w:val="0"/>
                <w:sz w:val="16"/>
              </w:rPr>
              <w:t>Versioning</w:t>
            </w:r>
          </w:p>
        </w:tc>
        <w:tc>
          <w:tcPr>
            <w:tcW w:type="dxa" w:w="3744"/>
            <w:vAlign w:val="center"/>
          </w:tcPr>
          <w:p>
            <w:r/>
            <w:r>
              <w:rPr>
                <w:rFonts w:ascii="Aptos" w:hAnsi="Aptos"/>
                <w:b w:val="0"/>
                <w:sz w:val="16"/>
              </w:rPr>
              <w:t>Git</w:t>
            </w:r>
          </w:p>
        </w:tc>
        <w:tc>
          <w:tcPr>
            <w:tcW w:type="dxa" w:w="4320"/>
            <w:vAlign w:val="center"/>
          </w:tcPr>
          <w:p>
            <w:r/>
            <w:r>
              <w:rPr>
                <w:rFonts w:ascii="Aptos" w:hAnsi="Aptos"/>
                <w:b w:val="0"/>
                <w:sz w:val="16"/>
              </w:rPr>
              <w:t>Track scoring logic, data schema and config changes.</w:t>
            </w:r>
          </w:p>
        </w:tc>
      </w:tr>
      <w:tr>
        <w:tc>
          <w:tcPr>
            <w:tcW w:type="dxa" w:w="1800"/>
            <w:vAlign w:val="center"/>
          </w:tcPr>
          <w:p>
            <w:r/>
            <w:r>
              <w:rPr>
                <w:rFonts w:ascii="Aptos" w:hAnsi="Aptos"/>
                <w:b w:val="0"/>
                <w:sz w:val="16"/>
              </w:rPr>
              <w:t>Configuration</w:t>
            </w:r>
          </w:p>
        </w:tc>
        <w:tc>
          <w:tcPr>
            <w:tcW w:type="dxa" w:w="3744"/>
            <w:vAlign w:val="center"/>
          </w:tcPr>
          <w:p>
            <w:r/>
            <w:r>
              <w:rPr>
                <w:rFonts w:ascii="Aptos" w:hAnsi="Aptos"/>
                <w:b w:val="0"/>
                <w:sz w:val="16"/>
              </w:rPr>
              <w:t>Python config module / YAML if preferred</w:t>
            </w:r>
          </w:p>
        </w:tc>
        <w:tc>
          <w:tcPr>
            <w:tcW w:type="dxa" w:w="4320"/>
            <w:vAlign w:val="center"/>
          </w:tcPr>
          <w:p>
            <w:r/>
            <w:r>
              <w:rPr>
                <w:rFonts w:ascii="Aptos" w:hAnsi="Aptos"/>
                <w:b w:val="0"/>
                <w:sz w:val="16"/>
              </w:rPr>
              <w:t>Keep weights, thresholds and minimum cohort size out of business logic.</w:t>
            </w:r>
          </w:p>
        </w:tc>
      </w:tr>
    </w:tbl>
    <w:p/>
    <w:p>
      <w:pPr>
        <w:pStyle w:val="Heading1"/>
      </w:pPr>
      <w:r>
        <w:t>20. Models, Algorithms &amp; Constants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vAlign w:val="center"/>
            <w:shd w:fill="1F4E79"/>
          </w:tcPr>
          <w:p>
            <w:r/>
            <w:r>
              <w:rPr>
                <w:rFonts w:ascii="Aptos" w:hAnsi="Aptos"/>
                <w:b/>
                <w:color w:val="FFFFFF"/>
                <w:sz w:val="16"/>
              </w:rPr>
              <w:t>Item</w:t>
            </w:r>
          </w:p>
        </w:tc>
        <w:tc>
          <w:tcPr>
            <w:tcW w:type="dxa" w:w="7632"/>
            <w:vAlign w:val="center"/>
            <w:shd w:fill="1F4E79"/>
          </w:tcPr>
          <w:p>
            <w:r/>
            <w:r>
              <w:rPr>
                <w:rFonts w:ascii="Aptos" w:hAnsi="Aptos"/>
                <w:b/>
                <w:color w:val="FFFFFF"/>
                <w:sz w:val="16"/>
              </w:rPr>
              <w:t>Locked implementation</w:t>
            </w:r>
          </w:p>
        </w:tc>
      </w:tr>
      <w:tr>
        <w:tc>
          <w:tcPr>
            <w:tcW w:type="dxa" w:w="2232"/>
            <w:vAlign w:val="center"/>
          </w:tcPr>
          <w:p>
            <w:r/>
            <w:r>
              <w:rPr>
                <w:rFonts w:ascii="Aptos" w:hAnsi="Aptos"/>
                <w:b w:val="0"/>
                <w:sz w:val="16"/>
              </w:rPr>
              <w:t>Peer statistics</w:t>
            </w:r>
          </w:p>
        </w:tc>
        <w:tc>
          <w:tcPr>
            <w:tcW w:type="dxa" w:w="7632"/>
            <w:vAlign w:val="center"/>
          </w:tcPr>
          <w:p>
            <w:r/>
            <w:r>
              <w:rPr>
                <w:rFonts w:ascii="Aptos" w:hAnsi="Aptos"/>
                <w:b w:val="0"/>
                <w:sz w:val="16"/>
              </w:rPr>
              <w:t>Median, Q1, Q3, IQR, empirical percentile; fallback hierarchy.</w:t>
            </w:r>
          </w:p>
        </w:tc>
      </w:tr>
      <w:tr>
        <w:tc>
          <w:tcPr>
            <w:tcW w:type="dxa" w:w="2232"/>
            <w:vAlign w:val="center"/>
          </w:tcPr>
          <w:p>
            <w:r/>
            <w:r>
              <w:rPr>
                <w:rFonts w:ascii="Aptos" w:hAnsi="Aptos"/>
                <w:b w:val="0"/>
                <w:sz w:val="16"/>
              </w:rPr>
              <w:t>Statistical anomaly</w:t>
            </w:r>
          </w:p>
        </w:tc>
        <w:tc>
          <w:tcPr>
            <w:tcW w:type="dxa" w:w="7632"/>
            <w:vAlign w:val="center"/>
          </w:tcPr>
          <w:p>
            <w:r/>
            <w:r>
              <w:rPr>
                <w:rFonts w:ascii="Aptos" w:hAnsi="Aptos"/>
                <w:b w:val="0"/>
                <w:sz w:val="16"/>
              </w:rPr>
              <w:t>Robust IQR/MAD-based feature anomaly scores combined transparently.</w:t>
            </w:r>
          </w:p>
        </w:tc>
      </w:tr>
      <w:tr>
        <w:tc>
          <w:tcPr>
            <w:tcW w:type="dxa" w:w="2232"/>
            <w:vAlign w:val="center"/>
          </w:tcPr>
          <w:p>
            <w:r/>
            <w:r>
              <w:rPr>
                <w:rFonts w:ascii="Aptos" w:hAnsi="Aptos"/>
                <w:b w:val="0"/>
                <w:sz w:val="16"/>
              </w:rPr>
              <w:t>Mismatch</w:t>
            </w:r>
          </w:p>
        </w:tc>
        <w:tc>
          <w:tcPr>
            <w:tcW w:type="dxa" w:w="7632"/>
            <w:vAlign w:val="center"/>
          </w:tcPr>
          <w:p>
            <w:r/>
            <w:r>
              <w:rPr>
                <w:rFonts w:ascii="Aptos" w:hAnsi="Aptos"/>
                <w:b w:val="0"/>
                <w:sz w:val="16"/>
              </w:rPr>
              <w:t>Rule/ratio logic + peer duration comparison; hierarchical evidence levels.</w:t>
            </w:r>
          </w:p>
        </w:tc>
      </w:tr>
      <w:tr>
        <w:tc>
          <w:tcPr>
            <w:tcW w:type="dxa" w:w="2232"/>
            <w:vAlign w:val="center"/>
          </w:tcPr>
          <w:p>
            <w:r/>
            <w:r>
              <w:rPr>
                <w:rFonts w:ascii="Aptos" w:hAnsi="Aptos"/>
                <w:b w:val="0"/>
                <w:sz w:val="16"/>
              </w:rPr>
              <w:t>Duplicate text</w:t>
            </w:r>
          </w:p>
        </w:tc>
        <w:tc>
          <w:tcPr>
            <w:tcW w:type="dxa" w:w="7632"/>
            <w:vAlign w:val="center"/>
          </w:tcPr>
          <w:p>
            <w:r/>
            <w:r>
              <w:rPr>
                <w:rFonts w:ascii="Aptos" w:hAnsi="Aptos"/>
                <w:b w:val="0"/>
                <w:sz w:val="16"/>
              </w:rPr>
              <w:t>all-MiniLM-L6-v2 embeddings + cosine similarity.</w:t>
            </w:r>
          </w:p>
        </w:tc>
      </w:tr>
      <w:tr>
        <w:tc>
          <w:tcPr>
            <w:tcW w:type="dxa" w:w="2232"/>
            <w:vAlign w:val="center"/>
          </w:tcPr>
          <w:p>
            <w:r/>
            <w:r>
              <w:rPr>
                <w:rFonts w:ascii="Aptos" w:hAnsi="Aptos"/>
                <w:b w:val="0"/>
                <w:sz w:val="16"/>
              </w:rPr>
              <w:t>Agency/entity</w:t>
            </w:r>
          </w:p>
        </w:tc>
        <w:tc>
          <w:tcPr>
            <w:tcW w:type="dxa" w:w="7632"/>
            <w:vAlign w:val="center"/>
          </w:tcPr>
          <w:p>
            <w:r/>
            <w:r>
              <w:rPr>
                <w:rFonts w:ascii="Aptos" w:hAnsi="Aptos"/>
                <w:b w:val="0"/>
                <w:sz w:val="16"/>
              </w:rPr>
              <w:t>Normalized strings + RapidFuzz similarity.</w:t>
            </w:r>
          </w:p>
        </w:tc>
      </w:tr>
      <w:tr>
        <w:tc>
          <w:tcPr>
            <w:tcW w:type="dxa" w:w="2232"/>
            <w:vAlign w:val="center"/>
          </w:tcPr>
          <w:p>
            <w:r/>
            <w:r>
              <w:rPr>
                <w:rFonts w:ascii="Aptos" w:hAnsi="Aptos"/>
                <w:b w:val="0"/>
                <w:sz w:val="16"/>
              </w:rPr>
              <w:t>Fusion</w:t>
            </w:r>
          </w:p>
        </w:tc>
        <w:tc>
          <w:tcPr>
            <w:tcW w:type="dxa" w:w="7632"/>
            <w:vAlign w:val="center"/>
          </w:tcPr>
          <w:p>
            <w:r/>
            <w:r>
              <w:rPr>
                <w:rFonts w:ascii="Aptos" w:hAnsi="Aptos"/>
                <w:b w:val="0"/>
                <w:sz w:val="16"/>
              </w:rPr>
              <w:t>30/25/30/15 availability-normalized weighted average.</w:t>
            </w:r>
          </w:p>
        </w:tc>
      </w:tr>
      <w:tr>
        <w:tc>
          <w:tcPr>
            <w:tcW w:type="dxa" w:w="2232"/>
            <w:vAlign w:val="center"/>
          </w:tcPr>
          <w:p>
            <w:r/>
            <w:r>
              <w:rPr>
                <w:rFonts w:ascii="Aptos" w:hAnsi="Aptos"/>
                <w:b w:val="0"/>
                <w:sz w:val="16"/>
              </w:rPr>
              <w:t>Confidence</w:t>
            </w:r>
          </w:p>
        </w:tc>
        <w:tc>
          <w:tcPr>
            <w:tcW w:type="dxa" w:w="7632"/>
            <w:vAlign w:val="center"/>
          </w:tcPr>
          <w:p>
            <w:r/>
            <w:r>
              <w:rPr>
                <w:rFonts w:ascii="Aptos" w:hAnsi="Aptos"/>
                <w:b w:val="0"/>
                <w:sz w:val="16"/>
              </w:rPr>
              <w:t>Fixed heuristic tier labels, not trained probability calibration.</w:t>
            </w:r>
          </w:p>
        </w:tc>
      </w:tr>
      <w:tr>
        <w:tc>
          <w:tcPr>
            <w:tcW w:type="dxa" w:w="2232"/>
            <w:vAlign w:val="center"/>
          </w:tcPr>
          <w:p>
            <w:r/>
            <w:r>
              <w:rPr>
                <w:rFonts w:ascii="Aptos" w:hAnsi="Aptos"/>
                <w:b w:val="0"/>
                <w:sz w:val="16"/>
              </w:rPr>
              <w:t>Primary anomaly model</w:t>
            </w:r>
          </w:p>
        </w:tc>
        <w:tc>
          <w:tcPr>
            <w:tcW w:type="dxa" w:w="7632"/>
            <w:vAlign w:val="center"/>
          </w:tcPr>
          <w:p>
            <w:r/>
            <w:r>
              <w:rPr>
                <w:rFonts w:ascii="Aptos" w:hAnsi="Aptos"/>
                <w:b w:val="0"/>
                <w:sz w:val="16"/>
              </w:rPr>
              <w:t>No Isolation Forest in primary score.</w:t>
            </w:r>
          </w:p>
        </w:tc>
      </w:tr>
      <w:tr>
        <w:tc>
          <w:tcPr>
            <w:tcW w:type="dxa" w:w="2232"/>
            <w:vAlign w:val="center"/>
          </w:tcPr>
          <w:p>
            <w:r/>
            <w:r>
              <w:rPr>
                <w:rFonts w:ascii="Aptos" w:hAnsi="Aptos"/>
                <w:b w:val="0"/>
                <w:sz w:val="16"/>
              </w:rPr>
              <w:t>Explainability</w:t>
            </w:r>
          </w:p>
        </w:tc>
        <w:tc>
          <w:tcPr>
            <w:tcW w:type="dxa" w:w="7632"/>
            <w:vAlign w:val="center"/>
          </w:tcPr>
          <w:p>
            <w:r/>
            <w:r>
              <w:rPr>
                <w:rFonts w:ascii="Aptos" w:hAnsi="Aptos"/>
                <w:b w:val="0"/>
                <w:sz w:val="16"/>
              </w:rPr>
              <w:t>Direct evidence objects; no SHAP.</w:t>
            </w:r>
          </w:p>
        </w:tc>
      </w:tr>
      <w:tr>
        <w:tc>
          <w:tcPr>
            <w:tcW w:type="dxa" w:w="2232"/>
            <w:vAlign w:val="center"/>
          </w:tcPr>
          <w:p>
            <w:r/>
            <w:r>
              <w:rPr>
                <w:rFonts w:ascii="Aptos" w:hAnsi="Aptos"/>
                <w:b w:val="0"/>
                <w:sz w:val="16"/>
              </w:rPr>
              <w:t>GPS</w:t>
            </w:r>
          </w:p>
        </w:tc>
        <w:tc>
          <w:tcPr>
            <w:tcW w:type="dxa" w:w="7632"/>
            <w:vAlign w:val="center"/>
          </w:tcPr>
          <w:p>
            <w:r/>
            <w:r>
              <w:rPr>
                <w:rFonts w:ascii="Aptos" w:hAnsi="Aptos"/>
                <w:b w:val="0"/>
                <w:sz w:val="16"/>
              </w:rPr>
              <w:t>Not used.</w:t>
            </w:r>
          </w:p>
        </w:tc>
      </w:tr>
      <w:tr>
        <w:tc>
          <w:tcPr>
            <w:tcW w:type="dxa" w:w="2232"/>
            <w:vAlign w:val="center"/>
          </w:tcPr>
          <w:p>
            <w:r/>
            <w:r>
              <w:rPr>
                <w:rFonts w:ascii="Aptos" w:hAnsi="Aptos"/>
                <w:b w:val="0"/>
                <w:sz w:val="16"/>
              </w:rPr>
              <w:t>Benford</w:t>
            </w:r>
          </w:p>
        </w:tc>
        <w:tc>
          <w:tcPr>
            <w:tcW w:type="dxa" w:w="7632"/>
            <w:vAlign w:val="center"/>
          </w:tcPr>
          <w:p>
            <w:r/>
            <w:r>
              <w:rPr>
                <w:rFonts w:ascii="Aptos" w:hAnsi="Aptos"/>
                <w:b w:val="0"/>
                <w:sz w:val="16"/>
              </w:rPr>
              <w:t>Not used in core.</w:t>
            </w:r>
          </w:p>
        </w:tc>
      </w:tr>
    </w:tbl>
    <w:p/>
    <w:p>
      <w:pPr>
        <w:pStyle w:val="Heading1"/>
      </w:pPr>
      <w:r>
        <w:t>21. Initial Configuration Values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736"/>
            <w:vAlign w:val="center"/>
            <w:shd w:fill="1F4E79"/>
          </w:tcPr>
          <w:p>
            <w:r/>
            <w:r>
              <w:rPr>
                <w:rFonts w:ascii="Aptos" w:hAnsi="Aptos"/>
                <w:b/>
                <w:color w:val="FFFFFF"/>
                <w:sz w:val="16"/>
              </w:rPr>
              <w:t>Parameter</w:t>
            </w:r>
          </w:p>
        </w:tc>
        <w:tc>
          <w:tcPr>
            <w:tcW w:type="dxa" w:w="3600"/>
            <w:vAlign w:val="center"/>
            <w:shd w:fill="1F4E79"/>
          </w:tcPr>
          <w:p>
            <w:r/>
            <w:r>
              <w:rPr>
                <w:rFonts w:ascii="Aptos" w:hAnsi="Aptos"/>
                <w:b/>
                <w:color w:val="FFFFFF"/>
                <w:sz w:val="16"/>
              </w:rPr>
              <w:t>First-pass value</w:t>
            </w:r>
          </w:p>
        </w:tc>
        <w:tc>
          <w:tcPr>
            <w:tcW w:type="dxa" w:w="3600"/>
            <w:vAlign w:val="center"/>
            <w:shd w:fill="1F4E79"/>
          </w:tcPr>
          <w:p>
            <w:r/>
            <w:r>
              <w:rPr>
                <w:rFonts w:ascii="Aptos" w:hAnsi="Aptos"/>
                <w:b/>
                <w:color w:val="FFFFFF"/>
                <w:sz w:val="16"/>
              </w:rPr>
              <w:t>Change policy</w:t>
            </w:r>
          </w:p>
        </w:tc>
      </w:tr>
      <w:tr>
        <w:tc>
          <w:tcPr>
            <w:tcW w:type="dxa" w:w="2736"/>
            <w:vAlign w:val="center"/>
          </w:tcPr>
          <w:p>
            <w:r/>
            <w:r>
              <w:rPr>
                <w:rFonts w:ascii="Aptos" w:hAnsi="Aptos"/>
                <w:b w:val="0"/>
                <w:sz w:val="16"/>
              </w:rPr>
              <w:t>Peer minimum cohort size</w:t>
            </w:r>
          </w:p>
        </w:tc>
        <w:tc>
          <w:tcPr>
            <w:tcW w:type="dxa" w:w="3600"/>
            <w:vAlign w:val="center"/>
          </w:tcPr>
          <w:p>
            <w:r/>
            <w:r>
              <w:rPr>
                <w:rFonts w:ascii="Aptos" w:hAnsi="Aptos"/>
                <w:b w:val="0"/>
                <w:sz w:val="16"/>
              </w:rPr>
              <w:t>10</w:t>
            </w:r>
          </w:p>
        </w:tc>
        <w:tc>
          <w:tcPr>
            <w:tcW w:type="dxa" w:w="3600"/>
            <w:vAlign w:val="center"/>
          </w:tcPr>
          <w:p>
            <w:r/>
            <w:r>
              <w:rPr>
                <w:rFonts w:ascii="Aptos" w:hAnsi="Aptos"/>
                <w:b w:val="0"/>
                <w:sz w:val="16"/>
              </w:rPr>
              <w:t>Can tune after real data inspection; fallback remains mandatory.</w:t>
            </w:r>
          </w:p>
        </w:tc>
      </w:tr>
      <w:tr>
        <w:tc>
          <w:tcPr>
            <w:tcW w:type="dxa" w:w="2736"/>
            <w:vAlign w:val="center"/>
          </w:tcPr>
          <w:p>
            <w:r/>
            <w:r>
              <w:rPr>
                <w:rFonts w:ascii="Aptos" w:hAnsi="Aptos"/>
                <w:b w:val="0"/>
                <w:sz w:val="16"/>
              </w:rPr>
              <w:t>IQR outlier fence</w:t>
            </w:r>
          </w:p>
        </w:tc>
        <w:tc>
          <w:tcPr>
            <w:tcW w:type="dxa" w:w="3600"/>
            <w:vAlign w:val="center"/>
          </w:tcPr>
          <w:p>
            <w:r/>
            <w:r>
              <w:rPr>
                <w:rFonts w:ascii="Aptos" w:hAnsi="Aptos"/>
                <w:b w:val="0"/>
                <w:sz w:val="16"/>
              </w:rPr>
              <w:t>1.5 x IQR</w:t>
            </w:r>
          </w:p>
        </w:tc>
        <w:tc>
          <w:tcPr>
            <w:tcW w:type="dxa" w:w="3600"/>
            <w:vAlign w:val="center"/>
          </w:tcPr>
          <w:p>
            <w:r/>
            <w:r>
              <w:rPr>
                <w:rFonts w:ascii="Aptos" w:hAnsi="Aptos"/>
                <w:b w:val="0"/>
                <w:sz w:val="16"/>
              </w:rPr>
              <w:t>Keep unless data behaviour clearly requires documented tuning.</w:t>
            </w:r>
          </w:p>
        </w:tc>
      </w:tr>
      <w:tr>
        <w:tc>
          <w:tcPr>
            <w:tcW w:type="dxa" w:w="2736"/>
            <w:vAlign w:val="center"/>
          </w:tcPr>
          <w:p>
            <w:r/>
            <w:r>
              <w:rPr>
                <w:rFonts w:ascii="Aptos" w:hAnsi="Aptos"/>
                <w:b w:val="0"/>
                <w:sz w:val="16"/>
              </w:rPr>
              <w:t>Extreme IQR fence</w:t>
            </w:r>
          </w:p>
        </w:tc>
        <w:tc>
          <w:tcPr>
            <w:tcW w:type="dxa" w:w="3600"/>
            <w:vAlign w:val="center"/>
          </w:tcPr>
          <w:p>
            <w:r/>
            <w:r>
              <w:rPr>
                <w:rFonts w:ascii="Aptos" w:hAnsi="Aptos"/>
                <w:b w:val="0"/>
                <w:sz w:val="16"/>
              </w:rPr>
              <w:t>3.0 x IQR</w:t>
            </w:r>
          </w:p>
        </w:tc>
        <w:tc>
          <w:tcPr>
            <w:tcW w:type="dxa" w:w="3600"/>
            <w:vAlign w:val="center"/>
          </w:tcPr>
          <w:p>
            <w:r/>
            <w:r>
              <w:rPr>
                <w:rFonts w:ascii="Aptos" w:hAnsi="Aptos"/>
                <w:b w:val="0"/>
                <w:sz w:val="16"/>
              </w:rPr>
              <w:t>Keep as initial prototype constant.</w:t>
            </w:r>
          </w:p>
        </w:tc>
      </w:tr>
      <w:tr>
        <w:tc>
          <w:tcPr>
            <w:tcW w:type="dxa" w:w="2736"/>
            <w:vAlign w:val="center"/>
          </w:tcPr>
          <w:p>
            <w:r/>
            <w:r>
              <w:rPr>
                <w:rFonts w:ascii="Aptos" w:hAnsi="Aptos"/>
                <w:b w:val="0"/>
                <w:sz w:val="16"/>
              </w:rPr>
              <w:t>Risk bands</w:t>
            </w:r>
          </w:p>
        </w:tc>
        <w:tc>
          <w:tcPr>
            <w:tcW w:type="dxa" w:w="3600"/>
            <w:vAlign w:val="center"/>
          </w:tcPr>
          <w:p>
            <w:r/>
            <w:r>
              <w:rPr>
                <w:rFonts w:ascii="Aptos" w:hAnsi="Aptos"/>
                <w:b w:val="0"/>
                <w:sz w:val="16"/>
              </w:rPr>
              <w:t>40 / 70 / 85 cut points</w:t>
            </w:r>
          </w:p>
        </w:tc>
        <w:tc>
          <w:tcPr>
            <w:tcW w:type="dxa" w:w="3600"/>
            <w:vAlign w:val="center"/>
          </w:tcPr>
          <w:p>
            <w:r/>
            <w:r>
              <w:rPr>
                <w:rFonts w:ascii="Aptos" w:hAnsi="Aptos"/>
                <w:b w:val="0"/>
                <w:sz w:val="16"/>
              </w:rPr>
              <w:t>Configurable, but do not change casually during demo build.</w:t>
            </w:r>
          </w:p>
        </w:tc>
      </w:tr>
      <w:tr>
        <w:tc>
          <w:tcPr>
            <w:tcW w:type="dxa" w:w="2736"/>
            <w:vAlign w:val="center"/>
          </w:tcPr>
          <w:p>
            <w:r/>
            <w:r>
              <w:rPr>
                <w:rFonts w:ascii="Aptos" w:hAnsi="Aptos"/>
                <w:b w:val="0"/>
                <w:sz w:val="16"/>
              </w:rPr>
              <w:t>Fusion weights</w:t>
            </w:r>
          </w:p>
        </w:tc>
        <w:tc>
          <w:tcPr>
            <w:tcW w:type="dxa" w:w="3600"/>
            <w:vAlign w:val="center"/>
          </w:tcPr>
          <w:p>
            <w:r/>
            <w:r>
              <w:rPr>
                <w:rFonts w:ascii="Aptos" w:hAnsi="Aptos"/>
                <w:b w:val="0"/>
                <w:sz w:val="16"/>
              </w:rPr>
              <w:t>30 / 25 / 30 / 15</w:t>
            </w:r>
          </w:p>
        </w:tc>
        <w:tc>
          <w:tcPr>
            <w:tcW w:type="dxa" w:w="3600"/>
            <w:vAlign w:val="center"/>
          </w:tcPr>
          <w:p>
            <w:r/>
            <w:r>
              <w:rPr>
                <w:rFonts w:ascii="Aptos" w:hAnsi="Aptos"/>
                <w:b w:val="0"/>
                <w:sz w:val="16"/>
              </w:rPr>
              <w:t>LOCKED unless a deliberate design review changes the architecture.</w:t>
            </w:r>
          </w:p>
        </w:tc>
      </w:tr>
      <w:tr>
        <w:tc>
          <w:tcPr>
            <w:tcW w:type="dxa" w:w="2736"/>
            <w:vAlign w:val="center"/>
          </w:tcPr>
          <w:p>
            <w:r/>
            <w:r>
              <w:rPr>
                <w:rFonts w:ascii="Aptos" w:hAnsi="Aptos"/>
                <w:b w:val="0"/>
                <w:sz w:val="16"/>
              </w:rPr>
              <w:t>Duplicate candidate block</w:t>
            </w:r>
          </w:p>
        </w:tc>
        <w:tc>
          <w:tcPr>
            <w:tcW w:type="dxa" w:w="3600"/>
            <w:vAlign w:val="center"/>
          </w:tcPr>
          <w:p>
            <w:r/>
            <w:r>
              <w:rPr>
                <w:rFonts w:ascii="Aptos" w:hAnsi="Aptos"/>
                <w:b w:val="0"/>
                <w:sz w:val="16"/>
              </w:rPr>
              <w:t>same district OR constituency; compatible category; available time window</w:t>
            </w:r>
          </w:p>
        </w:tc>
        <w:tc>
          <w:tcPr>
            <w:tcW w:type="dxa" w:w="3600"/>
            <w:vAlign w:val="center"/>
          </w:tcPr>
          <w:p>
            <w:r/>
            <w:r>
              <w:rPr>
                <w:rFonts w:ascii="Aptos" w:hAnsi="Aptos"/>
                <w:b w:val="0"/>
                <w:sz w:val="16"/>
              </w:rPr>
              <w:t>Tune only for runtime/precision after measuring candidate volume.</w:t>
            </w:r>
          </w:p>
        </w:tc>
      </w:tr>
      <w:tr>
        <w:tc>
          <w:tcPr>
            <w:tcW w:type="dxa" w:w="2736"/>
            <w:vAlign w:val="center"/>
          </w:tcPr>
          <w:p>
            <w:r/>
            <w:r>
              <w:rPr>
                <w:rFonts w:ascii="Aptos" w:hAnsi="Aptos"/>
                <w:b w:val="0"/>
                <w:sz w:val="16"/>
              </w:rPr>
              <w:t>Duplicate similarity thresholds</w:t>
            </w:r>
          </w:p>
        </w:tc>
        <w:tc>
          <w:tcPr>
            <w:tcW w:type="dxa" w:w="3600"/>
            <w:vAlign w:val="center"/>
          </w:tcPr>
          <w:p>
            <w:r/>
            <w:r>
              <w:rPr>
                <w:rFonts w:ascii="Aptos" w:hAnsi="Aptos"/>
                <w:b w:val="0"/>
                <w:sz w:val="16"/>
              </w:rPr>
              <w:t>Calibrate on a small manually reviewed sample</w:t>
            </w:r>
          </w:p>
        </w:tc>
        <w:tc>
          <w:tcPr>
            <w:tcW w:type="dxa" w:w="3600"/>
            <w:vAlign w:val="center"/>
          </w:tcPr>
          <w:p>
            <w:r/>
            <w:r>
              <w:rPr>
                <w:rFonts w:ascii="Aptos" w:hAnsi="Aptos"/>
                <w:b w:val="0"/>
                <w:sz w:val="16"/>
              </w:rPr>
              <w:t>Do not present as statistically validated probabilities.</w:t>
            </w:r>
          </w:p>
        </w:tc>
      </w:tr>
      <w:tr>
        <w:tc>
          <w:tcPr>
            <w:tcW w:type="dxa" w:w="2736"/>
            <w:vAlign w:val="center"/>
          </w:tcPr>
          <w:p>
            <w:r/>
            <w:r>
              <w:rPr>
                <w:rFonts w:ascii="Aptos" w:hAnsi="Aptos"/>
                <w:b w:val="0"/>
                <w:sz w:val="16"/>
              </w:rPr>
              <w:t>Confidence</w:t>
            </w:r>
          </w:p>
        </w:tc>
        <w:tc>
          <w:tcPr>
            <w:tcW w:type="dxa" w:w="3600"/>
            <w:vAlign w:val="center"/>
          </w:tcPr>
          <w:p>
            <w:r/>
            <w:r>
              <w:rPr>
                <w:rFonts w:ascii="Aptos" w:hAnsi="Aptos"/>
                <w:b w:val="0"/>
                <w:sz w:val="16"/>
              </w:rPr>
              <w:t>Level 1 lower/medium; Level 2 higher; Level 3 highest</w:t>
            </w:r>
          </w:p>
        </w:tc>
        <w:tc>
          <w:tcPr>
            <w:tcW w:type="dxa" w:w="3600"/>
            <w:vAlign w:val="center"/>
          </w:tcPr>
          <w:p>
            <w:r/>
            <w:r>
              <w:rPr>
                <w:rFonts w:ascii="Aptos" w:hAnsi="Aptos"/>
                <w:b w:val="0"/>
                <w:sz w:val="16"/>
              </w:rPr>
              <w:t>Fixed heuristic labels.</w:t>
            </w:r>
          </w:p>
        </w:tc>
      </w:tr>
    </w:tbl>
    <w:p/>
    <w:p>
      <w:pPr>
        <w:pStyle w:val="Heading1"/>
      </w:pPr>
      <w:r>
        <w:t>22. Recommended Project Structure</w:t>
      </w:r>
    </w:p>
    <w:p>
      <w:pPr>
        <w:pStyle w:val="CodeBlock"/>
        <w:spacing w:after="80"/>
        <w:ind w:left="288"/>
      </w:pPr>
      <w:r>
        <w:t>mplads-risk-engine/</w:t>
        <w:br/>
        <w:t>├── app.py</w:t>
        <w:br/>
        <w:t>├── config.py</w:t>
        <w:br/>
        <w:t>├── requirements.txt</w:t>
        <w:br/>
        <w:t>├── README.md</w:t>
        <w:br/>
        <w:t>├── data/</w:t>
        <w:br/>
        <w:t>│   ├── raw/</w:t>
        <w:br/>
        <w:t>│   ├── processed/</w:t>
        <w:br/>
        <w:t>│   └── manifests/</w:t>
        <w:br/>
        <w:t>├── src/</w:t>
        <w:br/>
        <w:t>│   ├── ingestion.py</w:t>
        <w:br/>
        <w:t>│   ├── validation.py</w:t>
        <w:br/>
        <w:t>│   ├── cleaning.py</w:t>
        <w:br/>
        <w:t>│   ├── canonical_schema.py</w:t>
        <w:br/>
        <w:t>│   ├── features.py</w:t>
        <w:br/>
        <w:t>│   ├── peer_benchmark.py</w:t>
        <w:br/>
        <w:t>│   ├── statistical_outlier.py</w:t>
        <w:br/>
        <w:t>│   ├── mismatch.py</w:t>
        <w:br/>
        <w:t>│   ├── duplicate_overlap.py</w:t>
        <w:br/>
        <w:t>│   ├── fusion.py</w:t>
        <w:br/>
        <w:t>│   ├── evidence.py</w:t>
        <w:br/>
        <w:t>│   ├── coverage.py</w:t>
        <w:br/>
        <w:t>│   ├── investigation.py</w:t>
        <w:br/>
        <w:t>│   └── utils.py</w:t>
        <w:br/>
        <w:t>├── artifacts/</w:t>
        <w:br/>
        <w:t>│   ├── embeddings/</w:t>
        <w:br/>
        <w:t>│   └── summaries/</w:t>
        <w:br/>
        <w:t>├── tests/</w:t>
        <w:br/>
        <w:t>│   ├── test_schema.py</w:t>
        <w:br/>
        <w:t>│   ├── test_peer.py</w:t>
        <w:br/>
        <w:t>│   ├── test_mismatch.py</w:t>
        <w:br/>
        <w:t>│   ├── test_duplicate.py</w:t>
        <w:br/>
        <w:t>│   └── test_fusion.py</w:t>
        <w:br/>
        <w:t>└── .gitignore</w:t>
      </w:r>
    </w:p>
    <w:p>
      <w:pPr>
        <w:pStyle w:val="Heading1"/>
      </w:pPr>
      <w:r>
        <w:t>23. 48-Hour Implementation Sequence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936"/>
            <w:vAlign w:val="center"/>
            <w:shd w:fill="1F4E79"/>
          </w:tcPr>
          <w:p>
            <w:r/>
            <w:r>
              <w:rPr>
                <w:rFonts w:ascii="Aptos" w:hAnsi="Aptos"/>
                <w:b/>
                <w:color w:val="FFFFFF"/>
                <w:sz w:val="16"/>
              </w:rPr>
              <w:t>Order</w:t>
            </w:r>
          </w:p>
        </w:tc>
        <w:tc>
          <w:tcPr>
            <w:tcW w:type="dxa" w:w="4752"/>
            <w:vAlign w:val="center"/>
            <w:shd w:fill="1F4E79"/>
          </w:tcPr>
          <w:p>
            <w:r/>
            <w:r>
              <w:rPr>
                <w:rFonts w:ascii="Aptos" w:hAnsi="Aptos"/>
                <w:b/>
                <w:color w:val="FFFFFF"/>
                <w:sz w:val="16"/>
              </w:rPr>
              <w:t>Deliverable</w:t>
            </w:r>
          </w:p>
        </w:tc>
        <w:tc>
          <w:tcPr>
            <w:tcW w:type="dxa" w:w="5040"/>
            <w:vAlign w:val="center"/>
            <w:shd w:fill="1F4E79"/>
          </w:tcPr>
          <w:p>
            <w:r/>
            <w:r>
              <w:rPr>
                <w:rFonts w:ascii="Aptos" w:hAnsi="Aptos"/>
                <w:b/>
                <w:color w:val="FFFFFF"/>
                <w:sz w:val="16"/>
              </w:rPr>
              <w:t>Must be done before moving on</w:t>
            </w:r>
          </w:p>
        </w:tc>
      </w:tr>
      <w:tr>
        <w:tc>
          <w:tcPr>
            <w:tcW w:type="dxa" w:w="936"/>
            <w:vAlign w:val="center"/>
          </w:tcPr>
          <w:p>
            <w:r/>
            <w:r>
              <w:rPr>
                <w:rFonts w:ascii="Aptos" w:hAnsi="Aptos"/>
                <w:b w:val="0"/>
                <w:sz w:val="16"/>
              </w:rPr>
              <w:t>1</w:t>
            </w:r>
          </w:p>
        </w:tc>
        <w:tc>
          <w:tcPr>
            <w:tcW w:type="dxa" w:w="4752"/>
            <w:vAlign w:val="center"/>
          </w:tcPr>
          <w:p>
            <w:r/>
            <w:r>
              <w:rPr>
                <w:rFonts w:ascii="Aptos" w:hAnsi="Aptos"/>
                <w:b w:val="0"/>
                <w:sz w:val="16"/>
              </w:rPr>
              <w:t>Download/export real datasets + create manifest</w:t>
            </w:r>
          </w:p>
        </w:tc>
        <w:tc>
          <w:tcPr>
            <w:tcW w:type="dxa" w:w="5040"/>
            <w:vAlign w:val="center"/>
          </w:tcPr>
          <w:p>
            <w:r/>
            <w:r>
              <w:rPr>
                <w:rFonts w:ascii="Aptos" w:hAnsi="Aptos"/>
                <w:b w:val="0"/>
                <w:sz w:val="16"/>
              </w:rPr>
              <w:t>Raw files open and source columns documented.</w:t>
            </w:r>
          </w:p>
        </w:tc>
      </w:tr>
      <w:tr>
        <w:tc>
          <w:tcPr>
            <w:tcW w:type="dxa" w:w="936"/>
            <w:vAlign w:val="center"/>
          </w:tcPr>
          <w:p>
            <w:r/>
            <w:r>
              <w:rPr>
                <w:rFonts w:ascii="Aptos" w:hAnsi="Aptos"/>
                <w:b w:val="0"/>
                <w:sz w:val="16"/>
              </w:rPr>
              <w:t>2</w:t>
            </w:r>
          </w:p>
        </w:tc>
        <w:tc>
          <w:tcPr>
            <w:tcW w:type="dxa" w:w="4752"/>
            <w:vAlign w:val="center"/>
          </w:tcPr>
          <w:p>
            <w:r/>
            <w:r>
              <w:rPr>
                <w:rFonts w:ascii="Aptos" w:hAnsi="Aptos"/>
                <w:b w:val="0"/>
                <w:sz w:val="16"/>
              </w:rPr>
              <w:t>Schema validation + canonical work master</w:t>
            </w:r>
          </w:p>
        </w:tc>
        <w:tc>
          <w:tcPr>
            <w:tcW w:type="dxa" w:w="5040"/>
            <w:vAlign w:val="center"/>
          </w:tcPr>
          <w:p>
            <w:r/>
            <w:r>
              <w:rPr>
                <w:rFonts w:ascii="Aptos" w:hAnsi="Aptos"/>
                <w:b w:val="0"/>
                <w:sz w:val="16"/>
              </w:rPr>
              <w:t>Row counts, null rates and key fields verified.</w:t>
            </w:r>
          </w:p>
        </w:tc>
      </w:tr>
      <w:tr>
        <w:tc>
          <w:tcPr>
            <w:tcW w:type="dxa" w:w="936"/>
            <w:vAlign w:val="center"/>
          </w:tcPr>
          <w:p>
            <w:r/>
            <w:r>
              <w:rPr>
                <w:rFonts w:ascii="Aptos" w:hAnsi="Aptos"/>
                <w:b w:val="0"/>
                <w:sz w:val="16"/>
              </w:rPr>
              <w:t>3</w:t>
            </w:r>
          </w:p>
        </w:tc>
        <w:tc>
          <w:tcPr>
            <w:tcW w:type="dxa" w:w="4752"/>
            <w:vAlign w:val="center"/>
          </w:tcPr>
          <w:p>
            <w:r/>
            <w:r>
              <w:rPr>
                <w:rFonts w:ascii="Aptos" w:hAnsi="Aptos"/>
                <w:b w:val="0"/>
                <w:sz w:val="16"/>
              </w:rPr>
              <w:t>Exact 22567&lt;-&gt;22566 join</w:t>
            </w:r>
          </w:p>
        </w:tc>
        <w:tc>
          <w:tcPr>
            <w:tcW w:type="dxa" w:w="5040"/>
            <w:vAlign w:val="center"/>
          </w:tcPr>
          <w:p>
            <w:r/>
            <w:r>
              <w:rPr>
                <w:rFonts w:ascii="Aptos" w:hAnsi="Aptos"/>
                <w:b w:val="0"/>
                <w:sz w:val="16"/>
              </w:rPr>
              <w:t>Join match rate and conflicts visible.</w:t>
            </w:r>
          </w:p>
        </w:tc>
      </w:tr>
      <w:tr>
        <w:tc>
          <w:tcPr>
            <w:tcW w:type="dxa" w:w="936"/>
            <w:vAlign w:val="center"/>
          </w:tcPr>
          <w:p>
            <w:r/>
            <w:r>
              <w:rPr>
                <w:rFonts w:ascii="Aptos" w:hAnsi="Aptos"/>
                <w:b w:val="0"/>
                <w:sz w:val="16"/>
              </w:rPr>
              <w:t>4</w:t>
            </w:r>
          </w:p>
        </w:tc>
        <w:tc>
          <w:tcPr>
            <w:tcW w:type="dxa" w:w="4752"/>
            <w:vAlign w:val="center"/>
          </w:tcPr>
          <w:p>
            <w:r/>
            <w:r>
              <w:rPr>
                <w:rFonts w:ascii="Aptos" w:hAnsi="Aptos"/>
                <w:b w:val="0"/>
                <w:sz w:val="16"/>
              </w:rPr>
              <w:t>Peer Benchmarking + fallback</w:t>
            </w:r>
          </w:p>
        </w:tc>
        <w:tc>
          <w:tcPr>
            <w:tcW w:type="dxa" w:w="5040"/>
            <w:vAlign w:val="center"/>
          </w:tcPr>
          <w:p>
            <w:r/>
            <w:r>
              <w:rPr>
                <w:rFonts w:ascii="Aptos" w:hAnsi="Aptos"/>
                <w:b w:val="0"/>
                <w:sz w:val="16"/>
              </w:rPr>
              <w:t>A selected work always finds the broadest valid cohort or clearly reports insufficient peers.</w:t>
            </w:r>
          </w:p>
        </w:tc>
      </w:tr>
      <w:tr>
        <w:tc>
          <w:tcPr>
            <w:tcW w:type="dxa" w:w="936"/>
            <w:vAlign w:val="center"/>
          </w:tcPr>
          <w:p>
            <w:r/>
            <w:r>
              <w:rPr>
                <w:rFonts w:ascii="Aptos" w:hAnsi="Aptos"/>
                <w:b w:val="0"/>
                <w:sz w:val="16"/>
              </w:rPr>
              <w:t>5</w:t>
            </w:r>
          </w:p>
        </w:tc>
        <w:tc>
          <w:tcPr>
            <w:tcW w:type="dxa" w:w="4752"/>
            <w:vAlign w:val="center"/>
          </w:tcPr>
          <w:p>
            <w:r/>
            <w:r>
              <w:rPr>
                <w:rFonts w:ascii="Aptos" w:hAnsi="Aptos"/>
                <w:b w:val="0"/>
                <w:sz w:val="16"/>
              </w:rPr>
              <w:t>Mismatch hierarchy</w:t>
            </w:r>
          </w:p>
        </w:tc>
        <w:tc>
          <w:tcPr>
            <w:tcW w:type="dxa" w:w="5040"/>
            <w:vAlign w:val="center"/>
          </w:tcPr>
          <w:p>
            <w:r/>
            <w:r>
              <w:rPr>
                <w:rFonts w:ascii="Aptos" w:hAnsi="Aptos"/>
                <w:b w:val="0"/>
                <w:sz w:val="16"/>
              </w:rPr>
              <w:t>Levels activate only when evidence fields exist; proxy labels visible.</w:t>
            </w:r>
          </w:p>
        </w:tc>
      </w:tr>
      <w:tr>
        <w:tc>
          <w:tcPr>
            <w:tcW w:type="dxa" w:w="936"/>
            <w:vAlign w:val="center"/>
          </w:tcPr>
          <w:p>
            <w:r/>
            <w:r>
              <w:rPr>
                <w:rFonts w:ascii="Aptos" w:hAnsi="Aptos"/>
                <w:b w:val="0"/>
                <w:sz w:val="16"/>
              </w:rPr>
              <w:t>6</w:t>
            </w:r>
          </w:p>
        </w:tc>
        <w:tc>
          <w:tcPr>
            <w:tcW w:type="dxa" w:w="4752"/>
            <w:vAlign w:val="center"/>
          </w:tcPr>
          <w:p>
            <w:r/>
            <w:r>
              <w:rPr>
                <w:rFonts w:ascii="Aptos" w:hAnsi="Aptos"/>
                <w:b w:val="0"/>
                <w:sz w:val="16"/>
              </w:rPr>
              <w:t>Statistical Outliers</w:t>
            </w:r>
          </w:p>
        </w:tc>
        <w:tc>
          <w:tcPr>
            <w:tcW w:type="dxa" w:w="5040"/>
            <w:vAlign w:val="center"/>
          </w:tcPr>
          <w:p>
            <w:r/>
            <w:r>
              <w:rPr>
                <w:rFonts w:ascii="Aptos" w:hAnsi="Aptos"/>
                <w:b w:val="0"/>
                <w:sz w:val="16"/>
              </w:rPr>
              <w:t>Robust feature scores working and explainable.</w:t>
            </w:r>
          </w:p>
        </w:tc>
      </w:tr>
      <w:tr>
        <w:tc>
          <w:tcPr>
            <w:tcW w:type="dxa" w:w="936"/>
            <w:vAlign w:val="center"/>
          </w:tcPr>
          <w:p>
            <w:r/>
            <w:r>
              <w:rPr>
                <w:rFonts w:ascii="Aptos" w:hAnsi="Aptos"/>
                <w:b w:val="0"/>
                <w:sz w:val="16"/>
              </w:rPr>
              <w:t>7</w:t>
            </w:r>
          </w:p>
        </w:tc>
        <w:tc>
          <w:tcPr>
            <w:tcW w:type="dxa" w:w="4752"/>
            <w:vAlign w:val="center"/>
          </w:tcPr>
          <w:p>
            <w:r/>
            <w:r>
              <w:rPr>
                <w:rFonts w:ascii="Aptos" w:hAnsi="Aptos"/>
                <w:b w:val="0"/>
                <w:sz w:val="16"/>
              </w:rPr>
              <w:t>Blocked Duplicate/Overlap</w:t>
            </w:r>
          </w:p>
        </w:tc>
        <w:tc>
          <w:tcPr>
            <w:tcW w:type="dxa" w:w="5040"/>
            <w:vAlign w:val="center"/>
          </w:tcPr>
          <w:p>
            <w:r/>
            <w:r>
              <w:rPr>
                <w:rFonts w:ascii="Aptos" w:hAnsi="Aptos"/>
                <w:b w:val="0"/>
                <w:sz w:val="16"/>
              </w:rPr>
              <w:t>Top candidates returned without all-pairs explosion.</w:t>
            </w:r>
          </w:p>
        </w:tc>
      </w:tr>
      <w:tr>
        <w:tc>
          <w:tcPr>
            <w:tcW w:type="dxa" w:w="936"/>
            <w:vAlign w:val="center"/>
          </w:tcPr>
          <w:p>
            <w:r/>
            <w:r>
              <w:rPr>
                <w:rFonts w:ascii="Aptos" w:hAnsi="Aptos"/>
                <w:b w:val="0"/>
                <w:sz w:val="16"/>
              </w:rPr>
              <w:t>8</w:t>
            </w:r>
          </w:p>
        </w:tc>
        <w:tc>
          <w:tcPr>
            <w:tcW w:type="dxa" w:w="4752"/>
            <w:vAlign w:val="center"/>
          </w:tcPr>
          <w:p>
            <w:r/>
            <w:r>
              <w:rPr>
                <w:rFonts w:ascii="Aptos" w:hAnsi="Aptos"/>
                <w:b w:val="0"/>
                <w:sz w:val="16"/>
              </w:rPr>
              <w:t>Evidence objects + fusion</w:t>
            </w:r>
          </w:p>
        </w:tc>
        <w:tc>
          <w:tcPr>
            <w:tcW w:type="dxa" w:w="5040"/>
            <w:vAlign w:val="center"/>
          </w:tcPr>
          <w:p>
            <w:r/>
            <w:r>
              <w:rPr>
                <w:rFonts w:ascii="Aptos" w:hAnsi="Aptos"/>
                <w:b w:val="0"/>
                <w:sz w:val="16"/>
              </w:rPr>
              <w:t>Risk score, evidence coverage and module contributions work end-to-end.</w:t>
            </w:r>
          </w:p>
        </w:tc>
      </w:tr>
      <w:tr>
        <w:tc>
          <w:tcPr>
            <w:tcW w:type="dxa" w:w="936"/>
            <w:vAlign w:val="center"/>
          </w:tcPr>
          <w:p>
            <w:r/>
            <w:r>
              <w:rPr>
                <w:rFonts w:ascii="Aptos" w:hAnsi="Aptos"/>
                <w:b w:val="0"/>
                <w:sz w:val="16"/>
              </w:rPr>
              <w:t>9</w:t>
            </w:r>
          </w:p>
        </w:tc>
        <w:tc>
          <w:tcPr>
            <w:tcW w:type="dxa" w:w="4752"/>
            <w:vAlign w:val="center"/>
          </w:tcPr>
          <w:p>
            <w:r/>
            <w:r>
              <w:rPr>
                <w:rFonts w:ascii="Aptos" w:hAnsi="Aptos"/>
                <w:b w:val="0"/>
                <w:sz w:val="16"/>
              </w:rPr>
              <w:t>Streamlit investigation UI</w:t>
            </w:r>
          </w:p>
        </w:tc>
        <w:tc>
          <w:tcPr>
            <w:tcW w:type="dxa" w:w="5040"/>
            <w:vAlign w:val="center"/>
          </w:tcPr>
          <w:p>
            <w:r/>
            <w:r>
              <w:rPr>
                <w:rFonts w:ascii="Aptos" w:hAnsi="Aptos"/>
                <w:b w:val="0"/>
                <w:sz w:val="16"/>
              </w:rPr>
              <w:t>Select work -&gt; see score -&gt; see evidence -&gt; see next action.</w:t>
            </w:r>
          </w:p>
        </w:tc>
      </w:tr>
      <w:tr>
        <w:tc>
          <w:tcPr>
            <w:tcW w:type="dxa" w:w="936"/>
            <w:vAlign w:val="center"/>
          </w:tcPr>
          <w:p>
            <w:r/>
            <w:r>
              <w:rPr>
                <w:rFonts w:ascii="Aptos" w:hAnsi="Aptos"/>
                <w:b w:val="0"/>
                <w:sz w:val="16"/>
              </w:rPr>
              <w:t>10</w:t>
            </w:r>
          </w:p>
        </w:tc>
        <w:tc>
          <w:tcPr>
            <w:tcW w:type="dxa" w:w="4752"/>
            <w:vAlign w:val="center"/>
          </w:tcPr>
          <w:p>
            <w:r/>
            <w:r>
              <w:rPr>
                <w:rFonts w:ascii="Aptos" w:hAnsi="Aptos"/>
                <w:b w:val="0"/>
                <w:sz w:val="16"/>
              </w:rPr>
              <w:t>Coverage/data health page</w:t>
            </w:r>
          </w:p>
        </w:tc>
        <w:tc>
          <w:tcPr>
            <w:tcW w:type="dxa" w:w="5040"/>
            <w:vAlign w:val="center"/>
          </w:tcPr>
          <w:p>
            <w:r/>
            <w:r>
              <w:rPr>
                <w:rFonts w:ascii="Aptos" w:hAnsi="Aptos"/>
                <w:b w:val="0"/>
                <w:sz w:val="16"/>
              </w:rPr>
              <w:t>Real data limitations visible.</w:t>
            </w:r>
          </w:p>
        </w:tc>
      </w:tr>
      <w:tr>
        <w:tc>
          <w:tcPr>
            <w:tcW w:type="dxa" w:w="936"/>
            <w:vAlign w:val="center"/>
          </w:tcPr>
          <w:p>
            <w:r/>
            <w:r>
              <w:rPr>
                <w:rFonts w:ascii="Aptos" w:hAnsi="Aptos"/>
                <w:b w:val="0"/>
                <w:sz w:val="16"/>
              </w:rPr>
              <w:t>11</w:t>
            </w:r>
          </w:p>
        </w:tc>
        <w:tc>
          <w:tcPr>
            <w:tcW w:type="dxa" w:w="4752"/>
            <w:vAlign w:val="center"/>
          </w:tcPr>
          <w:p>
            <w:r/>
            <w:r>
              <w:rPr>
                <w:rFonts w:ascii="Aptos" w:hAnsi="Aptos"/>
                <w:b w:val="0"/>
                <w:sz w:val="16"/>
              </w:rPr>
              <w:t>Optional cheap extensions</w:t>
            </w:r>
          </w:p>
        </w:tc>
        <w:tc>
          <w:tcPr>
            <w:tcW w:type="dxa" w:w="5040"/>
            <w:vAlign w:val="center"/>
          </w:tcPr>
          <w:p>
            <w:r/>
            <w:r>
              <w:rPr>
                <w:rFonts w:ascii="Aptos" w:hAnsi="Aptos"/>
                <w:b w:val="0"/>
                <w:sz w:val="16"/>
              </w:rPr>
              <w:t>Threshold splitting / invalid category only if core pipeline is stable.</w:t>
            </w:r>
          </w:p>
        </w:tc>
      </w:tr>
      <w:tr>
        <w:tc>
          <w:tcPr>
            <w:tcW w:type="dxa" w:w="936"/>
            <w:vAlign w:val="center"/>
          </w:tcPr>
          <w:p>
            <w:r/>
            <w:r>
              <w:rPr>
                <w:rFonts w:ascii="Aptos" w:hAnsi="Aptos"/>
                <w:b w:val="0"/>
                <w:sz w:val="16"/>
              </w:rPr>
              <w:t>12</w:t>
            </w:r>
          </w:p>
        </w:tc>
        <w:tc>
          <w:tcPr>
            <w:tcW w:type="dxa" w:w="4752"/>
            <w:vAlign w:val="center"/>
          </w:tcPr>
          <w:p>
            <w:r/>
            <w:r>
              <w:rPr>
                <w:rFonts w:ascii="Aptos" w:hAnsi="Aptos"/>
                <w:b w:val="0"/>
                <w:sz w:val="16"/>
              </w:rPr>
              <w:t>Demo QA</w:t>
            </w:r>
          </w:p>
        </w:tc>
        <w:tc>
          <w:tcPr>
            <w:tcW w:type="dxa" w:w="5040"/>
            <w:vAlign w:val="center"/>
          </w:tcPr>
          <w:p>
            <w:r/>
            <w:r>
              <w:rPr>
                <w:rFonts w:ascii="Aptos" w:hAnsi="Aptos"/>
                <w:b w:val="0"/>
                <w:sz w:val="16"/>
              </w:rPr>
              <w:t>Run fixed test works, edge cases, missing-data cases and fresh environment.</w:t>
            </w:r>
          </w:p>
        </w:tc>
      </w:tr>
    </w:tbl>
    <w:p/>
    <w:p>
      <w:pPr>
        <w:pStyle w:val="Heading1"/>
      </w:pPr>
      <w:r>
        <w:t>24. Validation &amp; Test Plan</w:t>
      </w:r>
    </w:p>
    <w:p>
      <w:pPr>
        <w:pStyle w:val="ListBullet"/>
        <w:spacing w:after="30"/>
      </w:pPr>
      <w:r>
        <w:t>Schema tests: required columns, numeric/date parsing, duplicate keys and expected types.</w:t>
      </w:r>
    </w:p>
    <w:p>
      <w:pPr>
        <w:pStyle w:val="ListBullet"/>
        <w:spacing w:after="30"/>
      </w:pPr>
      <w:r>
        <w:t>Join tests: exact unique_work_number matches only; no fuzzy project joins.</w:t>
      </w:r>
    </w:p>
    <w:p>
      <w:pPr>
        <w:pStyle w:val="ListBullet"/>
        <w:spacing w:after="30"/>
      </w:pPr>
      <w:r>
        <w:t>Peer tests: thin cohort triggers fallback; empty national category is handled safely.</w:t>
      </w:r>
    </w:p>
    <w:p>
      <w:pPr>
        <w:pStyle w:val="ListBullet"/>
        <w:spacing w:after="30"/>
      </w:pPr>
      <w:r>
        <w:t>Outlier tests: normal, high-side outlier, low-side outlier, constant-value and missing-value cases.</w:t>
      </w:r>
    </w:p>
    <w:p>
      <w:pPr>
        <w:pStyle w:val="ListBullet"/>
        <w:spacing w:after="30"/>
      </w:pPr>
      <w:r>
        <w:t>Mismatch tests: each evidence tier independently activates only when its fields exist; no false physical-progress inference.</w:t>
      </w:r>
    </w:p>
    <w:p>
      <w:pPr>
        <w:pStyle w:val="ListBullet"/>
        <w:spacing w:after="30"/>
      </w:pPr>
      <w:r>
        <w:t>Duplicate tests: same description + same context, same description + different context, unrelated descriptions, agency aliases.</w:t>
      </w:r>
    </w:p>
    <w:p>
      <w:pPr>
        <w:pStyle w:val="ListBullet"/>
        <w:spacing w:after="30"/>
      </w:pPr>
      <w:r>
        <w:t>Fusion tests: all four available; one missing; multiple missing; all missing. Unavailable modules must be excluded from denominator.</w:t>
      </w:r>
    </w:p>
    <w:p>
      <w:pPr>
        <w:pStyle w:val="ListBullet"/>
        <w:spacing w:after="30"/>
      </w:pPr>
      <w:r>
        <w:t>UI tests: every displayed evidence statement must trace to an evidence object and source dataset.</w:t>
      </w:r>
    </w:p>
    <w:p>
      <w:pPr>
        <w:pStyle w:val="Heading1"/>
      </w:pPr>
      <w:r>
        <w:t>25. Final Demo Investigation Story</w:t>
      </w:r>
    </w:p>
    <w:p>
      <w:pPr>
        <w:pStyle w:val="CodeBlock"/>
        <w:spacing w:after="80"/>
        <w:ind w:left="288"/>
      </w:pPr>
      <w:r>
        <w:t>1. Select a real MPLADS work.</w:t>
        <w:br/>
        <w:t>2. System identifies the best peer cohort.</w:t>
        <w:br/>
        <w:t>3. Peer engine reports median / percentile / IQR deviation.</w:t>
        <w:br/>
        <w:t>4. Statistical engine adds independent anomaly evidence.</w:t>
        <w:br/>
        <w:t>5. Mismatch engine shows Status -&gt; Time -&gt; Physical Progress level actually available.</w:t>
        <w:br/>
        <w:t>6. Duplicate engine shows the most similar contextual works.</w:t>
        <w:br/>
        <w:t>7. Fusion produces Risk Score 0–100 with 30/25/30/15 weights.</w:t>
        <w:br/>
        <w:t>8. Dashboard shows Evidence Coverage and confidence for each signal.</w:t>
        <w:br/>
        <w:t>9. Investigator sees “Why flagged?” and a concrete next verification action.</w:t>
        <w:br/>
        <w:t>10. Data Health page proves the system is using real data and openly reporting limitations.</w:t>
      </w:r>
    </w:p>
    <w:p>
      <w:pPr>
        <w:pStyle w:val="Heading1"/>
      </w:pPr>
      <w:r>
        <w:t>26. Claims We Must NOT Make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320"/>
            <w:vAlign w:val="center"/>
            <w:shd w:fill="1F4E79"/>
          </w:tcPr>
          <w:p>
            <w:r/>
            <w:r>
              <w:rPr>
                <w:rFonts w:ascii="Aptos" w:hAnsi="Aptos"/>
                <w:b/>
                <w:color w:val="FFFFFF"/>
                <w:sz w:val="16"/>
              </w:rPr>
              <w:t>Do not claim</w:t>
            </w:r>
          </w:p>
        </w:tc>
        <w:tc>
          <w:tcPr>
            <w:tcW w:type="dxa" w:w="5760"/>
            <w:vAlign w:val="center"/>
            <w:shd w:fill="1F4E79"/>
          </w:tcPr>
          <w:p>
            <w:r/>
            <w:r>
              <w:rPr>
                <w:rFonts w:ascii="Aptos" w:hAnsi="Aptos"/>
                <w:b/>
                <w:color w:val="FFFFFF"/>
                <w:sz w:val="16"/>
              </w:rPr>
              <w:t>Correct wording</w:t>
            </w:r>
          </w:p>
        </w:tc>
      </w:tr>
      <w:tr>
        <w:tc>
          <w:tcPr>
            <w:tcW w:type="dxa" w:w="4320"/>
            <w:vAlign w:val="center"/>
          </w:tcPr>
          <w:p>
            <w:r/>
            <w:r>
              <w:rPr>
                <w:rFonts w:ascii="Aptos" w:hAnsi="Aptos"/>
                <w:b w:val="0"/>
                <w:sz w:val="16"/>
              </w:rPr>
              <w:t>“This work is fraudulent.”</w:t>
            </w:r>
          </w:p>
        </w:tc>
        <w:tc>
          <w:tcPr>
            <w:tcW w:type="dxa" w:w="5760"/>
            <w:vAlign w:val="center"/>
          </w:tcPr>
          <w:p>
            <w:r/>
            <w:r>
              <w:rPr>
                <w:rFonts w:ascii="Aptos" w:hAnsi="Aptos"/>
                <w:b w:val="0"/>
                <w:sz w:val="16"/>
              </w:rPr>
              <w:t>“This work is high-risk and should be investigated.”</w:t>
            </w:r>
          </w:p>
        </w:tc>
      </w:tr>
      <w:tr>
        <w:tc>
          <w:tcPr>
            <w:tcW w:type="dxa" w:w="4320"/>
            <w:vAlign w:val="center"/>
          </w:tcPr>
          <w:p>
            <w:r/>
            <w:r>
              <w:rPr>
                <w:rFonts w:ascii="Aptos" w:hAnsi="Aptos"/>
                <w:b w:val="0"/>
                <w:sz w:val="16"/>
              </w:rPr>
              <w:t>“We measured physical progress from status.”</w:t>
            </w:r>
          </w:p>
        </w:tc>
        <w:tc>
          <w:tcPr>
            <w:tcW w:type="dxa" w:w="5760"/>
            <w:vAlign w:val="center"/>
          </w:tcPr>
          <w:p>
            <w:r/>
            <w:r>
              <w:rPr>
                <w:rFonts w:ascii="Aptos" w:hAnsi="Aptos"/>
                <w:b w:val="0"/>
                <w:sz w:val="16"/>
              </w:rPr>
              <w:t>“Status-based mismatch is a proxy; actual physical progress is unavailable unless sourced directly.”</w:t>
            </w:r>
          </w:p>
        </w:tc>
      </w:tr>
      <w:tr>
        <w:tc>
          <w:tcPr>
            <w:tcW w:type="dxa" w:w="4320"/>
            <w:vAlign w:val="center"/>
          </w:tcPr>
          <w:p>
            <w:r/>
            <w:r>
              <w:rPr>
                <w:rFonts w:ascii="Aptos" w:hAnsi="Aptos"/>
                <w:b w:val="0"/>
                <w:sz w:val="16"/>
              </w:rPr>
              <w:t>“Vendor expenditure is mapped to this project.”</w:t>
            </w:r>
          </w:p>
        </w:tc>
        <w:tc>
          <w:tcPr>
            <w:tcW w:type="dxa" w:w="5760"/>
            <w:vAlign w:val="center"/>
          </w:tcPr>
          <w:p>
            <w:r/>
            <w:r>
              <w:rPr>
                <w:rFonts w:ascii="Aptos" w:hAnsi="Aptos"/>
                <w:b w:val="0"/>
                <w:sz w:val="16"/>
              </w:rPr>
              <w:t>“Vendor-level expenditure is used only where aggregation/context is valid; no unsupported project-level join.”</w:t>
            </w:r>
          </w:p>
        </w:tc>
      </w:tr>
      <w:tr>
        <w:tc>
          <w:tcPr>
            <w:tcW w:type="dxa" w:w="4320"/>
            <w:vAlign w:val="center"/>
          </w:tcPr>
          <w:p>
            <w:r/>
            <w:r>
              <w:rPr>
                <w:rFonts w:ascii="Aptos" w:hAnsi="Aptos"/>
                <w:b w:val="0"/>
                <w:sz w:val="16"/>
              </w:rPr>
              <w:t>“Benford proves fraud.”</w:t>
            </w:r>
          </w:p>
        </w:tc>
        <w:tc>
          <w:tcPr>
            <w:tcW w:type="dxa" w:w="5760"/>
            <w:vAlign w:val="center"/>
          </w:tcPr>
          <w:p>
            <w:r/>
            <w:r>
              <w:rPr>
                <w:rFonts w:ascii="Aptos" w:hAnsi="Aptos"/>
                <w:b w:val="0"/>
                <w:sz w:val="16"/>
              </w:rPr>
              <w:t>Not used in the core system; bill-level data would be required for a defensible implementation.</w:t>
            </w:r>
          </w:p>
        </w:tc>
      </w:tr>
      <w:tr>
        <w:tc>
          <w:tcPr>
            <w:tcW w:type="dxa" w:w="4320"/>
            <w:vAlign w:val="center"/>
          </w:tcPr>
          <w:p>
            <w:r/>
            <w:r>
              <w:rPr>
                <w:rFonts w:ascii="Aptos" w:hAnsi="Aptos"/>
                <w:b w:val="0"/>
                <w:sz w:val="16"/>
              </w:rPr>
              <w:t>“Our confidence is 92% probability of fraud.”</w:t>
            </w:r>
          </w:p>
        </w:tc>
        <w:tc>
          <w:tcPr>
            <w:tcW w:type="dxa" w:w="5760"/>
            <w:vAlign w:val="center"/>
          </w:tcPr>
          <w:p>
            <w:r/>
            <w:r>
              <w:rPr>
                <w:rFonts w:ascii="Aptos" w:hAnsi="Aptos"/>
                <w:b w:val="0"/>
                <w:sz w:val="16"/>
              </w:rPr>
              <w:t>“Evidence confidence is a heuristic tier reflecting data quality and evidence level.”</w:t>
            </w:r>
          </w:p>
        </w:tc>
      </w:tr>
      <w:tr>
        <w:tc>
          <w:tcPr>
            <w:tcW w:type="dxa" w:w="4320"/>
            <w:vAlign w:val="center"/>
          </w:tcPr>
          <w:p>
            <w:r/>
            <w:r>
              <w:rPr>
                <w:rFonts w:ascii="Aptos" w:hAnsi="Aptos"/>
                <w:b w:val="0"/>
                <w:sz w:val="16"/>
              </w:rPr>
              <w:t>“AI discovered fraud automatically.”</w:t>
            </w:r>
          </w:p>
        </w:tc>
        <w:tc>
          <w:tcPr>
            <w:tcW w:type="dxa" w:w="5760"/>
            <w:vAlign w:val="center"/>
          </w:tcPr>
          <w:p>
            <w:r/>
            <w:r>
              <w:rPr>
                <w:rFonts w:ascii="Aptos" w:hAnsi="Aptos"/>
                <w:b w:val="0"/>
                <w:sz w:val="16"/>
              </w:rPr>
              <w:t>“AI-assisted analytics prioritize anomalous works for human investigation.”</w:t>
            </w:r>
          </w:p>
        </w:tc>
      </w:tr>
    </w:tbl>
    <w:p/>
    <w:p>
      <w:pPr>
        <w:pStyle w:val="Heading1"/>
      </w:pPr>
      <w:r>
        <w:t>27. Final Architecture Lock Checklist</w:t>
      </w:r>
    </w:p>
    <w:p>
      <w:pPr>
        <w:pStyle w:val="ListBullet"/>
        <w:spacing w:after="30"/>
      </w:pPr>
      <w:r>
        <w:t>Four engines remain exactly: Peer Benchmarking, Statistical Outliers, Financial–Execution Mismatch, Duplicate/Overlap.</w:t>
      </w:r>
    </w:p>
    <w:p>
      <w:pPr>
        <w:pStyle w:val="ListBullet"/>
        <w:spacing w:after="30"/>
      </w:pPr>
      <w:r>
        <w:t>Fusion weights remain exactly 30/25/30/15 with availability normalization.</w:t>
      </w:r>
    </w:p>
    <w:p>
      <w:pPr>
        <w:pStyle w:val="ListBullet"/>
        <w:spacing w:after="30"/>
      </w:pPr>
      <w:r>
        <w:t>Peer fallback is built from day one.</w:t>
      </w:r>
    </w:p>
    <w:p>
      <w:pPr>
        <w:pStyle w:val="ListBullet"/>
        <w:spacing w:after="30"/>
      </w:pPr>
      <w:r>
        <w:t>Mismatch hierarchy remains Status -&gt; Time -&gt; Actual Physical Progress.</w:t>
      </w:r>
    </w:p>
    <w:p>
      <w:pPr>
        <w:pStyle w:val="ListBullet"/>
        <w:spacing w:after="30"/>
      </w:pPr>
      <w:r>
        <w:t>Actual physical progress is never fabricated.</w:t>
      </w:r>
    </w:p>
    <w:p>
      <w:pPr>
        <w:pStyle w:val="ListBullet"/>
        <w:spacing w:after="30"/>
      </w:pPr>
      <w:r>
        <w:t>Duplicate detection uses semantic text + entity/agency + district/constituency context and blocking; no GPS.</w:t>
      </w:r>
    </w:p>
    <w:p>
      <w:pPr>
        <w:pStyle w:val="ListBullet"/>
        <w:spacing w:after="30"/>
      </w:pPr>
      <w:r>
        <w:t>No primary Isolation Forest, no SHAP, no forecasting/survival model, no learned confidence calibration.</w:t>
      </w:r>
    </w:p>
    <w:p>
      <w:pPr>
        <w:pStyle w:val="ListBullet"/>
        <w:spacing w:after="30"/>
      </w:pPr>
      <w:r>
        <w:t>22565 vendor expenditure is not treated as project-level expenditure unless a validated unique work key becomes available.</w:t>
      </w:r>
    </w:p>
    <w:p>
      <w:pPr>
        <w:pStyle w:val="ListBullet"/>
        <w:spacing w:after="30"/>
      </w:pPr>
      <w:r>
        <w:t>Benford is not a core detector.</w:t>
      </w:r>
    </w:p>
    <w:p>
      <w:pPr>
        <w:pStyle w:val="ListBullet"/>
        <w:spacing w:after="30"/>
      </w:pPr>
      <w:r>
        <w:t>Cheap threshold-splitting and invalid-category rules are optional only after the four-engine pipeline works end-to-end.</w:t>
      </w:r>
    </w:p>
    <w:p>
      <w:pPr>
        <w:pStyle w:val="ListBullet"/>
        <w:spacing w:after="30"/>
      </w:pPr>
      <w:r>
        <w:t>Every risk score is accompanied by evidence, source, confidence and coverage.</w:t>
      </w:r>
    </w:p>
    <w:p>
      <w:pPr>
        <w:pStyle w:val="ListBullet"/>
        <w:spacing w:after="30"/>
      </w:pPr>
      <w:r>
        <w:t>The system prioritizes investigation; it does not declare guilt or fraud.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MPLADS Risk Intelligence &amp; Investigation Engine — Locked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MPLADS Risk Intelligence &amp; Investigation Engine — Locked Build Architecture</dc:title>
  <dc:subject>SIH26102 architecture, data strategy, technology stack, scoring and implementation flow</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