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MPLADS Risk Intelligence &amp; Investigation Engine</w:t>
      </w:r>
    </w:p>
    <w:p>
      <w:pPr>
        <w:jc w:val="center"/>
      </w:pPr>
      <w:r>
        <w:rPr>
          <w:i/>
          <w:sz w:val="26"/>
        </w:rPr>
        <w:t>Complete Locked Build Architecture, Data Strategy, Scoring Logic &amp; Demo Flow</w:t>
      </w:r>
    </w:p>
    <w:p>
      <w:pPr>
        <w:jc w:val="center"/>
      </w:pPr>
      <w:r>
        <w:rPr>
          <w:b/>
          <w:sz w:val="22"/>
        </w:rPr>
        <w:t>SIH 2026 — Problem Statement SIH26102</w:t>
      </w:r>
    </w:p>
    <w:p>
      <w:pPr>
        <w:jc w:val="center"/>
      </w:pPr>
      <w:r>
        <w:rPr>
          <w:b/>
          <w:color w:val="A03C1E"/>
        </w:rPr>
        <w:t>LOCKED SPEC — Do not expand core architecture during the 48-hour build.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174988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74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200" w:after="100"/>
      </w:pPr>
      <w:r>
        <w:t>1. Executive Definition</w:t>
      </w:r>
    </w:p>
    <w:p>
      <w:r>
        <w:t>The system is an explainable MPLADS risk-intelligence prototype that evaluates individual works using four independent evidence engines: Peer Benchmarking, Statistical Outlier Detection, Financial–Execution Mismatch, and Duplicate/Overlap Detection. Their outputs are combined by a simple availability-normalized evidence-fusion layer into a 0–100 risk score, with an investigator-facing explanation and data-coverage indicator.</w:t>
      </w:r>
    </w:p>
    <w:p>
      <w:pPr>
        <w:pStyle w:val="Heading2"/>
        <w:spacing w:before="200" w:after="100"/>
      </w:pPr>
      <w:r>
        <w:t>What the system is not</w:t>
      </w:r>
    </w:p>
    <w:p>
      <w:pPr>
        <w:pStyle w:val="ListBullet"/>
        <w:spacing w:after="60"/>
      </w:pPr>
      <w:r>
        <w:t>It is a risk-screening and investigation-support system, not a fraud verdict engine.</w:t>
      </w:r>
    </w:p>
    <w:p>
      <w:pPr>
        <w:pStyle w:val="ListBullet"/>
        <w:spacing w:after="60"/>
      </w:pPr>
      <w:r>
        <w:t>It does not invent expenditure, physical progress, GPS coordinates, vendors, or other unavailable fields.</w:t>
      </w:r>
    </w:p>
    <w:p>
      <w:pPr>
        <w:pStyle w:val="ListBullet"/>
        <w:spacing w:after="60"/>
      </w:pPr>
      <w:r>
        <w:t>It does not use SHAP, Isolation Forest, Benford’s Law, GPS matching, forecasting, or vendor-graph analysis as core components.</w:t>
      </w:r>
    </w:p>
    <w:p>
      <w:pPr>
        <w:pStyle w:val="ListBullet"/>
        <w:spacing w:after="60"/>
      </w:pPr>
      <w:r>
        <w:t>It does not force joins between datasets whose granularity or keys cannot be validated.</w:t>
      </w:r>
    </w:p>
    <w:p>
      <w:pPr>
        <w:pStyle w:val="Heading1"/>
        <w:spacing w:before="200" w:after="100"/>
      </w:pPr>
      <w:r>
        <w:t>2. Locked Architecture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Principle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Implementation rule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Real-data first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Every live score must be traceable to fields that actually exist in the selected source data.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Four-core-only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The four risk engines remain the architecture. Cheap rule add-ons are optional and never replace a core engine.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Explainability by construction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Every engine returns the values, peer cohort, rule/threshold, and reason that produced its score.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Availability-aware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Missing fields reduce module availability; the final score is renormalized over available modules.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Conservative claims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An anomaly means “investigate”; it does not mean fraud is proven.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No black-box dependency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Primary scoring is deterministic statistics/rules, not an unvalidated ML detector.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Data granularity honesty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Project-level evidence is only used when the row-to-work relationship is validated.</w:t>
            </w:r>
          </w:p>
        </w:tc>
      </w:tr>
    </w:tbl>
    <w:p/>
    <w:p>
      <w:pPr>
        <w:pStyle w:val="Heading1"/>
        <w:spacing w:before="200" w:after="100"/>
      </w:pPr>
      <w:r>
        <w:t>3. Data Sources — Exact Selection</w:t>
      </w:r>
    </w:p>
    <w:p>
      <w:r>
        <w:t>The prototype uses a layered data strategy. Raw datasets are cached locally so the demo is reproducible and does not depend on a live external download during presentation.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4"/>
              </w:rPr>
              <w:t>Dataset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4"/>
              </w:rPr>
              <w:t>Role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4"/>
              </w:rPr>
              <w:t>Key fields used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sz w:val="14"/>
              </w:rPr>
              <w:t>Do not use for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4"/>
              </w:rPr>
              <w:t>22567 — 18th Lok Sabha Recommended Works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Primary current-work layer; recommendations, category, description and organization context.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4"/>
              </w:rPr>
              <w:t>state, implementing_district, loksabha_constituency, MP, work_category, unique_work_number, work_name, work_description, date_of_recommendation, recommended_amount, image_status, implementing_agency_name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4"/>
              </w:rPr>
              <w:t>Treating NA work numbers as exact IDs; project-level expenditure.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4"/>
              </w:rPr>
              <w:t>22566 — 18th Lok Sabha Completed Works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Completion evidence and completed-work amount; source for completion date, category, description, images/status.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4"/>
              </w:rPr>
              <w:t>unique_work_number, work_name, work_category, implementing_district, constituency, implementing_agency_name, work_description, date_of_completion, amount, image_uploaded, image_status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4"/>
              </w:rPr>
              <w:t>Assuming every recommended work has a matching completed row.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4"/>
              </w:rPr>
              <w:t>18533 — 17th Lok Sabha Works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Historical benchmark/reference layer; long time span and explicit work status.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4"/>
              </w:rPr>
              <w:t>state, district, constituency, MP, sanction_amount, proposal date, admin approval date, work_name, unique_work_number, agency, work_status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4"/>
              </w:rPr>
              <w:t>Assuming all administrative approval dates or agency fields are complete; using NA IDs as real keys.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4"/>
              </w:rPr>
              <w:t>22565 — 18th Lok Sabha Vendor-level Expenditure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Context/enrichment only. Used only for descriptive vendor views or future enrichment where aggregation is honest.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4"/>
              </w:rPr>
              <w:t>state, district, constituency, MP, work_name, agency, vendor_name, expenditure_date, payment_status, expenditure_amount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4"/>
              </w:rPr>
              <w:t>Joining to an individual work and assigning vendor spend as that project’s exact expenditure.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4"/>
              </w:rPr>
              <w:t>Official MPLADS guidelines / portal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Rules, category eligibility, scheme thresholds, and optional portal-level context.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4"/>
              </w:rPr>
              <w:t>Guideline text; portal report fields when accessible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4"/>
              </w:rPr>
              <w:t>Creating a synthetic physical-progress percentage or assuming an undocumented threshold.</w:t>
            </w:r>
          </w:p>
        </w:tc>
      </w:tr>
    </w:tbl>
    <w:p/>
    <w:p>
      <w:r>
        <w:rPr>
          <w:b/>
        </w:rPr>
        <w:t xml:space="preserve">Verified current metadata: </w:t>
      </w:r>
      <w:r>
        <w:t>22567 = 73,764 rows / 16 columns; 22566 = 11,077 rows / 17 columns; 22565 = 96,541 rows / 13 columns; 18533 = 73,305 rows / 17 columns. 22567 currently shows `unique_work_number` values including NA in the visible preview, so the full-field population test is mandatory before any exact join.</w:t>
      </w:r>
    </w:p>
    <w:p>
      <w:pPr>
        <w:pStyle w:val="Heading1"/>
        <w:spacing w:before="200" w:after="100"/>
      </w:pPr>
      <w:r>
        <w:t>4. Data Ingestion &amp; Canonical Work Layer</w:t>
      </w:r>
    </w:p>
    <w:p>
      <w:pPr>
        <w:pStyle w:val="Heading2"/>
        <w:spacing w:before="200" w:after="100"/>
      </w:pPr>
      <w:r>
        <w:t>4.1 Acquire and cache</w:t>
      </w:r>
    </w:p>
    <w:p>
      <w:pPr>
        <w:pStyle w:val="ListBullet"/>
        <w:spacing w:after="60"/>
      </w:pPr>
      <w:r>
        <w:t>Download or export the four Dataful datasets once into data/raw/. Store the original file unchanged.</w:t>
      </w:r>
    </w:p>
    <w:p>
      <w:pPr>
        <w:pStyle w:val="ListBullet"/>
        <w:spacing w:after="60"/>
      </w:pPr>
      <w:r>
        <w:t>Prefer Parquet for the working copy for fast reads; retain CSV/XLSX only as source snapshots if needed.</w:t>
      </w:r>
    </w:p>
    <w:p>
      <w:pPr>
        <w:pStyle w:val="ListBullet"/>
        <w:spacing w:after="60"/>
      </w:pPr>
      <w:r>
        <w:t>Keep a source manifest containing dataset ID, source URL, retrieval date, file checksum, row count, and column count.</w:t>
      </w:r>
    </w:p>
    <w:p>
      <w:pPr>
        <w:pStyle w:val="Heading2"/>
        <w:spacing w:before="200" w:after="100"/>
      </w:pPr>
      <w:r>
        <w:t>4.2 Standardization</w:t>
      </w:r>
    </w:p>
    <w:p>
      <w:pPr>
        <w:pStyle w:val="ListNumber"/>
        <w:spacing w:after="60"/>
      </w:pPr>
      <w:r>
        <w:t>Normalize column names to snake_case while preserving a source-column map.</w:t>
      </w:r>
    </w:p>
    <w:p>
      <w:pPr>
        <w:pStyle w:val="ListNumber"/>
        <w:spacing w:after="60"/>
      </w:pPr>
      <w:r>
        <w:t>Convert empty strings, blank strings, textual NA variants (NA, N/A, null, None, -) to proper missing values.</w:t>
      </w:r>
    </w:p>
    <w:p>
      <w:pPr>
        <w:pStyle w:val="ListNumber"/>
        <w:spacing w:after="60"/>
      </w:pPr>
      <w:r>
        <w:t>Parse all date columns with day-first-safe parsing and retain a parse-error flag.</w:t>
      </w:r>
    </w:p>
    <w:p>
      <w:pPr>
        <w:pStyle w:val="ListNumber"/>
        <w:spacing w:after="60"/>
      </w:pPr>
      <w:r>
        <w:t>Parse monetary fields by stripping commas, currency symbols and whitespace; retain original raw field for audit.</w:t>
      </w:r>
    </w:p>
    <w:p>
      <w:pPr>
        <w:pStyle w:val="ListNumber"/>
        <w:spacing w:after="60"/>
      </w:pPr>
      <w:r>
        <w:t>Normalize text for matching: lowercase, Unicode normalization, punctuation removal, whitespace collapse, common abbreviation normalization.</w:t>
      </w:r>
    </w:p>
    <w:p>
      <w:pPr>
        <w:pStyle w:val="ListNumber"/>
        <w:spacing w:after="60"/>
      </w:pPr>
      <w:r>
        <w:t>Normalize categorical values for state, district, constituency, category, agency and status without destroying the original display value.</w:t>
      </w:r>
    </w:p>
    <w:p>
      <w:pPr>
        <w:pStyle w:val="ListNumber"/>
        <w:spacing w:after="60"/>
      </w:pPr>
      <w:r>
        <w:t>Create a canonical work record with source_dataset, source_row_id and source_priority fields.</w:t>
      </w:r>
    </w:p>
    <w:p>
      <w:pPr>
        <w:pStyle w:val="Heading2"/>
        <w:spacing w:before="200" w:after="100"/>
      </w:pPr>
      <w:r>
        <w:t>4.3 Canonical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5"/>
              </w:rPr>
              <w:t>Canonical field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5"/>
              </w:rPr>
              <w:t>Source mapping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5"/>
              </w:rPr>
              <w:t>Purpose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work_id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unique_work_number when valid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Exact identity key; only trusted when populated and collision-checked.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work_description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work_description / work_name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Text similarity, duplicate detection, investigator display.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work_category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work_category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Peer cohort + eligibility rules.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state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state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Peer cohort / filtering.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district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implementing_district or compatible district field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Peer cohort + blocked duplicate candidate pool.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constituency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loksabha_constituency / constituency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Peer cohort + locality context.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mp_name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loksabha_MP_name / mp_name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Context and investigator view.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agency_name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implementing_agency_name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Peer cohort + duplicate/entity signal.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amount_recommended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recommended_amount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Current financial scale.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amount_sanctioned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sanction_amount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Historical financial scale.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amount_completed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amount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Completed-work financial evidence when matched.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proposal_date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date_of_recommendation or proposal-date equivalent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Age/duration proxy.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approval_date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date_of_administrative_approval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Historical timing feature when present.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completion_date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date_of_completion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Completion-duration evidence when matched.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work_status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work_status when available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Mismatch hierarchy Level 1 status signal.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image_status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image_status/image_uploaded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Completion evidence context; not treated as physical-progress percentage.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source_as_of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data_as_on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Snapshot date and reproducibility.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source_dataset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dataset ID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Traceability.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source_row_id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generated stable row key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Audit/debugging.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match_method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exact / approximate / none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Join confidence and audit trail.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match_confidence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5"/>
              </w:rPr>
              <w:t>high / medium / low / none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5"/>
              </w:rPr>
              <w:t>Prevents accidental overclaiming.</w:t>
            </w:r>
          </w:p>
        </w:tc>
      </w:tr>
    </w:tbl>
    <w:p/>
    <w:p>
      <w:pPr>
        <w:pStyle w:val="Heading1"/>
        <w:spacing w:before="200" w:after="100"/>
      </w:pPr>
      <w:r>
        <w:t>5. Mandatory Join-Key Validation — FIRST DAY-ONE CHECK</w:t>
      </w:r>
    </w:p>
    <w:p>
      <w:r>
        <w:t>This is now an explicit gate, not an assumption. Before implementing the Financial–Execution Mismatch join, compute the population and uniqueness of unique_work_number in 22567 and 22566.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168"/>
            <w:vAlign w:val="center"/>
            <w:shd w:fill="D9EAF7"/>
          </w:tcPr>
          <w:p>
            <w:r/>
            <w:r>
              <w:rPr>
                <w:b/>
                <w:sz w:val="16"/>
              </w:rPr>
              <w:t>Check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6"/>
              </w:rPr>
              <w:t>Pass condition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Non-missing ID rate — 22567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Measure, do not assume; report exact percentage.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Proceed with exact join only for valid IDs.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Non-missing ID rate — 22566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High population expected; verify.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Use as completion-side identity source.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Uniqueness / duplication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No silent many-to-many joins.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Detect duplicates; dedupe only with a deterministic latest-record rule and conflict flag.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Exact match coverage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Record count and percentage of 22567 valid IDs found in 22566.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Show coverage in the UI.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Field consistency after match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Description/category/agency/locality should be sufficiently consistent.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Create conflict flags; do not hide them.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Low-match contingency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If exact coverage is weak, do not fabricate completion joins.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Use an explicit approximate candidate matcher only as lower-confidence fallback or leave unmatched.</w:t>
            </w:r>
          </w:p>
        </w:tc>
      </w:tr>
    </w:tbl>
    <w:p/>
    <w:p>
      <w:pPr>
        <w:pStyle w:val="Heading2"/>
        <w:spacing w:before="200" w:after="100"/>
      </w:pPr>
      <w:r>
        <w:t>5.1 Approximate matching fallback — only when needed</w:t>
      </w:r>
    </w:p>
    <w:p>
      <w:r>
        <w:t>Fallback is not a replacement for the exact key. It is a constrained candidate-matching path for records with no valid exact key. A candidate must be blocked by locality/context first, then ranked by similarity.</w:t>
      </w:r>
    </w:p>
    <w:p>
      <w:pPr>
        <w:pStyle w:val="ListBullet"/>
        <w:spacing w:after="60"/>
      </w:pPr>
      <w:r>
        <w:t>Blocking keys: same state; then same district where available; then same constituency; then compatible work category and implementing agency.</w:t>
      </w:r>
    </w:p>
    <w:p>
      <w:pPr>
        <w:pStyle w:val="ListBullet"/>
        <w:spacing w:after="60"/>
      </w:pPr>
      <w:r>
        <w:t>Text similarity: sentence-transformers all-MiniLM-L6-v2 cosine similarity on normalized work descriptions.</w:t>
      </w:r>
    </w:p>
    <w:p>
      <w:pPr>
        <w:pStyle w:val="ListBullet"/>
        <w:spacing w:after="60"/>
      </w:pPr>
      <w:r>
        <w:t>Entity similarity: RapidFuzz token-set/token-sort similarity on agency names and supporting fields.</w:t>
      </w:r>
    </w:p>
    <w:p>
      <w:pPr>
        <w:pStyle w:val="ListBullet"/>
        <w:spacing w:after="60"/>
      </w:pPr>
      <w:r>
        <w:t>Amount consistency: compare recommended/sanctioned amount to completed amount where both exist; large unexplained divergence lowers match confidence rather than automatically rejecting.</w:t>
      </w:r>
    </w:p>
    <w:p>
      <w:pPr>
        <w:pStyle w:val="ListBullet"/>
        <w:spacing w:after="60"/>
      </w:pPr>
      <w:r>
        <w:t>Date plausibility: recommendation/proposal date should fall before completion date by a sensible interval.</w:t>
      </w:r>
    </w:p>
    <w:p>
      <w:pPr>
        <w:pStyle w:val="ListBullet"/>
        <w:spacing w:after="60"/>
      </w:pPr>
      <w:r>
        <w:t>Only return a match when the combined score exceeds a fixed threshold and the margin over the second-best candidate is sufficient.</w:t>
      </w:r>
    </w:p>
    <w:p>
      <w:pPr>
        <w:pStyle w:val="ListBullet"/>
        <w:spacing w:after="60"/>
      </w:pPr>
      <w:r>
        <w:t>Label all such matches match_method=approximate and confidence=low/medium. They cannot be described as exact work-ID joins.</w:t>
      </w:r>
    </w:p>
    <w:p>
      <w:pPr>
        <w:pStyle w:val="Heading1"/>
        <w:spacing w:before="200" w:after="100"/>
      </w:pPr>
      <w:r>
        <w:t>6. Engine 1 — Context-Aware Peer Benchmarking (30%)</w:t>
      </w:r>
    </w:p>
    <w:p>
      <w:r>
        <w:t>Purpose: determine whether a work is unusual relative to the right comparison set, not the entire country blindly.</w:t>
      </w:r>
    </w:p>
    <w:p>
      <w:pPr>
        <w:pStyle w:val="Heading2"/>
        <w:spacing w:before="200" w:after="100"/>
      </w:pPr>
      <w:r>
        <w:t>6.1 Peer cohort hierarchy</w:t>
      </w:r>
    </w:p>
    <w:p>
      <w:pPr>
        <w:pStyle w:val="ListNumber"/>
        <w:spacing w:after="60"/>
      </w:pPr>
      <w:r>
        <w:t>Same district + same work category + compatible period/year bucket.</w:t>
      </w:r>
    </w:p>
    <w:p>
      <w:pPr>
        <w:pStyle w:val="ListNumber"/>
        <w:spacing w:after="60"/>
      </w:pPr>
      <w:r>
        <w:t>If the cohort is too small, widen to same state + same category + compatible period.</w:t>
      </w:r>
    </w:p>
    <w:p>
      <w:pPr>
        <w:pStyle w:val="ListNumber"/>
        <w:spacing w:after="60"/>
      </w:pPr>
      <w:r>
        <w:t>If still too small, widen to national + same category + compatible period.</w:t>
      </w:r>
    </w:p>
    <w:p>
      <w:pPr>
        <w:pStyle w:val="ListNumber"/>
        <w:spacing w:after="60"/>
      </w:pPr>
      <w:r>
        <w:t>If still below the minimum peer count, mark the module unavailable rather than inventing a benchmark.</w:t>
      </w:r>
    </w:p>
    <w:p>
      <w:r>
        <w:t>Minimum practical cohort target: 10 comparable works. Use the fallback ladder automatically so live demo selections never silently return an empty peer set.</w:t>
      </w:r>
    </w:p>
    <w:p>
      <w:pPr>
        <w:pStyle w:val="Heading2"/>
        <w:spacing w:before="200" w:after="100"/>
      </w:pPr>
      <w:r>
        <w:t>6.2 Statistical comparisons</w:t>
      </w:r>
    </w:p>
    <w:p>
      <w:pPr>
        <w:pStyle w:val="ListBullet"/>
        <w:spacing w:after="60"/>
      </w:pPr>
      <w:r>
        <w:t>Primary robust baseline: peer median.</w:t>
      </w:r>
    </w:p>
    <w:p>
      <w:pPr>
        <w:pStyle w:val="ListBullet"/>
        <w:spacing w:after="60"/>
      </w:pPr>
      <w:r>
        <w:t>Robust spread: IQR = Q3 − Q1.</w:t>
      </w:r>
    </w:p>
    <w:p>
      <w:pPr>
        <w:pStyle w:val="ListBullet"/>
        <w:spacing w:after="60"/>
      </w:pPr>
      <w:r>
        <w:t>Percentile position: percentile rank within cohort.</w:t>
      </w:r>
    </w:p>
    <w:p>
      <w:pPr>
        <w:pStyle w:val="ListBullet"/>
        <w:spacing w:after="60"/>
      </w:pPr>
      <w:r>
        <w:t>IQR-based deviation for amount/other numeric features; avoid fragile mean/std-only logic when distributions are skewed.</w:t>
      </w:r>
    </w:p>
    <w:p>
      <w:pPr>
        <w:pStyle w:val="ListBullet"/>
        <w:spacing w:after="60"/>
      </w:pPr>
      <w:r>
        <w:t>Feature-level outputs are converted to bounded 0–100 module scores and accompanied by raw peer counts and values.</w:t>
      </w:r>
    </w:p>
    <w:p>
      <w:pPr>
        <w:pStyle w:val="Heading2"/>
        <w:spacing w:before="200" w:after="100"/>
      </w:pPr>
      <w:r>
        <w:t>6.3 Example evidence</w:t>
      </w:r>
    </w:p>
    <w:p>
      <w:r>
        <w:t>“Recommended amount = ₹10.0 lakh; peer median = ₹5.5 lakh; percentile = 96th; cohort = 41 works; district/category fallback = same district + category.”</w:t>
      </w:r>
    </w:p>
    <w:p>
      <w:pPr>
        <w:pStyle w:val="Heading1"/>
        <w:spacing w:before="200" w:after="100"/>
      </w:pPr>
      <w:r>
        <w:t>7. Engine 2 — Statistical Outlier Detection (25%)</w:t>
      </w:r>
    </w:p>
    <w:p>
      <w:r>
        <w:t>Purpose: capture unusual numeric patterns using transparent robust statistics. This is not a black-box anomaly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6"/>
              </w:rPr>
              <w:t>Signal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6"/>
              </w:rPr>
              <w:t>Calculation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sz w:val="16"/>
              </w:rPr>
              <w:t>Output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Amount outlier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Robust IQR distance or percentile rank within the selected peer cohort.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signal_score + evidence text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Relative scale anomaly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Amount / peer median or equivalent relative ratio.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ratio + severity band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Timing anomaly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Elapsed time compared with peer timing distribution when dates exist.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days + percentile/IQR evidence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Data quality anomaly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Missing/contradictory fields that materially affect detection.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coverage/quality warning, not automatic fraud score</w:t>
            </w:r>
          </w:p>
        </w:tc>
      </w:tr>
    </w:tbl>
    <w:p/>
    <w:p>
      <w:r>
        <w:t>Primary method: deterministic IQR/Z-score-style robust rules. Isolation Forest is explicitly excluded from the core scoring path.</w:t>
      </w:r>
    </w:p>
    <w:p>
      <w:pPr>
        <w:pStyle w:val="Heading1"/>
        <w:spacing w:before="200" w:after="100"/>
      </w:pPr>
      <w:r>
        <w:t>8. Engine 3 — Financial–Execution Mismatch (30%)</w:t>
      </w:r>
    </w:p>
    <w:p>
      <w:r>
        <w:t>This engine follows a strict evidence hierarchy: Status → Time → Actual Physical Progress. Higher levels supersede lower-confidence proxy evidence when genuinely available.</w:t>
      </w:r>
    </w:p>
    <w:p>
      <w:pPr>
        <w:pStyle w:val="Heading2"/>
        <w:spacing w:before="200" w:after="100"/>
      </w:pPr>
      <w:r>
        <w:t>8.1 Level 1 — Status / financial-exposure or expenditure mismatch</w:t>
      </w:r>
    </w:p>
    <w:p>
      <w:pPr>
        <w:pStyle w:val="ListBullet"/>
        <w:spacing w:after="60"/>
      </w:pPr>
      <w:r>
        <w:t>Preferred observed signal: when a valid work-level expenditure value is available, compare financial spend/expenditure exposure to reported work status.</w:t>
      </w:r>
    </w:p>
    <w:p>
      <w:pPr>
        <w:pStyle w:val="ListBullet"/>
        <w:spacing w:after="60"/>
      </w:pPr>
      <w:r>
        <w:t>Example: a work marked ongoing while a very high share of available financial amount has already been spent is a review signal.</w:t>
      </w:r>
    </w:p>
    <w:p>
      <w:pPr>
        <w:pStyle w:val="ListBullet"/>
        <w:spacing w:after="60"/>
      </w:pPr>
      <w:r>
        <w:t>Where project-level expenditure is unavailable, use a clearly labeled proxy based on status + financial exposure (sanctioned/recommended amount) + project age. Never present this proxy as actual spending.</w:t>
      </w:r>
    </w:p>
    <w:p>
      <w:pPr>
        <w:pStyle w:val="ListBullet"/>
        <w:spacing w:after="60"/>
      </w:pPr>
      <w:r>
        <w:t>No fabricated status-to-percentage mapping is allowed.</w:t>
      </w:r>
    </w:p>
    <w:p>
      <w:pPr>
        <w:pStyle w:val="Heading2"/>
        <w:spacing w:before="200" w:after="100"/>
      </w:pPr>
      <w:r>
        <w:t>8.2 Level 2 — Time + money / abnormal slippage</w:t>
      </w:r>
    </w:p>
    <w:p>
      <w:pPr>
        <w:pStyle w:val="ListBullet"/>
        <w:spacing w:after="60"/>
      </w:pPr>
      <w:r>
        <w:t>Compute elapsed days from the earliest reliable project-date field to the source snapshot date, or completion duration when completion exists.</w:t>
      </w:r>
    </w:p>
    <w:p>
      <w:pPr>
        <w:pStyle w:val="ListBullet"/>
        <w:spacing w:after="60"/>
      </w:pPr>
      <w:r>
        <w:t>Compare elapsed time with comparable completed-work timing distributions.</w:t>
      </w:r>
    </w:p>
    <w:p>
      <w:pPr>
        <w:pStyle w:val="ListBullet"/>
        <w:spacing w:after="60"/>
      </w:pPr>
      <w:r>
        <w:t>Use financial scale as context: a high-value work that remains ongoing far beyond comparable duration is more investigation-worthy than an otherwise similar low-value work.</w:t>
      </w:r>
    </w:p>
    <w:p>
      <w:pPr>
        <w:pStyle w:val="ListBullet"/>
        <w:spacing w:after="60"/>
      </w:pPr>
      <w:r>
        <w:t>Level 2 is stronger than Level 1 because it is based on observed time rather than assumed progress percentages.</w:t>
      </w:r>
    </w:p>
    <w:p>
      <w:pPr>
        <w:pStyle w:val="Heading2"/>
        <w:spacing w:before="200" w:after="100"/>
      </w:pPr>
      <w:r>
        <w:t>8.3 Level 3 — Actual physical-progress mismatch</w:t>
      </w:r>
    </w:p>
    <w:p>
      <w:pPr>
        <w:pStyle w:val="ListBullet"/>
        <w:spacing w:after="60"/>
      </w:pPr>
      <w:r>
        <w:t>Activate only when a genuine physical-progress percentage is supplied by an authoritative source or user-provided operational data.</w:t>
      </w:r>
    </w:p>
    <w:p>
      <w:pPr>
        <w:pStyle w:val="ListBullet"/>
        <w:spacing w:after="60"/>
      </w:pPr>
      <w:r>
        <w:t>Compute financial progress % versus physical progress % directly.</w:t>
      </w:r>
    </w:p>
    <w:p>
      <w:pPr>
        <w:pStyle w:val="ListBullet"/>
        <w:spacing w:after="60"/>
      </w:pPr>
      <w:r>
        <w:t>Example: 80% financial progress versus 40% physical progress is a strong mismatch signal.</w:t>
      </w:r>
    </w:p>
    <w:p>
      <w:pPr>
        <w:pStyle w:val="ListBullet"/>
        <w:spacing w:after="60"/>
      </w:pPr>
      <w:r>
        <w:t>If physical-progress data is absent, Level 3 is unavailable; do not simulate it.</w:t>
      </w:r>
    </w:p>
    <w:p>
      <w:pPr>
        <w:pStyle w:val="Heading2"/>
        <w:spacing w:before="200" w:after="100"/>
      </w:pPr>
      <w:r>
        <w:t>8.4 Confidence display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168"/>
            <w:vAlign w:val="center"/>
            <w:shd w:fill="D9EAF7"/>
          </w:tcPr>
          <w:p>
            <w:r/>
            <w:r>
              <w:rPr>
                <w:b/>
                <w:sz w:val="16"/>
              </w:rPr>
              <w:t>Tier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6"/>
              </w:rPr>
              <w:t>Confidence label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6"/>
              </w:rPr>
              <w:t>Rule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Level 1 proxy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Uses status/financial exposure and/or heuristic evidence without direct project expenditure.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Level 1 observed financial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Uses actual work-level expenditure when a validated source exists.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Level 2 time-based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Uses observed dates/duration versus peer completion behavior.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Level 3 physical-progress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VERY HIGH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Uses direct physical-progress data from an authoritative source.</w:t>
            </w:r>
          </w:p>
        </w:tc>
      </w:tr>
    </w:tbl>
    <w:p/>
    <w:p>
      <w:pPr>
        <w:pStyle w:val="Heading1"/>
        <w:spacing w:before="200" w:after="100"/>
      </w:pPr>
      <w:r>
        <w:t>9. Engine 4 — Duplicate / Overlap Detection (15%)</w:t>
      </w:r>
    </w:p>
    <w:p>
      <w:r>
        <w:t>Purpose: identify likely duplicate or overlapping works without assuming GPS data that is not present.</w:t>
      </w:r>
    </w:p>
    <w:p>
      <w:pPr>
        <w:pStyle w:val="Heading2"/>
        <w:spacing w:before="200" w:after="100"/>
      </w:pPr>
      <w:r>
        <w:t>9.1 Candidate blocking</w:t>
      </w:r>
    </w:p>
    <w:p>
      <w:pPr>
        <w:pStyle w:val="ListBullet"/>
        <w:spacing w:after="60"/>
      </w:pPr>
      <w:r>
        <w:t>Never run all-pairs similarity across the entire dataset.</w:t>
      </w:r>
    </w:p>
    <w:p>
      <w:pPr>
        <w:pStyle w:val="ListBullet"/>
        <w:spacing w:after="60"/>
      </w:pPr>
      <w:r>
        <w:t>Candidate pool: same district where available, then same constituency; optionally same/near period and compatible work category.</w:t>
      </w:r>
    </w:p>
    <w:p>
      <w:pPr>
        <w:pStyle w:val="ListBullet"/>
        <w:spacing w:after="60"/>
      </w:pPr>
      <w:r>
        <w:t>Keep candidate pool small before any embedding similarity is computed.</w:t>
      </w:r>
    </w:p>
    <w:p>
      <w:pPr>
        <w:pStyle w:val="Heading2"/>
        <w:spacing w:before="200" w:after="100"/>
      </w:pPr>
      <w:r>
        <w:t>9.2 Matching signals</w:t>
      </w:r>
    </w:p>
    <w:p>
      <w:pPr>
        <w:pStyle w:val="ListBullet"/>
        <w:spacing w:after="60"/>
      </w:pPr>
      <w:r>
        <w:t>Text: all-MiniLM-L6-v2 embeddings + cosine similarity on work descriptions.</w:t>
      </w:r>
    </w:p>
    <w:p>
      <w:pPr>
        <w:pStyle w:val="ListBullet"/>
        <w:spacing w:after="60"/>
      </w:pPr>
      <w:r>
        <w:t>Entity/context: RapidFuzz similarity on implementing agency names and normalized locality/entity fields.</w:t>
      </w:r>
    </w:p>
    <w:p>
      <w:pPr>
        <w:pStyle w:val="ListBullet"/>
        <w:spacing w:after="60"/>
      </w:pPr>
      <w:r>
        <w:t>Amount/context: compare recommended/sanctioned/completed amounts where available.</w:t>
      </w:r>
    </w:p>
    <w:p>
      <w:pPr>
        <w:pStyle w:val="ListBullet"/>
        <w:spacing w:after="60"/>
      </w:pPr>
      <w:r>
        <w:t>Geographic context means district/constituency only. No GPS or coordinate distance is assumed.</w:t>
      </w:r>
    </w:p>
    <w:p>
      <w:pPr>
        <w:pStyle w:val="Heading2"/>
        <w:spacing w:before="200" w:after="100"/>
      </w:pPr>
      <w:r>
        <w:t>9.3 Match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6"/>
              </w:rPr>
              <w:t>Class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b/>
                <w:sz w:val="16"/>
              </w:rPr>
              <w:t>Meaning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6"/>
              </w:rPr>
              <w:t>UI behavior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Likely duplicate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Very high text/context agreement and strong candidate evidence.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High-priority alert.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Possible overlap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Meaningful similarity but insufficient evidence for a duplicate claim.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Medium-priority investigation suggestion.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Unrelated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Candidate does not satisfy threshold.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No alert; optionally visible during investigation.</w:t>
            </w:r>
          </w:p>
        </w:tc>
      </w:tr>
    </w:tbl>
    <w:p/>
    <w:p>
      <w:pPr>
        <w:pStyle w:val="Heading1"/>
        <w:spacing w:before="200" w:after="100"/>
      </w:pPr>
      <w:r>
        <w:t>10. Evidence Fusion &amp; Risk Score</w:t>
      </w:r>
    </w:p>
    <w:p>
      <w:r>
        <w:t>The final risk score combines the four module outputs. The weights are fixed at first pass and are availability-normalized so missing data do not unfairly penalize or inflate a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r/>
            <w:r>
              <w:rPr>
                <w:b/>
                <w:sz w:val="17"/>
              </w:rPr>
              <w:t>Module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Base weight</w:t>
            </w:r>
          </w:p>
        </w:tc>
      </w:tr>
      <w:tr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Peer Benchmarking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30%</w:t>
            </w:r>
          </w:p>
        </w:tc>
      </w:tr>
      <w:tr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Statistical Outliers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25%</w:t>
            </w:r>
          </w:p>
        </w:tc>
      </w:tr>
      <w:tr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Financial–Execution Mismatch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30%</w:t>
            </w:r>
          </w:p>
        </w:tc>
      </w:tr>
      <w:tr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Duplicate/Overlap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15%</w:t>
            </w:r>
          </w:p>
        </w:tc>
      </w:tr>
    </w:tbl>
    <w:p/>
    <w:p>
      <w:r>
        <w:t>Formula: Risk Score = Σ(available module score × module weight) / Σ(available module weights). Clamp final score to 0–100.</w:t>
      </w:r>
    </w:p>
    <w:p>
      <w:r>
        <w:t>Example: if only Peer, Statistical and Mismatch are available, divide by 30+25+30 = 85 rather than by 100.</w:t>
      </w:r>
    </w:p>
    <w:p>
      <w:pPr>
        <w:pStyle w:val="Heading2"/>
        <w:spacing w:before="200" w:after="100"/>
      </w:pPr>
      <w:r>
        <w:t>10.1 First-pass severity bands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6"/>
              </w:rPr>
              <w:t>Risk score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6"/>
              </w:rPr>
              <w:t>Label</w:t>
            </w:r>
          </w:p>
        </w:tc>
        <w:tc>
          <w:tcPr>
            <w:tcW w:type="dxa" w:w="6048"/>
            <w:vAlign w:val="center"/>
            <w:shd w:fill="D9EAF7"/>
          </w:tcPr>
          <w:p>
            <w:r/>
            <w:r>
              <w:rPr>
                <w:b/>
                <w:sz w:val="16"/>
              </w:rPr>
              <w:t>Meaning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0–29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No strong multi-signal evidence.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30–59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One or more meaningful anomalies; review context.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60–79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Multiple or strong independent signals; prioritize investigation.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80–100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Strong convergence of evidence; urgent investigation candidate, not a fraud verdict.</w:t>
            </w:r>
          </w:p>
        </w:tc>
      </w:tr>
    </w:tbl>
    <w:p/>
    <w:p>
      <w:pPr>
        <w:pStyle w:val="Heading2"/>
        <w:spacing w:before="200" w:after="100"/>
      </w:pPr>
      <w:r>
        <w:t>10.2 Confidence is separate from risk</w:t>
      </w:r>
    </w:p>
    <w:p>
      <w:r>
        <w:t>Risk measures how anomalous/suspicious the evidence is. Confidence measures how trustworthy the evidence source is. They must remain separate in the UI so a high-risk proxy does not look like a proven finding.</w:t>
      </w:r>
    </w:p>
    <w:p>
      <w:pPr>
        <w:pStyle w:val="Heading1"/>
        <w:spacing w:before="200" w:after="100"/>
      </w:pPr>
      <w:r>
        <w:t>11. Investigation Evidence Object</w:t>
      </w:r>
    </w:p>
    <w:p>
      <w:r>
        <w:t>Every selected work should produce a structured evidence payload that the UI can render directly.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vAlign w:val="center"/>
            <w:shd w:fill="D9EAF7"/>
          </w:tcPr>
          <w:p>
            <w:r/>
            <w:r>
              <w:rPr>
                <w:b/>
                <w:sz w:val="15"/>
              </w:rPr>
              <w:t>Field</w:t>
            </w:r>
          </w:p>
        </w:tc>
        <w:tc>
          <w:tcPr>
            <w:tcW w:type="dxa" w:w="7344"/>
            <w:vAlign w:val="center"/>
            <w:shd w:fill="D9EAF7"/>
          </w:tcPr>
          <w:p>
            <w:r/>
            <w:r>
              <w:rPr>
                <w:b/>
                <w:sz w:val="15"/>
              </w:rPr>
              <w:t>Example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5"/>
              </w:rPr>
              <w:t>work_id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5"/>
              </w:rPr>
              <w:t>WS/MP18002/2025-2026/219710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5"/>
              </w:rPr>
              <w:t>risk_score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5"/>
              </w:rPr>
              <w:t>87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5"/>
              </w:rPr>
              <w:t>risk_label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5"/>
              </w:rPr>
              <w:t>available_modules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5"/>
              </w:rPr>
              <w:t>Peer, Statistical, Mismatch, Duplicate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5"/>
              </w:rPr>
              <w:t>module_scores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5"/>
              </w:rPr>
              <w:t>Peer 91; Statistical 74; Mismatch 86; Duplicate 79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5"/>
              </w:rPr>
              <w:t>coverage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5"/>
              </w:rPr>
              <w:t>4/4 modules available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5"/>
              </w:rPr>
              <w:t>peer_evidence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5"/>
              </w:rPr>
              <w:t>2.1× peer median; 95th percentile; 41 peers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5"/>
              </w:rPr>
              <w:t>outlier_evidence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5"/>
              </w:rPr>
              <w:t>Amount and elapsed time in upper tail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5"/>
              </w:rPr>
              <w:t>mismatch_evidence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5"/>
              </w:rPr>
              <w:t>Level 2: elapsed time 1.8× peer median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5"/>
              </w:rPr>
              <w:t>duplicate_evidence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5"/>
              </w:rPr>
              <w:t>0.91 text similarity with candidate X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5"/>
              </w:rPr>
              <w:t>confidence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5"/>
              </w:rPr>
              <w:t>High for time; Medium for exact completion linkage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5"/>
              </w:rPr>
              <w:t>match_method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5"/>
              </w:rPr>
              <w:t>exact / approximate / none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5"/>
              </w:rPr>
              <w:t>warnings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5"/>
              </w:rPr>
              <w:t>Any join conflict, missing date, or proxy caveat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5"/>
              </w:rPr>
              <w:t>recommendation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5"/>
              </w:rPr>
              <w:t>Review sanction, implementation timeline, completion evidence and supporting records</w:t>
            </w:r>
          </w:p>
        </w:tc>
      </w:tr>
    </w:tbl>
    <w:p/>
    <w:p>
      <w:pPr>
        <w:pStyle w:val="Heading1"/>
        <w:spacing w:before="200" w:after="100"/>
      </w:pPr>
      <w:r>
        <w:t>12. Data Coverage &amp; Honesty Layer</w:t>
      </w:r>
    </w:p>
    <w:p>
      <w:r>
        <w:t>Coverage reporting is a first-class feature, not a footnote. It tells the judge and investigator where the real data supports each engine.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600"/>
            <w:vAlign w:val="center"/>
            <w:shd w:fill="D9EAF7"/>
          </w:tcPr>
          <w:p>
            <w:r/>
            <w:r>
              <w:rPr>
                <w:b/>
                <w:sz w:val="16"/>
              </w:rPr>
              <w:t>Metric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b/>
                <w:sz w:val="16"/>
              </w:rPr>
              <w:t>Example display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Peer coverage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Peer Benchmarking available for 88% of records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Statistical coverage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Statistical Outlier engine available for 92%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Mismatch Level 1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Observed financial data 14%; proxy evidence 61%; unavailable 25%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Mismatch Level 2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Time evidence available for 74%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Level 3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Physical progress available 0% in current public dataset — not simulated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Exact join coverage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22567 → 22566 exact key match = X% after validation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Approximate match coverage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Used for Y% only when exact key absent; clearly labeled low/medium confidence</w:t>
            </w:r>
          </w:p>
        </w:tc>
      </w:tr>
    </w:tbl>
    <w:p/>
    <w:p>
      <w:pPr>
        <w:pStyle w:val="Heading1"/>
        <w:spacing w:before="200" w:after="100"/>
      </w:pPr>
      <w:r>
        <w:t>13. Optional Cheap Add-ons — Only After 4 Core Engines 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168"/>
            <w:vAlign w:val="center"/>
            <w:shd w:fill="D9EAF7"/>
          </w:tcPr>
          <w:p>
            <w:r/>
            <w:r>
              <w:rPr>
                <w:b/>
                <w:sz w:val="16"/>
              </w:rPr>
              <w:t>Add-on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6"/>
              </w:rPr>
              <w:t>Placement</w:t>
            </w:r>
          </w:p>
        </w:tc>
        <w:tc>
          <w:tcPr>
            <w:tcW w:type="dxa" w:w="4464"/>
            <w:vAlign w:val="center"/>
            <w:shd w:fill="D9EAF7"/>
          </w:tcPr>
          <w:p>
            <w:r/>
            <w:r>
              <w:rPr>
                <w:b/>
                <w:sz w:val="16"/>
              </w:rPr>
              <w:t>Rule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Threshold-splitting detector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Statistical / forensic rules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Flag clusters of recommendations/sanctions near a known approval threshold; only when the relevant threshold is documented.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Invalid work-category detector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Eligibility/rules layer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Compare work category/name against the official MPLADS permitted/barred category rules. Never label as fraud; label as eligibility review.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Reviewer feedback capture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UI only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Allow reviewer disposal label for future learning; do not build a trained feedback model in the 48-hour prototype.</w:t>
            </w:r>
          </w:p>
        </w:tc>
      </w:tr>
    </w:tbl>
    <w:p/>
    <w:p>
      <w:r>
        <w:t>Benford’s Law is explicitly not a core detector in this build because the confirmed data lacks the bill-level granularity required for a strong bill-value test.</w:t>
      </w:r>
    </w:p>
    <w:p>
      <w:pPr>
        <w:pStyle w:val="Heading1"/>
        <w:spacing w:before="200" w:after="100"/>
      </w:pPr>
      <w:r>
        <w:t>14. Tech Stack — Locked and Deliberately Simple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6"/>
              </w:rPr>
              <w:t>Layer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b/>
                <w:sz w:val="16"/>
              </w:rPr>
              <w:t>Technology</w:t>
            </w:r>
          </w:p>
        </w:tc>
        <w:tc>
          <w:tcPr>
            <w:tcW w:type="dxa" w:w="4752"/>
            <w:vAlign w:val="center"/>
            <w:shd w:fill="D9EAF7"/>
          </w:tcPr>
          <w:p>
            <w:r/>
            <w:r>
              <w:rPr>
                <w:b/>
                <w:sz w:val="16"/>
              </w:rPr>
              <w:t>Use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Language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Python 3.11+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Entire data/scoring/application stack.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Data wrangling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pandas + NumPy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Cleaning, feature engineering, aggregation.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Storage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Parquet via PyArrow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Fast local analytics and reproducible cached datasets.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Statistics / utilities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SciPy / scikit-learn utilities as needed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Percentiles, distance helpers, deterministic statistical calculations.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Text embeddings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sentence-transformers — all-MiniLM-L6-v2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Duplicate/overlap semantic similarity.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Fuzzy matching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RapidFuzz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Agency/entity normalization and approximate candidate matching.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Visualization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Plotly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Interactive distributions, peer comparisons, score explanations.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Application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Streamlit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Single-file-friendly rapid demo UI with filters and investigation view.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Packaging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requirements.txt + config.toml/.yaml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Pinned dependencies and thresholds/weights.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Testing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pytest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Small deterministic tests for formulas, joins, fallbacks and scoring.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Versioning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Git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Commit data schema, code and configuration changes; do not commit raw restricted files if policy forbids.</w:t>
            </w:r>
          </w:p>
        </w:tc>
      </w:tr>
    </w:tbl>
    <w:p/>
    <w:p>
      <w:pPr>
        <w:pStyle w:val="Heading1"/>
        <w:spacing w:before="200" w:after="100"/>
      </w:pPr>
      <w:r>
        <w:t>15. Project Structure</w:t>
      </w:r>
    </w:p>
    <w:p>
      <w:r>
        <w:rPr>
          <w:rFonts w:ascii="Consolas" w:hAnsi="Consolas"/>
          <w:sz w:val="16"/>
        </w:rPr>
        <w:t>mplads-risk-engine/</w:t>
        <w:br/>
        <w:t>|-- app.py</w:t>
        <w:br/>
        <w:t>|-- requirements.txt</w:t>
        <w:br/>
        <w:t>|-- README.md</w:t>
        <w:br/>
        <w:t>|-- config/</w:t>
        <w:br/>
        <w:t>|   |-- scoring.yaml</w:t>
        <w:br/>
        <w:t>|   |-- thresholds.yaml</w:t>
        <w:br/>
        <w:t>|-- data/</w:t>
        <w:br/>
        <w:t>|   |-- raw/</w:t>
        <w:br/>
        <w:t>|   |-- processed/</w:t>
        <w:br/>
        <w:t>|   |-- cache/</w:t>
        <w:br/>
        <w:t>|-- src/</w:t>
        <w:br/>
        <w:t>|   |-- ingestion.py</w:t>
        <w:br/>
        <w:t>|   |-- validation.py</w:t>
        <w:br/>
        <w:t>|   |-- canonical.py</w:t>
        <w:br/>
        <w:t>|   |-- joins.py</w:t>
        <w:br/>
        <w:t>|   |-- peer_benchmark.py</w:t>
        <w:br/>
        <w:t>|   |-- statistical_outliers.py</w:t>
        <w:br/>
        <w:t>|   |-- mismatch.py</w:t>
        <w:br/>
        <w:t>|   |-- duplicate_overlap.py</w:t>
        <w:br/>
        <w:t>|   |-- fusion.py</w:t>
        <w:br/>
        <w:t>|   |-- evidence.py</w:t>
        <w:br/>
        <w:t>|   |-- coverage.py</w:t>
        <w:br/>
        <w:t>|   |-- rules.py</w:t>
        <w:br/>
        <w:t>|   |-- ui_helpers.py</w:t>
        <w:br/>
        <w:t>|-- tests/</w:t>
        <w:br/>
        <w:t>|   |-- test_scoring.py</w:t>
        <w:br/>
        <w:t>|   |-- test_join_validation.py</w:t>
        <w:br/>
        <w:t>|   |-- test_peer_fallback.py</w:t>
        <w:br/>
        <w:t>|   |-- test_duplicate_blocking.py</w:t>
        <w:br/>
        <w:t>|-- artifacts/</w:t>
        <w:br/>
        <w:t>|   |-- screenshots/</w:t>
        <w:br/>
        <w:t>|   |-- demo_outputs/</w:t>
        <w:br/>
      </w:r>
    </w:p>
    <w:p>
      <w:pPr>
        <w:pStyle w:val="Heading1"/>
        <w:spacing w:before="200" w:after="100"/>
      </w:pPr>
      <w:r>
        <w:t>16. End-to-End Execution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098721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98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60"/>
      </w:pPr>
      <w:r>
        <w:t>Load raw files and source manifest.</w:t>
      </w:r>
    </w:p>
    <w:p>
      <w:pPr>
        <w:pStyle w:val="ListNumber"/>
        <w:spacing w:after="60"/>
      </w:pPr>
      <w:r>
        <w:t>Profile row counts, null rates, unique counts and data types.</w:t>
      </w:r>
    </w:p>
    <w:p>
      <w:pPr>
        <w:pStyle w:val="ListNumber"/>
        <w:spacing w:after="60"/>
      </w:pPr>
      <w:r>
        <w:t>Normalize fields and create canonical work layer.</w:t>
      </w:r>
    </w:p>
    <w:p>
      <w:pPr>
        <w:pStyle w:val="ListNumber"/>
        <w:spacing w:after="60"/>
      </w:pPr>
      <w:r>
        <w:t>Validate unique_work_number population and exact-join coverage.</w:t>
      </w:r>
    </w:p>
    <w:p>
      <w:pPr>
        <w:pStyle w:val="ListNumber"/>
        <w:spacing w:after="60"/>
      </w:pPr>
      <w:r>
        <w:t>Build peer cohorts with fallback ladder.</w:t>
      </w:r>
    </w:p>
    <w:p>
      <w:pPr>
        <w:pStyle w:val="ListNumber"/>
        <w:spacing w:after="60"/>
      </w:pPr>
      <w:r>
        <w:t>Run Peer Benchmarking.</w:t>
      </w:r>
    </w:p>
    <w:p>
      <w:pPr>
        <w:pStyle w:val="ListNumber"/>
        <w:spacing w:after="60"/>
      </w:pPr>
      <w:r>
        <w:t>Run Statistical Outlier Detection.</w:t>
      </w:r>
    </w:p>
    <w:p>
      <w:pPr>
        <w:pStyle w:val="ListNumber"/>
        <w:spacing w:after="60"/>
      </w:pPr>
      <w:r>
        <w:t>Run Financial–Execution Mismatch hierarchy using only available evidence.</w:t>
      </w:r>
    </w:p>
    <w:p>
      <w:pPr>
        <w:pStyle w:val="ListNumber"/>
        <w:spacing w:after="60"/>
      </w:pPr>
      <w:r>
        <w:t>Run blocked Duplicate/Overlap detection.</w:t>
      </w:r>
    </w:p>
    <w:p>
      <w:pPr>
        <w:pStyle w:val="ListNumber"/>
        <w:spacing w:after="60"/>
      </w:pPr>
      <w:r>
        <w:t>Assemble evidence objects and coverage metrics.</w:t>
      </w:r>
    </w:p>
    <w:p>
      <w:pPr>
        <w:pStyle w:val="ListNumber"/>
        <w:spacing w:after="60"/>
      </w:pPr>
      <w:r>
        <w:t>Fuse available module scores using 30/25/30/15 weights.</w:t>
      </w:r>
    </w:p>
    <w:p>
      <w:pPr>
        <w:pStyle w:val="ListNumber"/>
        <w:spacing w:after="60"/>
      </w:pPr>
      <w:r>
        <w:t>Render investigation UI: score, evidence, comparisons, warnings, coverage and recommended next checks.</w:t>
      </w:r>
    </w:p>
    <w:p>
      <w:pPr>
        <w:pStyle w:val="Heading1"/>
        <w:spacing w:before="200" w:after="100"/>
      </w:pPr>
      <w:r>
        <w:t>17. Streamlit Application — Exact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6"/>
              </w:rPr>
              <w:t>Screen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b/>
                <w:sz w:val="16"/>
              </w:rPr>
              <w:t>Elements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A. Overview / Command Center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Total works; high/critical count; average risk; module coverage; filters by state/district/constituency/category/status.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B. Risk Queue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Sortable table with work ID, MP, district, category, risk score, severity, module flags, confidence, match method.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C. Work Investigation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Selected work summary; 0–100 score; module contribution cards; evidence text; peer cohort size; duplicate candidate list; mismatch level/confidence; coverage.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D. Peer Detail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Selected work vs peer median/IQR/percentile; cohort composition and fallback level.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E. Duplicate Detail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Candidate pairs with semantic similarity, entity similarity and locality context; class = likely duplicate / possible overlap / unrelated.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F. Data Quality / Coverage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ID population, exact join coverage, missing dates, module availability, approximate-match share, source snapshots.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G. Methodology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Short plain-language explanation of all four engines, weights, evidence hierarchy and caveats.</w:t>
            </w:r>
          </w:p>
        </w:tc>
      </w:tr>
    </w:tbl>
    <w:p/>
    <w:p>
      <w:pPr>
        <w:pStyle w:val="Heading1"/>
        <w:spacing w:before="200" w:after="100"/>
      </w:pPr>
      <w:r>
        <w:t>18. What a Judge Should See in the Main Demo</w:t>
      </w:r>
    </w:p>
    <w:p>
      <w:r>
        <w:t>The demo should revolve around one real work and tell an investigation story rather than showing a generic dashboard.</w:t>
      </w:r>
    </w:p>
    <w:p>
      <w:pPr>
        <w:pStyle w:val="ListNumber"/>
        <w:spacing w:after="60"/>
      </w:pPr>
      <w:r>
        <w:t>Select one real MPLADS work from the queue.</w:t>
      </w:r>
    </w:p>
    <w:p>
      <w:pPr>
        <w:pStyle w:val="ListNumber"/>
        <w:spacing w:after="60"/>
      </w:pPr>
      <w:r>
        <w:t>Show the 0–100 risk score and severity.</w:t>
      </w:r>
    </w:p>
    <w:p>
      <w:pPr>
        <w:pStyle w:val="ListNumber"/>
        <w:spacing w:after="60"/>
      </w:pPr>
      <w:r>
        <w:t>Show four module cards and the independent evidence each produced.</w:t>
      </w:r>
    </w:p>
    <w:p>
      <w:pPr>
        <w:pStyle w:val="ListNumber"/>
        <w:spacing w:after="60"/>
      </w:pPr>
      <w:r>
        <w:t>Zoom into peer evidence: “2.1× peer median, 95th percentile, 41 comparable works.”</w:t>
      </w:r>
    </w:p>
    <w:p>
      <w:pPr>
        <w:pStyle w:val="ListNumber"/>
        <w:spacing w:after="60"/>
      </w:pPr>
      <w:r>
        <w:t>Show mismatch evidence with the correct confidence label (proxy / observed / high-confidence time evidence).</w:t>
      </w:r>
    </w:p>
    <w:p>
      <w:pPr>
        <w:pStyle w:val="ListNumber"/>
        <w:spacing w:after="60"/>
      </w:pPr>
      <w:r>
        <w:t>Show a duplicate/overlap candidate and its similarity evidence.</w:t>
      </w:r>
    </w:p>
    <w:p>
      <w:pPr>
        <w:pStyle w:val="ListNumber"/>
        <w:spacing w:after="60"/>
      </w:pPr>
      <w:r>
        <w:t>Show coverage and join validation numbers so the data story is transparent.</w:t>
      </w:r>
    </w:p>
    <w:p>
      <w:pPr>
        <w:pStyle w:val="ListNumber"/>
        <w:spacing w:after="60"/>
      </w:pPr>
      <w:r>
        <w:t>Finish with “Recommended investigation checks” rather than “Fraud detected.”</w:t>
      </w:r>
    </w:p>
    <w:p>
      <w:pPr>
        <w:pStyle w:val="Heading1"/>
        <w:spacing w:before="200" w:after="100"/>
      </w:pPr>
      <w:r>
        <w:t>19. Testing &amp; Validation Before Demo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6"/>
              </w:rPr>
              <w:t>Test</w:t>
            </w:r>
          </w:p>
        </w:tc>
        <w:tc>
          <w:tcPr>
            <w:tcW w:type="dxa" w:w="6768"/>
            <w:vAlign w:val="center"/>
            <w:shd w:fill="D9EAF7"/>
          </w:tcPr>
          <w:p>
            <w:r/>
            <w:r>
              <w:rPr>
                <w:b/>
                <w:sz w:val="16"/>
              </w:rPr>
              <w:t>Must pass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Data schema test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Expected columns present after normalization.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Numeric parsing test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Monetary strings convert correctly and raw values are preserved.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Date parsing test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No silent date shifts; parse failures reported.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Unique ID test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NA / blank values never treated as real IDs.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Exact join test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No accidental many-to-many merge; match rate recorded.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Peer fallback test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District → state → national fallback never returns an empty cohort silently.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Statistical test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Known synthetic examples produce expected IQR/percentile severity.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Mismatch test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Level 1/2/3 are mutually understandable and confidence labels are correct.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Duplicate blocking test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All-pairs comparison is not used on the full dataset.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Fusion test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Weights renormalize correctly when modules are missing.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Explainability test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Every nonzero module score has a human-readable evidence string.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No-fabrication test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No GPS, physical-progress %, expenditure or vendor value is invented.</w:t>
            </w:r>
          </w:p>
        </w:tc>
      </w:tr>
    </w:tbl>
    <w:p/>
    <w:p>
      <w:pPr>
        <w:pStyle w:val="Heading1"/>
        <w:spacing w:before="200" w:after="100"/>
      </w:pPr>
      <w:r>
        <w:t>20. 48-Hour Build Order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636855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36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60"/>
      </w:pPr>
      <w:r>
        <w:t>Hour 0–3: acquire datasets, profile schemas, validate ID populations, create canonical schema.</w:t>
      </w:r>
    </w:p>
    <w:p>
      <w:pPr>
        <w:pStyle w:val="ListNumber"/>
        <w:spacing w:after="60"/>
      </w:pPr>
      <w:r>
        <w:t>Hour 3–9: build Peer Benchmarking + cohort fallback and verify real outputs.</w:t>
      </w:r>
    </w:p>
    <w:p>
      <w:pPr>
        <w:pStyle w:val="ListNumber"/>
        <w:spacing w:after="60"/>
      </w:pPr>
      <w:r>
        <w:t>Hour 9–14: build mismatch hierarchy using actual available dates/financial evidence; implement exact and guarded fallback matching.</w:t>
      </w:r>
    </w:p>
    <w:p>
      <w:pPr>
        <w:pStyle w:val="ListNumber"/>
        <w:spacing w:after="60"/>
      </w:pPr>
      <w:r>
        <w:t>Hour 14–20: build blocked duplicate/overlap engine.</w:t>
      </w:r>
    </w:p>
    <w:p>
      <w:pPr>
        <w:pStyle w:val="ListNumber"/>
        <w:spacing w:after="60"/>
      </w:pPr>
      <w:r>
        <w:t>Hour 20–25: build Statistical Outlier engine and module normalization.</w:t>
      </w:r>
    </w:p>
    <w:p>
      <w:pPr>
        <w:pStyle w:val="ListNumber"/>
        <w:spacing w:after="60"/>
      </w:pPr>
      <w:r>
        <w:t>Hour 25–30: build fusion, evidence objects and coverage reporting.</w:t>
      </w:r>
    </w:p>
    <w:p>
      <w:pPr>
        <w:pStyle w:val="ListNumber"/>
        <w:spacing w:after="60"/>
      </w:pPr>
      <w:r>
        <w:t>Hour 30–38: Streamlit command center, risk queue and work investigation view.</w:t>
      </w:r>
    </w:p>
    <w:p>
      <w:pPr>
        <w:pStyle w:val="ListNumber"/>
        <w:spacing w:after="60"/>
      </w:pPr>
      <w:r>
        <w:t>Hour 38–43: methodology/data-quality pages, polish and judge-facing language.</w:t>
      </w:r>
    </w:p>
    <w:p>
      <w:pPr>
        <w:pStyle w:val="ListNumber"/>
        <w:spacing w:after="60"/>
      </w:pPr>
      <w:r>
        <w:t>Hour 43–48: testing, demo path hardening, screenshots, backup data/cache, final rehearsal.</w:t>
      </w:r>
    </w:p>
    <w:p>
      <w:pPr>
        <w:pStyle w:val="Heading1"/>
        <w:spacing w:before="200" w:after="100"/>
      </w:pPr>
      <w:r>
        <w:t>21. Locked Exclusions / Non-Negotiables</w:t>
      </w:r>
    </w:p>
    <w:p>
      <w:pPr>
        <w:pStyle w:val="ListBullet"/>
        <w:spacing w:after="60"/>
      </w:pPr>
      <w:r>
        <w:t>No Isolation Forest as a primary detector.</w:t>
      </w:r>
    </w:p>
    <w:p>
      <w:pPr>
        <w:pStyle w:val="ListBullet"/>
        <w:spacing w:after="60"/>
      </w:pPr>
      <w:r>
        <w:t>No SHAP layer; scoring logic is already transparent.</w:t>
      </w:r>
    </w:p>
    <w:p>
      <w:pPr>
        <w:pStyle w:val="ListBullet"/>
        <w:spacing w:after="60"/>
      </w:pPr>
      <w:r>
        <w:t>No GPS/latitude/longitude matching.</w:t>
      </w:r>
    </w:p>
    <w:p>
      <w:pPr>
        <w:pStyle w:val="ListBullet"/>
        <w:spacing w:after="60"/>
      </w:pPr>
      <w:r>
        <w:t>No vendor concentration detector as a core engine.</w:t>
      </w:r>
    </w:p>
    <w:p>
      <w:pPr>
        <w:pStyle w:val="ListBullet"/>
        <w:spacing w:after="60"/>
      </w:pPr>
      <w:r>
        <w:t>No fiscal year-end payment burst detector.</w:t>
      </w:r>
    </w:p>
    <w:p>
      <w:pPr>
        <w:pStyle w:val="ListBullet"/>
        <w:spacing w:after="60"/>
      </w:pPr>
      <w:r>
        <w:t>No survival/forecasting completion model.</w:t>
      </w:r>
    </w:p>
    <w:p>
      <w:pPr>
        <w:pStyle w:val="ListBullet"/>
        <w:spacing w:after="60"/>
      </w:pPr>
      <w:r>
        <w:t>No Benford’s Law as a core detector.</w:t>
      </w:r>
    </w:p>
    <w:p>
      <w:pPr>
        <w:pStyle w:val="ListBullet"/>
        <w:spacing w:after="60"/>
      </w:pPr>
      <w:r>
        <w:t>No synthetic physical-progress percentages.</w:t>
      </w:r>
    </w:p>
    <w:p>
      <w:pPr>
        <w:pStyle w:val="ListBullet"/>
        <w:spacing w:after="60"/>
      </w:pPr>
      <w:r>
        <w:t>No fabricated project-level expenditure joins from dataset 22565.</w:t>
      </w:r>
    </w:p>
    <w:p>
      <w:pPr>
        <w:pStyle w:val="ListBullet"/>
        <w:spacing w:after="60"/>
      </w:pPr>
      <w:r>
        <w:t>No architecture expansion before the four core engines work end-to-end.</w:t>
      </w:r>
    </w:p>
    <w:p>
      <w:pPr>
        <w:pStyle w:val="Heading1"/>
        <w:spacing w:before="200" w:after="100"/>
      </w:pPr>
      <w:r>
        <w:t>22. Configuration Defaults — First-Pass Locked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472"/>
            <w:vAlign w:val="center"/>
            <w:shd w:fill="D9EAF7"/>
          </w:tcPr>
          <w:p>
            <w:r/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b/>
                <w:sz w:val="16"/>
              </w:rPr>
              <w:t>Default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Peer weight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0.30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Statistical weight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0.25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Mismatch weight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0.30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Duplicate weight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0.15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Minimum preferred peer cohort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Risk bands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0–29 Low; 30–59 Medium; 60–79 High; 80–100 Critical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Confidence — Level 1 proxy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Confidence — Level 1 observed financial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Confidence — Level 2 time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Confidence — Level 3 actual physical progress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VERY HIGH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Primary anomaly method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IQR / percentile / robust deterministic rules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Primary duplicate model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all-MiniLM-L6-v2 + RapidFuzz + blocking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Primary UI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Streamlit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b w:val="0"/>
                <w:sz w:val="16"/>
              </w:rPr>
              <w:t>Primary local storage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Parquet</w:t>
            </w:r>
          </w:p>
        </w:tc>
      </w:tr>
    </w:tbl>
    <w:p/>
    <w:p>
      <w:r>
        <w:t>All weight values are configuration-driven so tuning can happen without changing architecture. Tuning may change thresholds/weights after validation, but it must not introduce new core engines during the 48-hour build.</w:t>
      </w:r>
    </w:p>
    <w:p>
      <w:pPr>
        <w:pStyle w:val="Heading1"/>
        <w:spacing w:before="200" w:after="100"/>
      </w:pPr>
      <w:r>
        <w:t>23. Source Verification Notes</w:t>
      </w:r>
    </w:p>
    <w:p>
      <w:r>
        <w:t>The following external sources were checked during preparation of this architecture. URLs are provided for reproducibility and should be captured in README.md as well.</w:t>
      </w:r>
    </w:p>
    <w:p>
      <w:pPr>
        <w:spacing w:after="40"/>
      </w:pPr>
      <w:r>
        <w:rPr>
          <w:b/>
        </w:rPr>
        <w:t xml:space="preserve">S1 — Dataful dataset 22567 — 18th Lok Sabha Recommended Works: </w:t>
      </w:r>
      <w:r>
        <w:t>https://dataful.in/datasets/22567/</w:t>
      </w:r>
    </w:p>
    <w:p>
      <w:pPr>
        <w:spacing w:after="40"/>
      </w:pPr>
      <w:r>
        <w:rPr>
          <w:b/>
        </w:rPr>
        <w:t xml:space="preserve">S2 — Dataful dataset 22566 — 18th Lok Sabha Completed Works: </w:t>
      </w:r>
      <w:r>
        <w:t>https://dataful.in/datasets/22566/</w:t>
      </w:r>
    </w:p>
    <w:p>
      <w:pPr>
        <w:spacing w:after="40"/>
      </w:pPr>
      <w:r>
        <w:rPr>
          <w:b/>
        </w:rPr>
        <w:t xml:space="preserve">S3 — Dataful dataset 22565 — 18th Lok Sabha Vendor-level Expenditure: </w:t>
      </w:r>
      <w:r>
        <w:t>https://dataful.in/datasets/22565/</w:t>
      </w:r>
    </w:p>
    <w:p>
      <w:pPr>
        <w:spacing w:after="40"/>
      </w:pPr>
      <w:r>
        <w:rPr>
          <w:b/>
        </w:rPr>
        <w:t xml:space="preserve">S4 — Dataful dataset 18533 — 17th Lok Sabha MPLADS Works and Funds Sanctioned: </w:t>
      </w:r>
      <w:r>
        <w:t>https://dataful.in/datasets/18533/</w:t>
      </w:r>
    </w:p>
    <w:p>
      <w:pPr>
        <w:spacing w:after="40"/>
      </w:pPr>
      <w:r>
        <w:rPr>
          <w:b/>
        </w:rPr>
        <w:t xml:space="preserve">S5 — Official MPLADS Guidelines index: </w:t>
      </w:r>
      <w:r>
        <w:t>https://www.mplads.gov.in/mplads/En/2010-mplads-guidelines.aspx</w:t>
      </w:r>
    </w:p>
    <w:p>
      <w:pPr>
        <w:spacing w:after="40"/>
      </w:pPr>
      <w:r>
        <w:rPr>
          <w:b/>
        </w:rPr>
        <w:t xml:space="preserve">S6 — Official MPLADS portal / WMS reports: </w:t>
      </w:r>
      <w:r>
        <w:t>https://mplads.gov.in/mplads/En/2010-mplads-guidelines.aspx</w:t>
      </w:r>
    </w:p>
    <w:p>
      <w:pPr>
        <w:pStyle w:val="Heading1"/>
        <w:spacing w:before="200" w:after="100"/>
      </w:pPr>
      <w:r>
        <w:t>24. Final Build Contract</w:t>
      </w:r>
    </w:p>
    <w:p>
      <w:r>
        <w:t>This document is the working contract for the prototype. The team may tune thresholds and fix data-handling bugs, but the four core engines, evidence-fusion architecture, real-data rule, confidence hierarchy, 30/25/30/15 base weights, blocked duplicate strategy, and locked exclusions are not reopened during the build window.</w:t>
      </w:r>
    </w:p>
    <w:p>
      <w:pPr>
        <w:jc w:val="center"/>
      </w:pPr>
      <w:r>
        <w:rPr>
          <w:b/>
          <w:sz w:val="24"/>
        </w:rPr>
        <w:t>REAL DATA → 4 EVIDENCE ENGINES → EXPLAINABLE RISK SCORE → INVESTIGATION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SIH 26102 | Internal implementation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5A5A"/>
        <w:sz w:val="16"/>
      </w:rPr>
      <w:t>MPLADS Risk Intelligence &amp; Investigation Engine | LOCKED BUILD SPEC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