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Health360 – Healthcare Analytics Dashboard</w:t>
      </w:r>
    </w:p>
    <w:p>
      <w:pPr>
        <w:jc w:val="center"/>
      </w:pPr>
      <w:r>
        <w:rPr>
          <w:b/>
        </w:rPr>
        <w:t>Dashboard Design</w:t>
      </w:r>
    </w:p>
    <w:p>
      <w:r>
        <w:t>Team ID: PNT2022TMIDxxxxxx (confirm exact ID)     Date: 27 October 2026</w:t>
      </w:r>
    </w:p>
    <w:p>
      <w:r>
        <w:t>Project data note: Synthetic/generated healthcare dataset, reported as 120,000 rows and 36 columns. Use for educational and descriptive analytics only; not for clinical diagnosis or treatment.</w:t>
      </w:r>
    </w:p>
    <w:p>
      <w:pPr>
        <w:pStyle w:val="Heading1"/>
      </w:pPr>
      <w:r>
        <w:t>Activity 1 — Interactive and visually appealing dashboard</w:t>
      </w:r>
    </w:p>
    <w:p>
      <w:r>
        <w:t>Design objective: present healthcare summaries in a single, readable Tableau dashboard, with clear KPIs, appropriate visuals, consistent theme, and usable filters. The provided project context identifies Tableau Desktop rather than Streamlit as the current dashboard tool.</w:t>
      </w:r>
    </w:p>
    <w:p>
      <w:pPr>
        <w:pStyle w:val="Heading1"/>
      </w:pPr>
      <w:r>
        <w:t>Recommended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Dashboard area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Recommended content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Design guidance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Header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Health360 — Healthcare Analytics Dashboard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Concise subtitle: “Exploratory analysis of synthetic healthcare data”; show refresh/source note only if known.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Filter rail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Gender, Age Group, Health Condition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Use compact dropdowns; keep default state obvious; include a clear reset option if implemented.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KPI row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Total Patients, Stroke Cases, Diabetes Cases, Heart Disease Cases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Large values, consistent number formatting; label whether each KPI counts unique patients or rows.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Primary analysis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Healthcare Analysis and condition comparison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Use horizontal bars for category comparisons; sort descending where useful; avoid unnecessary 3D visuals.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Secondary analysis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Glucose Cases, Dizziness, Alcohol Consumption, Fatigue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Use charts appropriate to the field type and actual categories; do not invent thresholds.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Footer / note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Data source and limitation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Clearly state synthetic data and no clinical use. Include data definitions or tooltip help if space allows.</w:t>
            </w:r>
          </w:p>
        </w:tc>
      </w:tr>
    </w:tbl>
    <w:p>
      <w:pPr>
        <w:pStyle w:val="Heading1"/>
      </w:pPr>
      <w:r>
        <w:t>Design checklist</w:t>
      </w:r>
    </w:p>
    <w:p>
      <w:pPr>
        <w:pStyle w:val="ListBullet"/>
      </w:pPr>
      <w:r>
        <w:t>Clear and intuitive layout with a visual hierarchy.</w:t>
      </w:r>
    </w:p>
    <w:p>
      <w:pPr>
        <w:pStyle w:val="ListBullet"/>
      </w:pPr>
      <w:r>
        <w:t>Use appropriate visualizations: KPI cards for single values, bars for category comparisons, histograms for numeric distributions when appropriate.</w:t>
      </w:r>
    </w:p>
    <w:p>
      <w:pPr>
        <w:pStyle w:val="ListBullet"/>
      </w:pPr>
      <w:r>
        <w:t>Use a restrained, consistent color palette; use warning colors only when their meaning is explicit.</w:t>
      </w:r>
    </w:p>
    <w:p>
      <w:pPr>
        <w:pStyle w:val="ListBullet"/>
      </w:pPr>
      <w:r>
        <w:t>Filters and slicers are connected to the intended sheets and tested together.</w:t>
      </w:r>
    </w:p>
    <w:p>
      <w:pPr>
        <w:pStyle w:val="ListBullet"/>
      </w:pPr>
      <w:r>
        <w:t>Tooltips explain metric meaning, unit, and counting rule.</w:t>
      </w:r>
    </w:p>
    <w:p>
      <w:pPr>
        <w:pStyle w:val="ListBullet"/>
      </w:pPr>
      <w:r>
        <w:t>Use drill-down only when supported by actual dimensions and a clear user task.</w:t>
      </w:r>
    </w:p>
    <w:p>
      <w:pPr>
        <w:pStyle w:val="ListBullet"/>
      </w:pPr>
      <w:r>
        <w:t>Check dashboard size and readability on the presentation screen; avoid clipped labels and unnecessary scrolling.</w:t>
      </w:r>
    </w:p>
    <w:p>
      <w:pPr>
        <w:pStyle w:val="ListBullet"/>
      </w:pPr>
      <w:r>
        <w:t>Use icons/infographics sparingly and only when they improve interpretation.</w:t>
      </w:r>
    </w:p>
    <w:p>
      <w:pPr>
        <w:pStyle w:val="ListBullet"/>
      </w:pPr>
      <w:r>
        <w:t>Include a synthetic-data disclaimer and avoid clinical claims.</w:t>
      </w:r>
    </w:p>
    <w:p>
      <w:pPr>
        <w:pStyle w:val="Heading1"/>
      </w:pPr>
      <w:r>
        <w:t>Major outcomes — evidence required</w:t>
      </w:r>
    </w:p>
    <w:p>
      <w:r>
        <w:t>The source template asks for major outcomes in bullet points. Numeric findings cannot be stated without inspecting the real Tableau dashboard values. Add five evidence-based outcomes after taking screenshots, for example the largest category, differences under filters, and the distribution of each condition, with exact values and context.</w:t>
      </w:r>
    </w:p>
    <w:p>
      <w:r>
        <w:t>Screenshots of the final dashboard were not embedded in this completed document; insert screenshots from Tableau before submission.</w:t>
      </w:r>
    </w:p>
    <w:p>
      <w:r>
        <w:rPr>
          <w:b/>
        </w:rPr>
        <w:br/>
        <w:t>Tableau Dashboard Link:</w:t>
        <w:br/>
      </w:r>
      <w:r>
        <w:t>https://public.tableau.com/app/profile/yashwant.pandey4346/viz/Healthproject_17931117655620/Dashboard1?publish=yes&amp;showOnboarding=true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