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Dashboard Design</w:t>
      </w:r>
    </w:p>
    <w:p>
      <w:r>
        <w:t>Team ID: PNT2022TMIDxxxxxx (confirm exact ID)     Date: 27 October 2026</w:t>
      </w:r>
    </w:p>
    <w:p>
      <w:r>
        <w:t>Dataset note: synthetic/generated healthcare dataset, reported as 120,000 rows and 36 columns. For educational and descriptive analytics only; not for clinical diagnosis or treatment.</w:t>
      </w:r>
    </w:p>
    <w:p>
      <w:pPr>
        <w:pStyle w:val="Heading1"/>
      </w:pPr>
      <w:r>
        <w:t>Activity 1 — Interactive and visually appealing dashboard</w:t>
      </w:r>
    </w:p>
    <w:p>
      <w:r>
        <w:t>The aim is to present validated healthcare summaries in a clear, consistent, interactive Tableau dashboard. The uploaded template lists clear layout, appropriate visualizations, color/theming, filters, drill-down, responsive design, custom visuals/icons, and infographics; the design below maps those principles to Health360.</w:t>
      </w:r>
    </w:p>
    <w:p>
      <w:pPr>
        <w:pStyle w:val="Heading1"/>
      </w:pPr>
      <w:r>
        <w:t>Recommended dashboard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Content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Design recommendation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Header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Health360 — Healthcare Analytics Dashboard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Add a short subtitle stating that the data is synthetic and for exploratory analysis.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Filter rail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Gender, Age Group, Health Condition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Use compact dropdowns; ensure filters target intended worksheets; include reset control if implemented.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KPI row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Total Patients, Stroke Cases, Diabetes Cases, Heart Disease Cases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Use consistent number formats and explicit definitions (unique patients vs. records).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Main analysis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Healthcare Analysis; condition comparisons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Use sorted bars for category comparisons; avoid 3D charts and clutter.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Supporting analysis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Glucose Cases, Dizziness, Alcohol Consumption, Fatigue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Choose histogram for numeric distributions and bars for categories, based on actual field types.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Footer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Source note, data limitation, definitions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Show synthetic-data disclaimer; include metric definitions and update date only if known.</w:t>
            </w:r>
          </w:p>
        </w:tc>
      </w:tr>
    </w:tbl>
    <w:p>
      <w:pPr>
        <w:pStyle w:val="Heading1"/>
      </w:pPr>
      <w:r>
        <w:t>Design principles checklist</w:t>
      </w:r>
    </w:p>
    <w:p>
      <w:pPr>
        <w:pStyle w:val="ListBullet"/>
      </w:pPr>
      <w:r>
        <w:t>Clear and intuitive layout: place title and filters consistently; prioritize high-value KPIs.</w:t>
      </w:r>
    </w:p>
    <w:p>
      <w:pPr>
        <w:pStyle w:val="ListBullet"/>
      </w:pPr>
      <w:r>
        <w:t>Appropriate visualizations: KPI cards for single measures, bars for categories, histogram for continuous numeric distributions where appropriate.</w:t>
      </w:r>
    </w:p>
    <w:p>
      <w:pPr>
        <w:pStyle w:val="ListBullet"/>
      </w:pPr>
      <w:r>
        <w:t>Color and theming: use a restrained palette with consistent meaning; ensure contrast and readable labels.</w:t>
      </w:r>
    </w:p>
    <w:p>
      <w:pPr>
        <w:pStyle w:val="ListBullet"/>
      </w:pPr>
      <w:r>
        <w:t>Interactive filters: test individual and combined selections and confirm intended worksheet scope.</w:t>
      </w:r>
    </w:p>
    <w:p>
      <w:pPr>
        <w:pStyle w:val="ListBullet"/>
      </w:pPr>
      <w:r>
        <w:t>Drill-down: add only where actual dimensions and user needs support a meaningful hierarchy.</w:t>
      </w:r>
    </w:p>
    <w:p>
      <w:pPr>
        <w:pStyle w:val="ListBullet"/>
      </w:pPr>
      <w:r>
        <w:t>Responsive design: check the workbook at the presentation/display size; prevent clipped labels and unnecessary scrolling.</w:t>
      </w:r>
    </w:p>
    <w:p>
      <w:pPr>
        <w:pStyle w:val="ListBullet"/>
      </w:pPr>
      <w:r>
        <w:t>Custom visuals and icons: use sparingly, only when they improve understanding.</w:t>
      </w:r>
    </w:p>
    <w:p>
      <w:pPr>
        <w:pStyle w:val="ListBullet"/>
      </w:pPr>
      <w:r>
        <w:t>Infographics: add only when they communicate a supported metric or definition.</w:t>
      </w:r>
    </w:p>
    <w:p>
      <w:pPr>
        <w:pStyle w:val="ListBullet"/>
      </w:pPr>
      <w:r>
        <w:t>Tooltips: describe measure, units, and counting rule.</w:t>
      </w:r>
    </w:p>
    <w:p>
      <w:pPr>
        <w:pStyle w:val="ListBullet"/>
      </w:pPr>
      <w:r>
        <w:t>Data ethics: clearly label the dataset synthetic and avoid medical advice or causal conclusions.</w:t>
      </w:r>
    </w:p>
    <w:p>
      <w:pPr>
        <w:pStyle w:val="Heading1"/>
      </w:pPr>
      <w:r>
        <w:t>Activity 2 — Tableau Public publication</w:t>
      </w:r>
    </w:p>
    <w:p>
      <w:r>
        <w:t>Publication status: not supplied. If you publish the workbook to Tableau Public, paste the real public dashboard URL here: ______________________________________________. Do not use the sample URL from the template as the project's own link.</w:t>
      </w:r>
    </w:p>
    <w:p>
      <w:pPr>
        <w:pStyle w:val="Heading1"/>
      </w:pPr>
      <w:r>
        <w:t>Major outcomes</w:t>
      </w:r>
    </w:p>
    <w:p>
      <w:r>
        <w:t>The template requests five bullet-point outcomes based on the dashboard. These cannot be verified without the actual dashboard values/screenshots. Add five findings after reviewing the final charts, including the metric value, filter context, and the limits of interpretation.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