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Noto Sans CJK SC" w:hAnsi="Noto Sans CJK SC" w:eastAsia="Noto Sans CJK SC"/>
          <w:b/>
          <w:color w:val="C79A3B"/>
          <w:sz w:val="32"/>
        </w:rPr>
        <w:t>PANGU2</w:t>
      </w:r>
    </w:p>
    <w:p>
      <w:pPr>
        <w:jc w:val="center"/>
      </w:pPr>
      <w:r>
        <w:rPr>
          <w:rFonts w:ascii="Noto Sans CJK SC" w:hAnsi="Noto Sans CJK SC" w:eastAsia="Noto Sans CJK SC"/>
          <w:b/>
          <w:color w:val="171A1F"/>
          <w:sz w:val="52"/>
        </w:rPr>
        <w:t>盘古2项目详细开发文档 V2.1</w:t>
      </w:r>
    </w:p>
    <w:p>
      <w:pPr>
        <w:jc w:val="center"/>
      </w:pPr>
      <w:r>
        <w:rPr>
          <w:rFonts w:ascii="Noto Sans CJK SC" w:hAnsi="Noto Sans CJK SC" w:eastAsia="Noto Sans CJK SC"/>
          <w:color w:val="6B7280"/>
          <w:sz w:val="24"/>
        </w:rPr>
        <w:t>PGBNB Hub · 智能合约 · 用户端DApp · 后端服务 · 运营管理端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C79A3B"/>
          <w:sz w:val="22"/>
        </w:rPr>
        <w:t>PGBNB Web3 Hub · pgbnb · hub/pangu2/</w:t>
      </w:r>
    </w:p>
    <w:p>
      <w:pPr>
        <w:spacing w:before="2000"/>
        <w:jc w:val="center"/>
      </w:pPr>
      <w:r>
        <w:rPr>
          <w:rFonts w:ascii="Noto Sans CJK SC" w:hAnsi="Noto Sans CJK SC" w:eastAsia="Noto Sans CJK SC"/>
          <w:color w:val="6B7280"/>
          <w:sz w:val="18"/>
        </w:rPr>
        <w:t>Document Status: BASELINE CANDIDATE  |  BSC MAINNET: NO-GO</w:t>
      </w:r>
    </w:p>
    <w:p>
      <w:r>
        <w:br w:type="page"/>
      </w:r>
    </w:p>
    <w:p>
      <w:pPr>
        <w:pStyle w:val="Heading1"/>
      </w:pPr>
      <w:r>
        <w:t>盘古2项目详细开发文档 V2.1-PGBNB</w:t>
      </w:r>
    </w:p>
    <w:p>
      <w:r>
        <w:rPr>
          <w:rFonts w:ascii="Noto Sans CJK SC" w:hAnsi="Noto Sans CJK SC" w:eastAsia="Noto Sans CJK SC"/>
          <w:b/>
          <w:sz w:val="21"/>
        </w:rPr>
        <w:t>文档日期：</w:t>
      </w:r>
      <w:r>
        <w:rPr>
          <w:rFonts w:ascii="Noto Sans CJK SC" w:hAnsi="Noto Sans CJK SC" w:eastAsia="Noto Sans CJK SC"/>
          <w:sz w:val="21"/>
        </w:rPr>
        <w:t xml:space="preserve"> 2026-08-01 </w:t>
      </w:r>
      <w:r>
        <w:rPr>
          <w:rFonts w:ascii="Noto Sans CJK SC" w:hAnsi="Noto Sans CJK SC" w:eastAsia="Noto Sans CJK SC"/>
          <w:b/>
          <w:sz w:val="21"/>
        </w:rPr>
        <w:t>Repository：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Fonts w:ascii="Noto Sans Mono CJK SC" w:hAnsi="Noto Sans Mono CJK SC" w:eastAsia="Noto Sans Mono CJK SC"/>
          <w:color w:val="7C3E00"/>
          <w:sz w:val="19"/>
        </w:rPr>
        <w:t>pandy123321/bnb-presale-minimal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Fonts w:ascii="Noto Sans CJK SC" w:hAnsi="Noto Sans CJK SC" w:eastAsia="Noto Sans CJK SC"/>
          <w:b/>
          <w:sz w:val="21"/>
        </w:rPr>
        <w:t>Base Branch：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Fonts w:ascii="Noto Sans Mono CJK SC" w:hAnsi="Noto Sans Mono CJK SC" w:eastAsia="Noto Sans Mono CJK SC"/>
          <w:color w:val="7C3E00"/>
          <w:sz w:val="19"/>
        </w:rPr>
        <w:t>pgbnb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Fonts w:ascii="Noto Sans CJK SC" w:hAnsi="Noto Sans CJK SC" w:eastAsia="Noto Sans CJK SC"/>
          <w:b/>
          <w:sz w:val="21"/>
        </w:rPr>
        <w:t>Project Root：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Fonts w:ascii="Noto Sans Mono CJK SC" w:hAnsi="Noto Sans Mono CJK SC" w:eastAsia="Noto Sans Mono CJK SC"/>
          <w:color w:val="7C3E00"/>
          <w:sz w:val="19"/>
        </w:rPr>
        <w:t>hub/pangu2/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Fonts w:ascii="Noto Sans CJK SC" w:hAnsi="Noto Sans CJK SC" w:eastAsia="Noto Sans CJK SC"/>
          <w:b/>
          <w:sz w:val="21"/>
        </w:rPr>
        <w:t>归档项目：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Fonts w:ascii="Noto Sans Mono CJK SC" w:hAnsi="Noto Sans Mono CJK SC" w:eastAsia="Noto Sans Mono CJK SC"/>
          <w:color w:val="7C3E00"/>
          <w:sz w:val="19"/>
        </w:rPr>
        <w:t>hub/pixiu1/</w:t>
      </w:r>
      <w:r>
        <w:rPr>
          <w:rFonts w:ascii="Noto Sans CJK SC" w:hAnsi="Noto Sans CJK SC" w:eastAsia="Noto Sans CJK SC"/>
          <w:sz w:val="21"/>
        </w:rPr>
        <w:t xml:space="preserve">（只读） </w:t>
      </w:r>
      <w:r>
        <w:rPr>
          <w:rFonts w:ascii="Noto Sans CJK SC" w:hAnsi="Noto Sans CJK SC" w:eastAsia="Noto Sans CJK SC"/>
          <w:b/>
          <w:sz w:val="21"/>
        </w:rPr>
        <w:t>目标环境：</w:t>
      </w:r>
      <w:r>
        <w:rPr>
          <w:rFonts w:ascii="Noto Sans CJK SC" w:hAnsi="Noto Sans CJK SC" w:eastAsia="Noto Sans CJK SC"/>
          <w:sz w:val="21"/>
        </w:rPr>
        <w:t xml:space="preserve"> LOCAL、CI、BSC_TESTNET、STAGING </w:t>
      </w:r>
      <w:r>
        <w:rPr>
          <w:rFonts w:ascii="Noto Sans CJK SC" w:hAnsi="Noto Sans CJK SC" w:eastAsia="Noto Sans CJK SC"/>
          <w:b/>
          <w:sz w:val="21"/>
        </w:rPr>
        <w:t>生产状态：</w:t>
      </w:r>
      <w:r>
        <w:rPr>
          <w:rFonts w:ascii="Noto Sans CJK SC" w:hAnsi="Noto Sans CJK SC" w:eastAsia="Noto Sans CJK SC"/>
          <w:sz w:val="21"/>
        </w:rPr>
        <w:t xml:space="preserve"> BSC_MAINNET </w:t>
      </w:r>
      <w:r>
        <w:rPr>
          <w:rFonts w:ascii="Noto Sans Mono CJK SC" w:hAnsi="Noto Sans Mono CJK SC" w:eastAsia="Noto Sans Mono CJK SC"/>
          <w:color w:val="7C3E00"/>
          <w:sz w:val="19"/>
        </w:rPr>
        <w:t>NO-GO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Fonts w:ascii="Noto Sans CJK SC" w:hAnsi="Noto Sans CJK SC" w:eastAsia="Noto Sans CJK SC"/>
          <w:b/>
          <w:sz w:val="21"/>
        </w:rPr>
        <w:t>文档状态：</w:t>
      </w:r>
      <w:r>
        <w:rPr>
          <w:rFonts w:ascii="Noto Sans CJK SC" w:hAnsi="Noto Sans CJK SC" w:eastAsia="Noto Sans CJK SC"/>
          <w:sz w:val="21"/>
        </w:rPr>
        <w:t xml:space="preserve"> </w:t>
      </w:r>
      <w:r>
        <w:rPr>
          <w:rFonts w:ascii="Noto Sans Mono CJK SC" w:hAnsi="Noto Sans Mono CJK SC" w:eastAsia="Noto Sans Mono CJK SC"/>
          <w:color w:val="7C3E00"/>
          <w:sz w:val="19"/>
        </w:rPr>
        <w:t>DEVELOPMENT_BASELINE_CANDIDATE</w:t>
      </w:r>
    </w:p>
    <w:p>
      <w:pPr>
        <w:ind w:left="317" w:right="173"/>
        <w:shd w:fill="FFF8E8"/>
      </w:pPr>
      <w:r>
        <w:rPr>
          <w:rFonts w:ascii="Noto Sans CJK SC" w:hAnsi="Noto Sans CJK SC" w:eastAsia="Noto Sans CJK SC"/>
          <w:sz w:val="19"/>
        </w:rPr>
        <w:t>本文件用于盘古2的开发规划、Task Spec拆分、联调、审核和测试网验收。它不构成收益承诺、法律意见、第三方审计结论、自动合并授权或主网上线批准。</w:t>
      </w:r>
    </w:p>
    <w:p>
      <w:pPr>
        <w:pStyle w:val="Heading1"/>
      </w:pPr>
      <w:r>
        <w:t>1. 仓库与治理基线</w:t>
      </w:r>
    </w:p>
    <w:p>
      <w:r>
        <w:rPr>
          <w:rFonts w:ascii="Noto Sans Mono CJK SC" w:hAnsi="Noto Sans Mono CJK SC" w:eastAsia="Noto Sans Mono CJK SC"/>
          <w:color w:val="7C3E00"/>
          <w:sz w:val="19"/>
        </w:rPr>
        <w:t>DR-P2-0001</w:t>
      </w:r>
      <w:r>
        <w:rPr>
          <w:rFonts w:ascii="Noto Sans CJK SC" w:hAnsi="Noto Sans CJK SC" w:eastAsia="Noto Sans CJK SC"/>
          <w:sz w:val="21"/>
        </w:rPr>
        <w:t xml:space="preserve"> 已生效：盘古2使用PGBNB Web3 Hub中的独立目录 </w:t>
      </w:r>
      <w:r>
        <w:rPr>
          <w:rFonts w:ascii="Noto Sans Mono CJK SC" w:hAnsi="Noto Sans Mono CJK SC" w:eastAsia="Noto Sans Mono CJK SC"/>
          <w:color w:val="7C3E00"/>
          <w:sz w:val="19"/>
        </w:rPr>
        <w:t>hub/pangu2/</w:t>
      </w:r>
      <w:r>
        <w:rPr>
          <w:rFonts w:ascii="Noto Sans CJK SC" w:hAnsi="Noto Sans CJK SC" w:eastAsia="Noto Sans CJK SC"/>
          <w:sz w:val="21"/>
        </w:rPr>
        <w:t xml:space="preserve">；原BNB Presale Minimal归档到 </w:t>
      </w:r>
      <w:r>
        <w:rPr>
          <w:rFonts w:ascii="Noto Sans Mono CJK SC" w:hAnsi="Noto Sans Mono CJK SC" w:eastAsia="Noto Sans Mono CJK SC"/>
          <w:color w:val="7C3E00"/>
          <w:sz w:val="19"/>
        </w:rPr>
        <w:t>hub/pixiu1/</w:t>
      </w:r>
      <w:r>
        <w:rPr>
          <w:rFonts w:ascii="Noto Sans CJK SC" w:hAnsi="Noto Sans CJK SC" w:eastAsia="Noto Sans CJK SC"/>
          <w:sz w:val="21"/>
        </w:rPr>
        <w:t xml:space="preserve">。仓库根目录只保留 </w:t>
      </w:r>
      <w:r>
        <w:rPr>
          <w:rFonts w:ascii="Noto Sans Mono CJK SC" w:hAnsi="Noto Sans Mono CJK SC" w:eastAsia="Noto Sans Mono CJK SC"/>
          <w:color w:val="7C3E00"/>
          <w:sz w:val="19"/>
        </w:rPr>
        <w:t>AGENTS.md</w:t>
      </w:r>
      <w:r>
        <w:rPr>
          <w:rFonts w:ascii="Noto Sans CJK SC" w:hAnsi="Noto Sans CJK SC" w:eastAsia="Noto Sans CJK SC"/>
          <w:sz w:val="21"/>
        </w:rPr>
        <w:t>、</w:t>
      </w:r>
      <w:r>
        <w:rPr>
          <w:rFonts w:ascii="Noto Sans Mono CJK SC" w:hAnsi="Noto Sans Mono CJK SC" w:eastAsia="Noto Sans Mono CJK SC"/>
          <w:color w:val="7C3E00"/>
          <w:sz w:val="19"/>
        </w:rPr>
        <w:t>.agent-rules/</w:t>
      </w:r>
      <w:r>
        <w:rPr>
          <w:rFonts w:ascii="Noto Sans CJK SC" w:hAnsi="Noto Sans CJK SC" w:eastAsia="Noto Sans CJK SC"/>
          <w:sz w:val="21"/>
        </w:rPr>
        <w:t>、</w:t>
      </w:r>
      <w:r>
        <w:rPr>
          <w:rFonts w:ascii="Noto Sans Mono CJK SC" w:hAnsi="Noto Sans Mono CJK SC" w:eastAsia="Noto Sans Mono CJK SC"/>
          <w:color w:val="7C3E00"/>
          <w:sz w:val="19"/>
        </w:rPr>
        <w:t>.cursor/rules/</w:t>
      </w:r>
      <w:r>
        <w:rPr>
          <w:rFonts w:ascii="Noto Sans CJK SC" w:hAnsi="Noto Sans CJK SC" w:eastAsia="Noto Sans CJK SC"/>
          <w:sz w:val="21"/>
        </w:rPr>
        <w:t xml:space="preserve">、共享治理文档和 </w:t>
      </w:r>
      <w:r>
        <w:rPr>
          <w:rFonts w:ascii="Noto Sans Mono CJK SC" w:hAnsi="Noto Sans Mono CJK SC" w:eastAsia="Noto Sans Mono CJK SC"/>
          <w:color w:val="7C3E00"/>
          <w:sz w:val="19"/>
        </w:rPr>
        <w:t>hub/</w:t>
      </w:r>
      <w:r>
        <w:rPr>
          <w:rFonts w:ascii="Noto Sans CJK SC" w:hAnsi="Noto Sans CJK SC" w:eastAsia="Noto Sans CJK SC"/>
          <w:sz w:val="21"/>
        </w:rPr>
        <w:t>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PGBNB</w:t>
        <w:br/>
        <w:t>├─ AGENTS.md</w:t>
        <w:br/>
        <w:t>├─ .agent-rules/</w:t>
        <w:br/>
        <w:t>├─ .cursor/rules/</w:t>
        <w:br/>
        <w:t>├─ docs/governance/</w:t>
        <w:br/>
        <w:t>└─ hub/</w:t>
        <w:br/>
        <w:t xml:space="preserve">   ├─ pixiu1/                 # 已归档，默认禁止修改</w:t>
        <w:br/>
        <w:t xml:space="preserve">   └─ pangu2/                 # 盘古2唯一项目根目录</w:t>
        <w:br/>
        <w:t xml:space="preserve">      ├─ contracts/</w:t>
        <w:br/>
        <w:t xml:space="preserve">      ├─ apps/dapp/</w:t>
        <w:br/>
        <w:t xml:space="preserve">      ├─ apps/admin/</w:t>
        <w:br/>
        <w:t xml:space="preserve">      ├─ services/api/</w:t>
        <w:br/>
        <w:t xml:space="preserve">      ├─ services/chain-worker/</w:t>
        <w:br/>
        <w:t xml:space="preserve">      ├─ packages/</w:t>
        <w:br/>
        <w:t xml:space="preserve">      ├─ config/</w:t>
        <w:br/>
        <w:t xml:space="preserve">      ├─ infra/</w:t>
        <w:br/>
        <w:t xml:space="preserve">      └─ docs/</w:t>
      </w:r>
    </w:p>
    <w:p>
      <w:r>
        <w:rPr>
          <w:rFonts w:ascii="Noto Sans CJK SC" w:hAnsi="Noto Sans CJK SC" w:eastAsia="Noto Sans CJK SC"/>
          <w:sz w:val="21"/>
        </w:rPr>
        <w:t xml:space="preserve">所有盘古2PR默认以 </w:t>
      </w:r>
      <w:r>
        <w:rPr>
          <w:rFonts w:ascii="Noto Sans Mono CJK SC" w:hAnsi="Noto Sans Mono CJK SC" w:eastAsia="Noto Sans Mono CJK SC"/>
          <w:color w:val="7C3E00"/>
          <w:sz w:val="19"/>
        </w:rPr>
        <w:t>pgbnb</w:t>
      </w:r>
      <w:r>
        <w:rPr>
          <w:rFonts w:ascii="Noto Sans CJK SC" w:hAnsi="Noto Sans CJK SC" w:eastAsia="Noto Sans CJK SC"/>
          <w:sz w:val="21"/>
        </w:rPr>
        <w:t xml:space="preserve"> 为Base Branch。复用pixiu1资产时必须复制到盘古2目录并重新审核，禁止运行时直接依赖归档目录。</w:t>
      </w:r>
    </w:p>
    <w:p>
      <w:pPr>
        <w:pStyle w:val="Heading1"/>
      </w:pPr>
      <w:r>
        <w:t>2. 当前Gate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1A1F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1A1F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1A1F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Repository Strategy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Mono CJK SC" w:hAnsi="Noto Sans Mono CJK SC" w:eastAsia="Noto Sans Mono CJK SC"/>
                <w:color w:val="7C3E00"/>
                <w:sz w:val="14"/>
              </w:rPr>
              <w:t>APPROVED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DR-P2-0001 ACTIVE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PB-S0 Repository Initialization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Mono CJK SC" w:hAnsi="Noto Sans Mono CJK SC" w:eastAsia="Noto Sans Mono CJK SC"/>
                <w:color w:val="7C3E00"/>
                <w:sz w:val="14"/>
              </w:rPr>
              <w:t>GO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可执行P2-G02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Project Baseline Approval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Mono CJK SC" w:hAnsi="Noto Sans Mono CJK SC" w:eastAsia="Noto Sans Mono CJK SC"/>
                <w:color w:val="7C3E00"/>
                <w:sz w:val="14"/>
              </w:rPr>
              <w:t>NEEDS_CONFIRMATION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Spec/Ruleset SHA和开放Decision未关闭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PB-S1 Contracts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Mono CJK SC" w:hAnsi="Noto Sans Mono CJK SC" w:eastAsia="Noto Sans Mono CJK SC"/>
                <w:color w:val="7C3E00"/>
                <w:sz w:val="14"/>
              </w:rPr>
              <w:t>BLOCKED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依赖参数、DEX、Oracle、治理等Decision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PB-S2 Backend/Worker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Mono CJK SC" w:hAnsi="Noto Sans Mono CJK SC" w:eastAsia="Noto Sans Mono CJK SC"/>
                <w:color w:val="7C3E00"/>
                <w:sz w:val="14"/>
              </w:rPr>
              <w:t>BLOCKED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依赖项目骨架、Schema和LOCAL/CI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BSC_TESTNET Integration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Mono CJK SC" w:hAnsi="Noto Sans Mono CJK SC" w:eastAsia="Noto Sans Mono CJK SC"/>
                <w:color w:val="7C3E00"/>
                <w:sz w:val="14"/>
              </w:rPr>
              <w:t>NO-GO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产品阶段尚未关闭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BSC_MAINNET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Mono CJK SC" w:hAnsi="Noto Sans Mono CJK SC" w:eastAsia="Noto Sans Mono CJK SC"/>
                <w:color w:val="7C3E00"/>
                <w:sz w:val="14"/>
              </w:rPr>
              <w:t>NO-GO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未审计、未批准</w:t>
            </w:r>
          </w:p>
        </w:tc>
      </w:tr>
    </w:tbl>
    <w:p>
      <w:pPr>
        <w:spacing w:after="20"/>
      </w:pPr>
    </w:p>
    <w:p>
      <w:pPr>
        <w:pStyle w:val="Heading1"/>
      </w:pPr>
      <w:r>
        <w:t>3. 开发策略与范围</w:t>
      </w:r>
    </w:p>
    <w:p>
      <w:r>
        <w:rPr>
          <w:rFonts w:ascii="Noto Sans CJK SC" w:hAnsi="Noto Sans CJK SC" w:eastAsia="Noto Sans CJK SC"/>
          <w:sz w:val="21"/>
        </w:rPr>
        <w:t xml:space="preserve">策略为 </w:t>
      </w:r>
      <w:r>
        <w:rPr>
          <w:rFonts w:ascii="Noto Sans Mono CJK SC" w:hAnsi="Noto Sans Mono CJK SC" w:eastAsia="Noto Sans Mono CJK SC"/>
          <w:color w:val="7C3E00"/>
          <w:sz w:val="19"/>
        </w:rPr>
        <w:t>PANGU2_FIRST_PLATFORM_READY</w:t>
      </w:r>
      <w:r>
        <w:rPr>
          <w:rFonts w:ascii="Noto Sans CJK SC" w:hAnsi="Noto Sans CJK SC" w:eastAsia="Noto Sans CJK SC"/>
          <w:sz w:val="21"/>
        </w:rPr>
        <w:t>：先快速完成盘古2，但保留合约注册、原始链上事实、统一交易状态、RBAC、审计、project_id/environment/chain_id等低成本复用边界。当前不建设多租户、多链、动态插件、微服务或项目创建器。</w:t>
      </w:r>
    </w:p>
    <w:p>
      <w:r>
        <w:rPr>
          <w:rFonts w:ascii="Noto Sans CJK SC" w:hAnsi="Noto Sans CJK SC" w:eastAsia="Noto Sans CJK SC"/>
          <w:sz w:val="21"/>
        </w:rPr>
        <w:t>本期候选交付：智能合约套件、用户DApp、Laravel API、TypeScript Chain Worker、Laravel Horizon业务任务、运营管理端、LOCAL/CI、BSC测试网和STAGING证据。</w:t>
      </w:r>
    </w:p>
    <w:p>
      <w:pPr>
        <w:pStyle w:val="Heading1"/>
      </w:pPr>
      <w:r>
        <w:t>4. 业务参数与开放Decision</w:t>
      </w:r>
    </w:p>
    <w:p>
      <w:r>
        <w:rPr>
          <w:rFonts w:ascii="Noto Sans CJK SC" w:hAnsi="Noto Sans CJK SC" w:eastAsia="Noto Sans CJK SC"/>
          <w:sz w:val="21"/>
        </w:rPr>
        <w:t>未有ACTIVE Decision的参数不得称为FROZEN。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1A1F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1A1F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1A1F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候选值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1A1F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Token与总量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PROPOSED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PANGU2 / 1,000,000,000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待人工基线批准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买入税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PROPOSED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4%进入Dividend Bucket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待人工基线批准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普通卖出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PROPOSED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4%进入Support Bucket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待人工基线批准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10%卖出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PROPOSED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9%托底、1%销毁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DR-P2-0003/0006/0008相关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分红档位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TESTNET_ASSUMPTION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35% / 30% / 20% / 15%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DR-P2-0002 PENDING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UNKNOWN成本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TESTNET_ASSUMPTION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10%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DR-P2-0004 PENDING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单次回购/间隔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PROPOSED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0.01 BNB / 60秒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待批准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Locker模式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TESTNET_ASSUMPTION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部署时固定模式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DR-P2-0005 PENDING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Locker期限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TBC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不得默认365天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DR-P2-0005 PENDING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DEX与Fee Tier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TBC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未批准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DR-P2-0007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利润价格源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TBC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必须有抗操纵方案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DR-P2-0008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治理角色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TBC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Safe/Timelock/Keeper/Emergency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8F6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DR-P2-0009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分红资产/未领取资金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TBC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未批准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DR-P2-0010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sz w:val="21"/>
        </w:rPr>
        <w:t>旧文档中的35/25/25/15只作为历史记录；当前开发候选采用35/30/20/15，但在DR-P2-0002批准前不得称为主网冻结参数。</w:t>
      </w:r>
    </w:p>
    <w:p>
      <w:pPr>
        <w:pStyle w:val="Heading1"/>
      </w:pPr>
      <w:r>
        <w:t>5. 合约架构</w:t>
      </w:r>
    </w:p>
    <w:p>
      <w:pPr>
        <w:pStyle w:val="ListNumber"/>
      </w:pPr>
      <w:r>
        <w:rPr>
          <w:rFonts w:ascii="Noto Sans Mono CJK SC" w:hAnsi="Noto Sans Mono CJK SC" w:eastAsia="Noto Sans Mono CJK SC"/>
          <w:color w:val="7C3E00"/>
          <w:sz w:val="19"/>
        </w:rPr>
        <w:t>Pangu2Token</w:t>
      </w:r>
      <w:r>
        <w:rPr>
          <w:rFonts w:ascii="Noto Sans CJK SC" w:hAnsi="Noto Sans CJK SC" w:eastAsia="Noto Sans CJK SC"/>
          <w:sz w:val="21"/>
        </w:rPr>
        <w:t>：ERC20、供应量、受限结算原语和销毁。</w:t>
      </w:r>
    </w:p>
    <w:p>
      <w:pPr>
        <w:pStyle w:val="ListNumber"/>
      </w:pPr>
      <w:r>
        <w:rPr>
          <w:rFonts w:ascii="Noto Sans Mono CJK SC" w:hAnsi="Noto Sans Mono CJK SC" w:eastAsia="Noto Sans Mono CJK SC"/>
          <w:color w:val="7C3E00"/>
          <w:sz w:val="19"/>
        </w:rPr>
        <w:t>Pangu2TradeRouter</w:t>
      </w:r>
      <w:r>
        <w:rPr>
          <w:rFonts w:ascii="Noto Sans CJK SC" w:hAnsi="Noto Sans CJK SC" w:eastAsia="Noto Sans CJK SC"/>
          <w:sz w:val="21"/>
        </w:rPr>
        <w:t>：官方买卖、preview、deadline、minOut、DEX调用和真实执行重算。</w:t>
      </w:r>
    </w:p>
    <w:p>
      <w:pPr>
        <w:pStyle w:val="ListNumber"/>
      </w:pPr>
      <w:r>
        <w:rPr>
          <w:rFonts w:ascii="Noto Sans Mono CJK SC" w:hAnsi="Noto Sans Mono CJK SC" w:eastAsia="Noto Sans Mono CJK SC"/>
          <w:color w:val="7C3E00"/>
          <w:sz w:val="19"/>
        </w:rPr>
        <w:t>CostBasisManager</w:t>
      </w:r>
      <w:r>
        <w:rPr>
          <w:rFonts w:ascii="Noto Sans CJK SC" w:hAnsi="Noto Sans CJK SC" w:eastAsia="Noto Sans CJK SC"/>
          <w:sz w:val="21"/>
        </w:rPr>
        <w:t>：WBNB wei成本、tracked balance、UNKNOWN和转账迁移。</w:t>
      </w:r>
    </w:p>
    <w:p>
      <w:pPr>
        <w:pStyle w:val="ListNumber"/>
      </w:pPr>
      <w:r>
        <w:rPr>
          <w:rFonts w:ascii="Noto Sans Mono CJK SC" w:hAnsi="Noto Sans Mono CJK SC" w:eastAsia="Noto Sans Mono CJK SC"/>
          <w:color w:val="7C3E00"/>
          <w:sz w:val="19"/>
        </w:rPr>
        <w:t>FeeVault</w:t>
      </w:r>
      <w:r>
        <w:rPr>
          <w:rFonts w:ascii="Noto Sans CJK SC" w:hAnsi="Noto Sans CJK SC" w:eastAsia="Noto Sans CJK SC"/>
          <w:sz w:val="21"/>
        </w:rPr>
        <w:t>：Dividend/Support Bucket隔离和受限转换；转换不得再次产生卖出税。</w:t>
      </w:r>
    </w:p>
    <w:p>
      <w:pPr>
        <w:pStyle w:val="ListNumber"/>
      </w:pPr>
      <w:r>
        <w:rPr>
          <w:rFonts w:ascii="Noto Sans Mono CJK SC" w:hAnsi="Noto Sans Mono CJK SC" w:eastAsia="Noto Sans Mono CJK SC"/>
          <w:color w:val="7C3E00"/>
          <w:sz w:val="19"/>
        </w:rPr>
        <w:t>SupportPool</w:t>
      </w:r>
      <w:r>
        <w:rPr>
          <w:rFonts w:ascii="Noto Sans CJK SC" w:hAnsi="Noto Sans CJK SC" w:eastAsia="Noto Sans CJK SC"/>
          <w:sz w:val="21"/>
        </w:rPr>
        <w:t>：持有BNB并按条件回购；输出直接进入Locker。</w:t>
      </w:r>
    </w:p>
    <w:p>
      <w:pPr>
        <w:pStyle w:val="ListNumber"/>
      </w:pPr>
      <w:r>
        <w:rPr>
          <w:rFonts w:ascii="Noto Sans Mono CJK SC" w:hAnsi="Noto Sans Mono CJK SC" w:eastAsia="Noto Sans Mono CJK SC"/>
          <w:color w:val="7C3E00"/>
          <w:sz w:val="19"/>
        </w:rPr>
        <w:t>BuybackLocker</w:t>
      </w:r>
      <w:r>
        <w:rPr>
          <w:rFonts w:ascii="Noto Sans CJK SC" w:hAnsi="Noto Sans CJK SC" w:eastAsia="Noto Sans CJK SC"/>
          <w:sz w:val="21"/>
        </w:rPr>
        <w:t>：记录批次、来源回购、数量和到期状态；禁止提前释放和任意提取。</w:t>
      </w:r>
    </w:p>
    <w:p>
      <w:pPr>
        <w:pStyle w:val="ListNumber"/>
      </w:pPr>
      <w:r>
        <w:rPr>
          <w:rFonts w:ascii="Noto Sans Mono CJK SC" w:hAnsi="Noto Sans Mono CJK SC" w:eastAsia="Noto Sans Mono CJK SC"/>
          <w:color w:val="7C3E00"/>
          <w:sz w:val="19"/>
        </w:rPr>
        <w:t>DividendDistributor</w:t>
      </w:r>
      <w:r>
        <w:rPr>
          <w:rFonts w:ascii="Noto Sans CJK SC" w:hAnsi="Noto Sans CJK SC" w:eastAsia="Noto Sans CJK SC"/>
          <w:sz w:val="21"/>
        </w:rPr>
        <w:t>：资金化Root、Merkle proof、claim和防重领。</w:t>
      </w:r>
    </w:p>
    <w:p>
      <w:pPr>
        <w:pStyle w:val="ListNumber"/>
      </w:pPr>
      <w:r>
        <w:rPr>
          <w:rFonts w:ascii="Noto Sans Mono CJK SC" w:hAnsi="Noto Sans Mono CJK SC" w:eastAsia="Noto Sans Mono CJK SC"/>
          <w:color w:val="7C3E00"/>
          <w:sz w:val="19"/>
        </w:rPr>
        <w:t>GovernanceAdapter</w:t>
      </w:r>
      <w:r>
        <w:rPr>
          <w:rFonts w:ascii="Noto Sans CJK SC" w:hAnsi="Noto Sans CJK SC" w:eastAsia="Noto Sans CJK SC"/>
          <w:sz w:val="21"/>
        </w:rPr>
        <w:t>：只允许target/selector/value allowlist，禁止任意call和delegatecall。</w:t>
      </w:r>
    </w:p>
    <w:p>
      <w:r>
        <w:rPr>
          <w:rFonts w:ascii="Noto Sans CJK SC" w:hAnsi="Noto Sans CJK SC" w:eastAsia="Noto Sans CJK SC"/>
          <w:sz w:val="21"/>
        </w:rPr>
        <w:t>交易采用“官方TradeRouter + 单一Tax Settlement Engine”。用户直接与Pair交互在测试网候选中默认拒绝，防止绕过成本记录和重复/漏税。</w:t>
      </w:r>
      <w:r>
        <w:rPr>
          <w:rFonts w:ascii="Noto Sans Mono CJK SC" w:hAnsi="Noto Sans Mono CJK SC" w:eastAsia="Noto Sans Mono CJK SC"/>
          <w:color w:val="7C3E00"/>
          <w:sz w:val="19"/>
        </w:rPr>
        <w:t>previewSell</w:t>
      </w:r>
      <w:r>
        <w:rPr>
          <w:rFonts w:ascii="Noto Sans CJK SC" w:hAnsi="Noto Sans CJK SC" w:eastAsia="Noto Sans CJK SC"/>
          <w:sz w:val="21"/>
        </w:rPr>
        <w:t>仅用于预览，真实sell必须在链上用同一内部逻辑重新计算。</w:t>
      </w:r>
    </w:p>
    <w:p>
      <w:pPr>
        <w:pStyle w:val="Heading1"/>
      </w:pPr>
      <w:r>
        <w:t>6. 用户端DApp</w:t>
      </w:r>
    </w:p>
    <w:p>
      <w:r>
        <w:rPr>
          <w:rFonts w:ascii="Noto Sans CJK SC" w:hAnsi="Noto Sans CJK SC" w:eastAsia="Noto Sans CJK SC"/>
          <w:sz w:val="21"/>
        </w:rPr>
        <w:t>页面：主页、交易、分红、托底、我的。必须覆盖Wallet、Network、Quote、Approval、Signature、Chain Transaction、Indexing、Data Freshness和Claim独立状态机。</w:t>
      </w:r>
    </w:p>
    <w:p>
      <w:r>
        <w:rPr>
          <w:rFonts w:ascii="Noto Sans CJK SC" w:hAnsi="Noto Sans CJK SC" w:eastAsia="Noto Sans CJK SC"/>
          <w:sz w:val="21"/>
        </w:rPr>
        <w:t>关键要求：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不允许用户选择4%或10%；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买入MAX预留Gas；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授权和卖出是两笔独立交易；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当前估算排名、Epoch结算排名和Merkle可领取结果分开；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报价显示引用区块、过期时间、价格源和数据状态；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不显示固定365天；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 xml:space="preserve">模拟数据必须显示 </w:t>
      </w:r>
      <w:r>
        <w:rPr>
          <w:rFonts w:ascii="Noto Sans Mono CJK SC" w:hAnsi="Noto Sans Mono CJK SC" w:eastAsia="Noto Sans Mono CJK SC"/>
          <w:color w:val="7C3E00"/>
          <w:sz w:val="19"/>
        </w:rPr>
        <w:t>MOCK_DATA</w:t>
      </w:r>
      <w:r>
        <w:rPr>
          <w:rFonts w:ascii="Noto Sans CJK SC" w:hAnsi="Noto Sans CJK SC" w:eastAsia="Noto Sans CJK SC"/>
          <w:sz w:val="21"/>
        </w:rPr>
        <w:t>。</w:t>
      </w:r>
    </w:p>
    <w:p>
      <w:pPr>
        <w:pStyle w:val="Heading1"/>
      </w:pPr>
      <w:r>
        <w:t>7. 后端、Worker与管理端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Laravel API：认证、RBAC、审计、合约注册、用户API、管理API、业务投影和Horizon任务。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TypeScript Chain Worker：区块、交易、receipt、log、finality、reorg和chain cursor的唯一责任人。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Laravel Horizon：Snapshot、排名、Merkle、Proof、业务补偿和通知的唯一责任人。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禁止Node Worker和Laravel同时处理同一事实任务。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管理端只提供受控操作、Safe/Timelock提案和状态，不提供修改用户资产、任意提现SupportPool或改写Root分配的入口。</w:t>
      </w:r>
    </w:p>
    <w:p>
      <w:pPr>
        <w:pStyle w:val="Heading1"/>
      </w:pPr>
      <w:r>
        <w:t>8. 数据与API</w:t>
      </w:r>
    </w:p>
    <w:p>
      <w:r>
        <w:rPr>
          <w:rFonts w:ascii="Noto Sans CJK SC" w:hAnsi="Noto Sans CJK SC" w:eastAsia="Noto Sans CJK SC"/>
          <w:sz w:val="21"/>
        </w:rPr>
        <w:t>项目API前缀：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/api/v1/projects/pangu2/...</w:t>
        <w:br/>
        <w:t>/admin-api/v1/projects/pangu2/...</w:t>
      </w:r>
    </w:p>
    <w:p>
      <w:r>
        <w:rPr>
          <w:rFonts w:ascii="Noto Sans CJK SC" w:hAnsi="Noto Sans CJK SC" w:eastAsia="Noto Sans CJK SC"/>
          <w:sz w:val="21"/>
        </w:rPr>
        <w:t xml:space="preserve">金额使用最小单位整数字符串或 </w:t>
      </w:r>
      <w:r>
        <w:rPr>
          <w:rFonts w:ascii="Noto Sans Mono CJK SC" w:hAnsi="Noto Sans Mono CJK SC" w:eastAsia="Noto Sans Mono CJK SC"/>
          <w:color w:val="7C3E00"/>
          <w:sz w:val="19"/>
        </w:rPr>
        <w:t>numeric(78,0)</w:t>
      </w:r>
      <w:r>
        <w:rPr>
          <w:rFonts w:ascii="Noto Sans CJK SC" w:hAnsi="Noto Sans CJK SC" w:eastAsia="Noto Sans CJK SC"/>
          <w:sz w:val="21"/>
        </w:rPr>
        <w:t xml:space="preserve">。Raw表和业务投影分离；事件唯一键使用 </w:t>
      </w:r>
      <w:r>
        <w:rPr>
          <w:rFonts w:ascii="Noto Sans Mono CJK SC" w:hAnsi="Noto Sans Mono CJK SC" w:eastAsia="Noto Sans Mono CJK SC"/>
          <w:color w:val="7C3E00"/>
          <w:sz w:val="19"/>
        </w:rPr>
        <w:t>(chain_id, block_hash, tx_hash, log_index)</w:t>
      </w:r>
      <w:r>
        <w:rPr>
          <w:rFonts w:ascii="Noto Sans CJK SC" w:hAnsi="Noto Sans CJK SC" w:eastAsia="Noto Sans CJK SC"/>
          <w:sz w:val="21"/>
        </w:rPr>
        <w:t>，canonical记录另有partial unique约束。所有关键表保留project_id、environment、chain_id、block/tx/log、canonical、removed、finality、version和审计字段。</w:t>
      </w:r>
    </w:p>
    <w:p>
      <w:r>
        <w:rPr>
          <w:rFonts w:ascii="Noto Sans CJK SC" w:hAnsi="Noto Sans CJK SC" w:eastAsia="Noto Sans CJK SC"/>
          <w:sz w:val="21"/>
        </w:rPr>
        <w:t>Merkle Leaf V1候选域包括chainId、Distributor、epochId、reward token、account和amount；精确ABI编码和hash方式需由Schema任务固定SHA。</w:t>
      </w:r>
    </w:p>
    <w:p>
      <w:pPr>
        <w:pStyle w:val="Heading1"/>
      </w:pPr>
      <w:r>
        <w:t>9. 环境计划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LOCAL：Anvil 31337、Docker PostgreSQL/Redis、可重置数据、测试私钥仅限本地。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CI：冻结锁文件、临时DB/Redis/Anvil、分阶段检查、Artifact与Head SHA绑定。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BSC_TESTNET：chainId 97、Secret方式配置RPC、分离Deployer/Governance/Keeper/Emergency、记录部署区块和代码哈希。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STAGING：强制使用测试网、独立TLS/API/DB/Redis/Worker/DApp/Admin、日志告警和回滚。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BSC_MAINNET：NO-GO，仅保留未来Gate，不记录真实Secret和部署指令。</w:t>
      </w:r>
    </w:p>
    <w:p>
      <w:pPr>
        <w:pStyle w:val="Heading1"/>
      </w:pPr>
      <w:r>
        <w:t>10. 阶段计划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PB-S0 仓库、治理、版本、LOCAL/CI和Schema</w:t>
        <w:br/>
        <w:t>PB-S1 智能合约</w:t>
        <w:br/>
        <w:t>PB-S2 API Core与Chain Worker</w:t>
        <w:br/>
        <w:t>PB-S3 Pangu2业务后端</w:t>
        <w:br/>
        <w:t>PB-S4 用户端DApp</w:t>
        <w:br/>
        <w:t>PB-S5 运营管理端</w:t>
        <w:br/>
        <w:t>PB-S6 BSC测试网与STAGING Closeout</w:t>
        <w:br/>
        <w:t>PB-S7 平台抽取（DEFERRED）</w:t>
      </w:r>
    </w:p>
    <w:p>
      <w:r>
        <w:rPr>
          <w:rFonts w:ascii="Noto Sans CJK SC" w:hAnsi="Noto Sans CJK SC" w:eastAsia="Noto Sans CJK SC"/>
          <w:sz w:val="21"/>
        </w:rPr>
        <w:t xml:space="preserve">当前下一任务为 </w:t>
      </w:r>
      <w:r>
        <w:rPr>
          <w:rFonts w:ascii="Noto Sans Mono CJK SC" w:hAnsi="Noto Sans Mono CJK SC" w:eastAsia="Noto Sans Mono CJK SC"/>
          <w:color w:val="7C3E00"/>
          <w:sz w:val="19"/>
        </w:rPr>
        <w:t>P2-G02</w:t>
      </w:r>
      <w:r>
        <w:rPr>
          <w:rFonts w:ascii="Noto Sans CJK SC" w:hAnsi="Noto Sans CJK SC" w:eastAsia="Noto Sans CJK SC"/>
          <w:sz w:val="21"/>
        </w:rPr>
        <w:t xml:space="preserve">：初始化 </w:t>
      </w:r>
      <w:r>
        <w:rPr>
          <w:rFonts w:ascii="Noto Sans Mono CJK SC" w:hAnsi="Noto Sans Mono CJK SC" w:eastAsia="Noto Sans Mono CJK SC"/>
          <w:color w:val="7C3E00"/>
          <w:sz w:val="19"/>
        </w:rPr>
        <w:t>hub/pangu2/</w:t>
      </w:r>
      <w:r>
        <w:rPr>
          <w:rFonts w:ascii="Noto Sans CJK SC" w:hAnsi="Noto Sans CJK SC" w:eastAsia="Noto Sans CJK SC"/>
          <w:sz w:val="21"/>
        </w:rPr>
        <w:t>、迁移V1.1-RC候选基线、保存DR-P2-0001并固定新Base/Head/Spec输入。该任务不得开发任何产品代码。</w:t>
      </w:r>
    </w:p>
    <w:p>
      <w:pPr>
        <w:pStyle w:val="Heading1"/>
      </w:pPr>
      <w:r>
        <w:t>11. 测试与安全</w:t>
      </w:r>
    </w:p>
    <w:p>
      <w:r>
        <w:rPr>
          <w:rFonts w:ascii="Noto Sans CJK SC" w:hAnsi="Noto Sans CJK SC" w:eastAsia="Noto Sans CJK SC"/>
          <w:sz w:val="21"/>
        </w:rPr>
        <w:t>合约必须有unit、fuzz、invariant和攻击测试；后端必须验证签名、RBAC、幂等、Outbox、重组和确定性Merkle；前端必须验证钱包/网络/报价/授权/拒签/替换/丢弃/reorg；管理端必须验证危险操作、权限和审计；PB-S6必须跑真实BSC_TESTNET闭环。</w:t>
      </w:r>
    </w:p>
    <w:p>
      <w:r>
        <w:rPr>
          <w:rFonts w:ascii="Noto Sans CJK SC" w:hAnsi="Noto Sans CJK SC" w:eastAsia="Noto Sans CJK SC"/>
          <w:sz w:val="21"/>
        </w:rPr>
        <w:t>私钥、助记词、RPC Token和生产Secret不得进入仓库、日志或数据库。自动合并和自动部署永久禁止，除非人工项目负责人通过新的明确Decision改变治理规则。</w:t>
      </w:r>
    </w:p>
    <w:p>
      <w:pPr>
        <w:pStyle w:val="Heading1"/>
      </w:pPr>
      <w:r>
        <w:t>12. 交付和审核</w:t>
      </w:r>
    </w:p>
    <w:p>
      <w:r>
        <w:rPr>
          <w:rFonts w:ascii="Noto Sans CJK SC" w:hAnsi="Noto Sans CJK SC" w:eastAsia="Noto Sans CJK SC"/>
          <w:sz w:val="21"/>
        </w:rPr>
        <w:t xml:space="preserve">每个Task Spec必须固定Repository、Project Root、Base SHA、Spec SHA、Ruleset Bundle SHA、Allowed/Forbidden Paths、Tests、Checks、Dependencies、Outputs、Closure、Rollback和Open Decisions。盘古2的Forbidden Paths默认包含 </w:t>
      </w:r>
      <w:r>
        <w:rPr>
          <w:rFonts w:ascii="Noto Sans Mono CJK SC" w:hAnsi="Noto Sans Mono CJK SC" w:eastAsia="Noto Sans Mono CJK SC"/>
          <w:color w:val="7C3E00"/>
          <w:sz w:val="19"/>
        </w:rPr>
        <w:t>hub/pixiu1/**</w:t>
      </w:r>
      <w:r>
        <w:rPr>
          <w:rFonts w:ascii="Noto Sans CJK SC" w:hAnsi="Noto Sans CJK SC" w:eastAsia="Noto Sans CJK SC"/>
          <w:sz w:val="21"/>
        </w:rPr>
        <w:t>。</w:t>
      </w:r>
    </w:p>
    <w:p>
      <w:r>
        <w:rPr>
          <w:rFonts w:ascii="Noto Sans CJK SC" w:hAnsi="Noto Sans CJK SC" w:eastAsia="Noto Sans CJK SC"/>
          <w:sz w:val="21"/>
        </w:rPr>
        <w:t>执行Agent开发并提交Draft PR；审核Agent只读审核固定Head SHA；项目协调Agent只处理阶段启动、阶段阻塞和Closeout衔接；人工项目负责人决定重大Decision、合并和发布。角色边界以V3.1治理文档为准。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6"/>
      </w:rPr>
      <w:t>PANGU2  |  PGBNB Web3 Hub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1A1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1A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1A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1A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59" w:right="259"/>
      <w:shd w:fill="F3F4F6"/>
    </w:pPr>
    <w:rPr>
      <w:rFonts w:ascii="Noto Sans Mono CJK SC" w:hAnsi="Noto Sans Mono CJK SC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