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1EBF" w14:textId="77777777" w:rsidR="006A71D0" w:rsidRPr="0018702A" w:rsidRDefault="00000000">
      <w:pPr>
        <w:jc w:val="center"/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b/>
          <w:sz w:val="32"/>
        </w:rPr>
        <w:t>Trigeminal Neuralgia Treatment Patterns: Temporal Comparison</w:t>
      </w:r>
    </w:p>
    <w:p w14:paraId="73A15FD3" w14:textId="77777777" w:rsidR="006A71D0" w:rsidRPr="0018702A" w:rsidRDefault="00000000">
      <w:pPr>
        <w:jc w:val="center"/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sz w:val="24"/>
        </w:rPr>
        <w:t>Pre-COVID (2016-2019) vs Post-COVID (2022-2025) Extended Analysis</w:t>
      </w:r>
    </w:p>
    <w:p w14:paraId="10E604B6" w14:textId="77777777" w:rsidR="006A71D0" w:rsidRPr="0018702A" w:rsidRDefault="00000000">
      <w:pPr>
        <w:jc w:val="center"/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sz w:val="20"/>
        </w:rPr>
        <w:t>Generated: January 26, 2026 at 08:13 AM</w:t>
      </w:r>
    </w:p>
    <w:p w14:paraId="634F7289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sz w:val="18"/>
        </w:rPr>
        <w:t>Data Source: Epic Cosmos Database</w:t>
      </w:r>
      <w:r w:rsidRPr="0018702A">
        <w:rPr>
          <w:rFonts w:ascii="Times New Roman" w:hAnsi="Times New Roman" w:cs="Times New Roman"/>
          <w:sz w:val="18"/>
        </w:rPr>
        <w:br/>
        <w:t>Pre-COVID Period: November 27, 2016 - November 27, 2019 (n=154,435)</w:t>
      </w:r>
      <w:r w:rsidRPr="0018702A">
        <w:rPr>
          <w:rFonts w:ascii="Times New Roman" w:hAnsi="Times New Roman" w:cs="Times New Roman"/>
          <w:sz w:val="18"/>
        </w:rPr>
        <w:br/>
        <w:t>Post-COVID Period: November 28, 2022 - November 27, 2025 (n=302,971)</w:t>
      </w:r>
      <w:r w:rsidRPr="0018702A">
        <w:rPr>
          <w:rFonts w:ascii="Times New Roman" w:hAnsi="Times New Roman" w:cs="Times New Roman"/>
          <w:sz w:val="18"/>
        </w:rPr>
        <w:br/>
        <w:t>Inclusion: Patients with ICD-10 code G50.0 (Trigeminal Neuralgia)</w:t>
      </w:r>
      <w:r w:rsidRPr="0018702A">
        <w:rPr>
          <w:rFonts w:ascii="Times New Roman" w:hAnsi="Times New Roman" w:cs="Times New Roman"/>
          <w:sz w:val="18"/>
        </w:rPr>
        <w:br/>
        <w:t>Geographic Scope: 9 U.S. Census Regions</w:t>
      </w:r>
      <w:r w:rsidRPr="0018702A">
        <w:rPr>
          <w:rFonts w:ascii="Times New Roman" w:hAnsi="Times New Roman" w:cs="Times New Roman"/>
          <w:sz w:val="18"/>
        </w:rPr>
        <w:br/>
        <w:t>Note: Values of '10 or fewer' were imputed as 5 (midpoint)</w:t>
      </w:r>
      <w:r w:rsidRPr="0018702A">
        <w:rPr>
          <w:rFonts w:ascii="Times New Roman" w:hAnsi="Times New Roman" w:cs="Times New Roman"/>
          <w:sz w:val="18"/>
        </w:rPr>
        <w:br/>
      </w:r>
    </w:p>
    <w:p w14:paraId="79E9E95A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b/>
          <w:sz w:val="28"/>
        </w:rPr>
        <w:t>TABLES</w:t>
      </w:r>
    </w:p>
    <w:p w14:paraId="1DAA1E01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b/>
        </w:rPr>
        <w:t>Table 1. National Medication Utilization: Pre-COVID vs Post-COVID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1072"/>
        <w:gridCol w:w="1072"/>
        <w:gridCol w:w="1072"/>
        <w:gridCol w:w="1072"/>
        <w:gridCol w:w="1068"/>
        <w:gridCol w:w="1035"/>
      </w:tblGrid>
      <w:tr w:rsidR="006A71D0" w:rsidRPr="0018702A" w14:paraId="1DCB2596" w14:textId="77777777">
        <w:trPr>
          <w:jc w:val="center"/>
        </w:trPr>
        <w:tc>
          <w:tcPr>
            <w:tcW w:w="1234" w:type="dxa"/>
          </w:tcPr>
          <w:p w14:paraId="224DCD07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Medication</w:t>
            </w:r>
          </w:p>
        </w:tc>
        <w:tc>
          <w:tcPr>
            <w:tcW w:w="1234" w:type="dxa"/>
          </w:tcPr>
          <w:p w14:paraId="1DBF5605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Pre-COVID N</w:t>
            </w:r>
          </w:p>
        </w:tc>
        <w:tc>
          <w:tcPr>
            <w:tcW w:w="1234" w:type="dxa"/>
          </w:tcPr>
          <w:p w14:paraId="5053B470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Pre-COVID %</w:t>
            </w:r>
          </w:p>
        </w:tc>
        <w:tc>
          <w:tcPr>
            <w:tcW w:w="1234" w:type="dxa"/>
          </w:tcPr>
          <w:p w14:paraId="363E167D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Post-COVID N</w:t>
            </w:r>
          </w:p>
        </w:tc>
        <w:tc>
          <w:tcPr>
            <w:tcW w:w="1234" w:type="dxa"/>
          </w:tcPr>
          <w:p w14:paraId="06F17F2C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Post-COVID %</w:t>
            </w:r>
          </w:p>
        </w:tc>
        <w:tc>
          <w:tcPr>
            <w:tcW w:w="1234" w:type="dxa"/>
          </w:tcPr>
          <w:p w14:paraId="79A87294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Change (pp)</w:t>
            </w:r>
          </w:p>
        </w:tc>
        <w:tc>
          <w:tcPr>
            <w:tcW w:w="1234" w:type="dxa"/>
          </w:tcPr>
          <w:p w14:paraId="4E408F6D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P-value</w:t>
            </w:r>
          </w:p>
        </w:tc>
      </w:tr>
      <w:tr w:rsidR="006A71D0" w:rsidRPr="0018702A" w14:paraId="1807A060" w14:textId="77777777">
        <w:trPr>
          <w:jc w:val="center"/>
        </w:trPr>
        <w:tc>
          <w:tcPr>
            <w:tcW w:w="1234" w:type="dxa"/>
          </w:tcPr>
          <w:p w14:paraId="156DAEEE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Carbamazepine/Oxcarbazepine</w:t>
            </w:r>
          </w:p>
        </w:tc>
        <w:tc>
          <w:tcPr>
            <w:tcW w:w="1234" w:type="dxa"/>
          </w:tcPr>
          <w:p w14:paraId="2BDCA639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66,499</w:t>
            </w:r>
          </w:p>
        </w:tc>
        <w:tc>
          <w:tcPr>
            <w:tcW w:w="1234" w:type="dxa"/>
          </w:tcPr>
          <w:p w14:paraId="4AE1904E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43.1</w:t>
            </w:r>
          </w:p>
        </w:tc>
        <w:tc>
          <w:tcPr>
            <w:tcW w:w="1234" w:type="dxa"/>
          </w:tcPr>
          <w:p w14:paraId="4A69D1A2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127,741</w:t>
            </w:r>
          </w:p>
        </w:tc>
        <w:tc>
          <w:tcPr>
            <w:tcW w:w="1234" w:type="dxa"/>
          </w:tcPr>
          <w:p w14:paraId="589C10C3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42.2</w:t>
            </w:r>
          </w:p>
        </w:tc>
        <w:tc>
          <w:tcPr>
            <w:tcW w:w="1234" w:type="dxa"/>
          </w:tcPr>
          <w:p w14:paraId="763BEBAB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-0.9</w:t>
            </w:r>
          </w:p>
        </w:tc>
        <w:tc>
          <w:tcPr>
            <w:tcW w:w="1234" w:type="dxa"/>
          </w:tcPr>
          <w:p w14:paraId="73CCEF5C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&lt;0.001</w:t>
            </w:r>
          </w:p>
        </w:tc>
      </w:tr>
      <w:tr w:rsidR="006A71D0" w:rsidRPr="0018702A" w14:paraId="598A7FF2" w14:textId="77777777">
        <w:trPr>
          <w:jc w:val="center"/>
        </w:trPr>
        <w:tc>
          <w:tcPr>
            <w:tcW w:w="1234" w:type="dxa"/>
          </w:tcPr>
          <w:p w14:paraId="77A03167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Gabapentin</w:t>
            </w:r>
          </w:p>
        </w:tc>
        <w:tc>
          <w:tcPr>
            <w:tcW w:w="1234" w:type="dxa"/>
          </w:tcPr>
          <w:p w14:paraId="579434E7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71,830</w:t>
            </w:r>
          </w:p>
        </w:tc>
        <w:tc>
          <w:tcPr>
            <w:tcW w:w="1234" w:type="dxa"/>
          </w:tcPr>
          <w:p w14:paraId="6BBE5EC0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46.5</w:t>
            </w:r>
          </w:p>
        </w:tc>
        <w:tc>
          <w:tcPr>
            <w:tcW w:w="1234" w:type="dxa"/>
          </w:tcPr>
          <w:p w14:paraId="0145EDFB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154,330</w:t>
            </w:r>
          </w:p>
        </w:tc>
        <w:tc>
          <w:tcPr>
            <w:tcW w:w="1234" w:type="dxa"/>
          </w:tcPr>
          <w:p w14:paraId="72C75DD1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50.9</w:t>
            </w:r>
          </w:p>
        </w:tc>
        <w:tc>
          <w:tcPr>
            <w:tcW w:w="1234" w:type="dxa"/>
          </w:tcPr>
          <w:p w14:paraId="65671E80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+4.4</w:t>
            </w:r>
          </w:p>
        </w:tc>
        <w:tc>
          <w:tcPr>
            <w:tcW w:w="1234" w:type="dxa"/>
          </w:tcPr>
          <w:p w14:paraId="4009F861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&lt;0.001</w:t>
            </w:r>
          </w:p>
        </w:tc>
      </w:tr>
      <w:tr w:rsidR="006A71D0" w:rsidRPr="0018702A" w14:paraId="69CBCEC0" w14:textId="77777777">
        <w:trPr>
          <w:jc w:val="center"/>
        </w:trPr>
        <w:tc>
          <w:tcPr>
            <w:tcW w:w="1234" w:type="dxa"/>
          </w:tcPr>
          <w:p w14:paraId="315B5788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Pregabalin</w:t>
            </w:r>
          </w:p>
        </w:tc>
        <w:tc>
          <w:tcPr>
            <w:tcW w:w="1234" w:type="dxa"/>
          </w:tcPr>
          <w:p w14:paraId="1839D679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17,530</w:t>
            </w:r>
          </w:p>
        </w:tc>
        <w:tc>
          <w:tcPr>
            <w:tcW w:w="1234" w:type="dxa"/>
          </w:tcPr>
          <w:p w14:paraId="7DE5A02B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11.4</w:t>
            </w:r>
          </w:p>
        </w:tc>
        <w:tc>
          <w:tcPr>
            <w:tcW w:w="1234" w:type="dxa"/>
          </w:tcPr>
          <w:p w14:paraId="6D3E8502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49,174</w:t>
            </w:r>
          </w:p>
        </w:tc>
        <w:tc>
          <w:tcPr>
            <w:tcW w:w="1234" w:type="dxa"/>
          </w:tcPr>
          <w:p w14:paraId="12819371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16.2</w:t>
            </w:r>
          </w:p>
        </w:tc>
        <w:tc>
          <w:tcPr>
            <w:tcW w:w="1234" w:type="dxa"/>
          </w:tcPr>
          <w:p w14:paraId="10021751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+4.9</w:t>
            </w:r>
          </w:p>
        </w:tc>
        <w:tc>
          <w:tcPr>
            <w:tcW w:w="1234" w:type="dxa"/>
          </w:tcPr>
          <w:p w14:paraId="3B4539EB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&lt;0.001</w:t>
            </w:r>
          </w:p>
        </w:tc>
      </w:tr>
      <w:tr w:rsidR="006A71D0" w:rsidRPr="0018702A" w14:paraId="35E0A18B" w14:textId="77777777">
        <w:trPr>
          <w:jc w:val="center"/>
        </w:trPr>
        <w:tc>
          <w:tcPr>
            <w:tcW w:w="1234" w:type="dxa"/>
          </w:tcPr>
          <w:p w14:paraId="4AC7888C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Baclofen</w:t>
            </w:r>
          </w:p>
        </w:tc>
        <w:tc>
          <w:tcPr>
            <w:tcW w:w="1234" w:type="dxa"/>
          </w:tcPr>
          <w:p w14:paraId="63CE32CE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22,499</w:t>
            </w:r>
          </w:p>
        </w:tc>
        <w:tc>
          <w:tcPr>
            <w:tcW w:w="1234" w:type="dxa"/>
          </w:tcPr>
          <w:p w14:paraId="788001C4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14.6</w:t>
            </w:r>
          </w:p>
        </w:tc>
        <w:tc>
          <w:tcPr>
            <w:tcW w:w="1234" w:type="dxa"/>
          </w:tcPr>
          <w:p w14:paraId="61D0C2D9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49,563</w:t>
            </w:r>
          </w:p>
        </w:tc>
        <w:tc>
          <w:tcPr>
            <w:tcW w:w="1234" w:type="dxa"/>
          </w:tcPr>
          <w:p w14:paraId="20CFE869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16.4</w:t>
            </w:r>
          </w:p>
        </w:tc>
        <w:tc>
          <w:tcPr>
            <w:tcW w:w="1234" w:type="dxa"/>
          </w:tcPr>
          <w:p w14:paraId="6313B4FF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+1.8</w:t>
            </w:r>
          </w:p>
        </w:tc>
        <w:tc>
          <w:tcPr>
            <w:tcW w:w="1234" w:type="dxa"/>
          </w:tcPr>
          <w:p w14:paraId="061384F7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&lt;0.001</w:t>
            </w:r>
          </w:p>
        </w:tc>
      </w:tr>
      <w:tr w:rsidR="006A71D0" w:rsidRPr="0018702A" w14:paraId="0A685CD7" w14:textId="77777777">
        <w:trPr>
          <w:jc w:val="center"/>
        </w:trPr>
        <w:tc>
          <w:tcPr>
            <w:tcW w:w="1234" w:type="dxa"/>
          </w:tcPr>
          <w:p w14:paraId="05A2129D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Lamotrigine</w:t>
            </w:r>
          </w:p>
        </w:tc>
        <w:tc>
          <w:tcPr>
            <w:tcW w:w="1234" w:type="dxa"/>
          </w:tcPr>
          <w:p w14:paraId="35B0BE98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8,081</w:t>
            </w:r>
          </w:p>
        </w:tc>
        <w:tc>
          <w:tcPr>
            <w:tcW w:w="1234" w:type="dxa"/>
          </w:tcPr>
          <w:p w14:paraId="588C917A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5.2</w:t>
            </w:r>
          </w:p>
        </w:tc>
        <w:tc>
          <w:tcPr>
            <w:tcW w:w="1234" w:type="dxa"/>
          </w:tcPr>
          <w:p w14:paraId="23B5E15E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20,064</w:t>
            </w:r>
          </w:p>
        </w:tc>
        <w:tc>
          <w:tcPr>
            <w:tcW w:w="1234" w:type="dxa"/>
          </w:tcPr>
          <w:p w14:paraId="1393AA25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6.6</w:t>
            </w:r>
          </w:p>
        </w:tc>
        <w:tc>
          <w:tcPr>
            <w:tcW w:w="1234" w:type="dxa"/>
          </w:tcPr>
          <w:p w14:paraId="22F2FC80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+1.4</w:t>
            </w:r>
          </w:p>
        </w:tc>
        <w:tc>
          <w:tcPr>
            <w:tcW w:w="1234" w:type="dxa"/>
          </w:tcPr>
          <w:p w14:paraId="5ECD70AC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&lt;0.001</w:t>
            </w:r>
          </w:p>
        </w:tc>
      </w:tr>
    </w:tbl>
    <w:p w14:paraId="60BE5C3A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i/>
          <w:sz w:val="18"/>
        </w:rPr>
        <w:t>pp = percentage points. All comparisons significant at p &lt; 0.001.</w:t>
      </w:r>
    </w:p>
    <w:p w14:paraId="01E4F8C9" w14:textId="77777777" w:rsidR="006A71D0" w:rsidRPr="0018702A" w:rsidRDefault="006A71D0">
      <w:pPr>
        <w:rPr>
          <w:rFonts w:ascii="Times New Roman" w:hAnsi="Times New Roman" w:cs="Times New Roman"/>
        </w:rPr>
      </w:pPr>
    </w:p>
    <w:p w14:paraId="4828F715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b/>
        </w:rPr>
        <w:t>Table 2. National Procedure Utilization: Pre-COVID vs Post-COVID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6A71D0" w:rsidRPr="0018702A" w14:paraId="2BA82409" w14:textId="77777777">
        <w:trPr>
          <w:jc w:val="center"/>
        </w:trPr>
        <w:tc>
          <w:tcPr>
            <w:tcW w:w="1080" w:type="dxa"/>
          </w:tcPr>
          <w:p w14:paraId="669BC615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Procedure</w:t>
            </w:r>
          </w:p>
        </w:tc>
        <w:tc>
          <w:tcPr>
            <w:tcW w:w="1080" w:type="dxa"/>
          </w:tcPr>
          <w:p w14:paraId="010B023A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Pre-COVID N</w:t>
            </w:r>
          </w:p>
        </w:tc>
        <w:tc>
          <w:tcPr>
            <w:tcW w:w="1080" w:type="dxa"/>
          </w:tcPr>
          <w:p w14:paraId="1E612272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Pre-COVID %</w:t>
            </w:r>
          </w:p>
        </w:tc>
        <w:tc>
          <w:tcPr>
            <w:tcW w:w="1080" w:type="dxa"/>
          </w:tcPr>
          <w:p w14:paraId="0F732BD0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Post-COVID N</w:t>
            </w:r>
          </w:p>
        </w:tc>
        <w:tc>
          <w:tcPr>
            <w:tcW w:w="1080" w:type="dxa"/>
          </w:tcPr>
          <w:p w14:paraId="5064729C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Post-COVID %</w:t>
            </w:r>
          </w:p>
        </w:tc>
        <w:tc>
          <w:tcPr>
            <w:tcW w:w="1080" w:type="dxa"/>
          </w:tcPr>
          <w:p w14:paraId="388DBB07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Change (pp)</w:t>
            </w:r>
          </w:p>
        </w:tc>
        <w:tc>
          <w:tcPr>
            <w:tcW w:w="1080" w:type="dxa"/>
          </w:tcPr>
          <w:p w14:paraId="304CD070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Relative Δ</w:t>
            </w:r>
          </w:p>
        </w:tc>
        <w:tc>
          <w:tcPr>
            <w:tcW w:w="1080" w:type="dxa"/>
          </w:tcPr>
          <w:p w14:paraId="0DE52AD0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P-value</w:t>
            </w:r>
          </w:p>
        </w:tc>
      </w:tr>
      <w:tr w:rsidR="006A71D0" w:rsidRPr="0018702A" w14:paraId="5531F999" w14:textId="77777777">
        <w:trPr>
          <w:jc w:val="center"/>
        </w:trPr>
        <w:tc>
          <w:tcPr>
            <w:tcW w:w="1080" w:type="dxa"/>
          </w:tcPr>
          <w:p w14:paraId="6C7B4921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MVD</w:t>
            </w:r>
          </w:p>
        </w:tc>
        <w:tc>
          <w:tcPr>
            <w:tcW w:w="1080" w:type="dxa"/>
          </w:tcPr>
          <w:p w14:paraId="50B16B5A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1,857</w:t>
            </w:r>
          </w:p>
        </w:tc>
        <w:tc>
          <w:tcPr>
            <w:tcW w:w="1080" w:type="dxa"/>
          </w:tcPr>
          <w:p w14:paraId="417038FB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1.20</w:t>
            </w:r>
          </w:p>
        </w:tc>
        <w:tc>
          <w:tcPr>
            <w:tcW w:w="1080" w:type="dxa"/>
          </w:tcPr>
          <w:p w14:paraId="0946D47F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4,072</w:t>
            </w:r>
          </w:p>
        </w:tc>
        <w:tc>
          <w:tcPr>
            <w:tcW w:w="1080" w:type="dxa"/>
          </w:tcPr>
          <w:p w14:paraId="7D52C168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1.34</w:t>
            </w:r>
          </w:p>
        </w:tc>
        <w:tc>
          <w:tcPr>
            <w:tcW w:w="1080" w:type="dxa"/>
          </w:tcPr>
          <w:p w14:paraId="6AD2B89A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+0.14</w:t>
            </w:r>
          </w:p>
        </w:tc>
        <w:tc>
          <w:tcPr>
            <w:tcW w:w="1080" w:type="dxa"/>
          </w:tcPr>
          <w:p w14:paraId="3100D585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+11.8%</w:t>
            </w:r>
          </w:p>
        </w:tc>
        <w:tc>
          <w:tcPr>
            <w:tcW w:w="1080" w:type="dxa"/>
          </w:tcPr>
          <w:p w14:paraId="080C269D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&lt;0.001</w:t>
            </w:r>
          </w:p>
        </w:tc>
      </w:tr>
      <w:tr w:rsidR="006A71D0" w:rsidRPr="0018702A" w14:paraId="079F520A" w14:textId="77777777">
        <w:trPr>
          <w:jc w:val="center"/>
        </w:trPr>
        <w:tc>
          <w:tcPr>
            <w:tcW w:w="1080" w:type="dxa"/>
          </w:tcPr>
          <w:p w14:paraId="794154FF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SRS</w:t>
            </w:r>
          </w:p>
        </w:tc>
        <w:tc>
          <w:tcPr>
            <w:tcW w:w="1080" w:type="dxa"/>
          </w:tcPr>
          <w:p w14:paraId="5A66A27C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685</w:t>
            </w:r>
          </w:p>
        </w:tc>
        <w:tc>
          <w:tcPr>
            <w:tcW w:w="1080" w:type="dxa"/>
          </w:tcPr>
          <w:p w14:paraId="2E7465CF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0.44</w:t>
            </w:r>
          </w:p>
        </w:tc>
        <w:tc>
          <w:tcPr>
            <w:tcW w:w="1080" w:type="dxa"/>
          </w:tcPr>
          <w:p w14:paraId="42728C38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1,752</w:t>
            </w:r>
          </w:p>
        </w:tc>
        <w:tc>
          <w:tcPr>
            <w:tcW w:w="1080" w:type="dxa"/>
          </w:tcPr>
          <w:p w14:paraId="3F7A07E7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0.58</w:t>
            </w:r>
          </w:p>
        </w:tc>
        <w:tc>
          <w:tcPr>
            <w:tcW w:w="1080" w:type="dxa"/>
          </w:tcPr>
          <w:p w14:paraId="478DEE4D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+0.13</w:t>
            </w:r>
          </w:p>
        </w:tc>
        <w:tc>
          <w:tcPr>
            <w:tcW w:w="1080" w:type="dxa"/>
          </w:tcPr>
          <w:p w14:paraId="2AFBE175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+30.4%</w:t>
            </w:r>
          </w:p>
        </w:tc>
        <w:tc>
          <w:tcPr>
            <w:tcW w:w="1080" w:type="dxa"/>
          </w:tcPr>
          <w:p w14:paraId="1C05050C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&lt;0.001</w:t>
            </w:r>
          </w:p>
        </w:tc>
      </w:tr>
      <w:tr w:rsidR="006A71D0" w:rsidRPr="0018702A" w14:paraId="7C56A4C5" w14:textId="77777777">
        <w:trPr>
          <w:jc w:val="center"/>
        </w:trPr>
        <w:tc>
          <w:tcPr>
            <w:tcW w:w="1080" w:type="dxa"/>
          </w:tcPr>
          <w:p w14:paraId="061AF159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Rhizotomy</w:t>
            </w:r>
          </w:p>
        </w:tc>
        <w:tc>
          <w:tcPr>
            <w:tcW w:w="1080" w:type="dxa"/>
          </w:tcPr>
          <w:p w14:paraId="52A9A126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1,681</w:t>
            </w:r>
          </w:p>
        </w:tc>
        <w:tc>
          <w:tcPr>
            <w:tcW w:w="1080" w:type="dxa"/>
          </w:tcPr>
          <w:p w14:paraId="50980306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1.09</w:t>
            </w:r>
          </w:p>
        </w:tc>
        <w:tc>
          <w:tcPr>
            <w:tcW w:w="1080" w:type="dxa"/>
          </w:tcPr>
          <w:p w14:paraId="72B8DD4F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2,937</w:t>
            </w:r>
          </w:p>
        </w:tc>
        <w:tc>
          <w:tcPr>
            <w:tcW w:w="1080" w:type="dxa"/>
          </w:tcPr>
          <w:p w14:paraId="390F21A0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0.97</w:t>
            </w:r>
          </w:p>
        </w:tc>
        <w:tc>
          <w:tcPr>
            <w:tcW w:w="1080" w:type="dxa"/>
          </w:tcPr>
          <w:p w14:paraId="1489CF9E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-0.12</w:t>
            </w:r>
          </w:p>
        </w:tc>
        <w:tc>
          <w:tcPr>
            <w:tcW w:w="1080" w:type="dxa"/>
          </w:tcPr>
          <w:p w14:paraId="05EEA7BC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-10.9%</w:t>
            </w:r>
          </w:p>
        </w:tc>
        <w:tc>
          <w:tcPr>
            <w:tcW w:w="1080" w:type="dxa"/>
          </w:tcPr>
          <w:p w14:paraId="2FA587C7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&lt;0.001</w:t>
            </w:r>
          </w:p>
        </w:tc>
      </w:tr>
      <w:tr w:rsidR="006A71D0" w:rsidRPr="0018702A" w14:paraId="1323569E" w14:textId="77777777">
        <w:trPr>
          <w:jc w:val="center"/>
        </w:trPr>
        <w:tc>
          <w:tcPr>
            <w:tcW w:w="1080" w:type="dxa"/>
          </w:tcPr>
          <w:p w14:paraId="22FC24B6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Botox</w:t>
            </w:r>
          </w:p>
        </w:tc>
        <w:tc>
          <w:tcPr>
            <w:tcW w:w="1080" w:type="dxa"/>
          </w:tcPr>
          <w:p w14:paraId="3E19196F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1,079</w:t>
            </w:r>
          </w:p>
        </w:tc>
        <w:tc>
          <w:tcPr>
            <w:tcW w:w="1080" w:type="dxa"/>
          </w:tcPr>
          <w:p w14:paraId="63F17D75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0.70</w:t>
            </w:r>
          </w:p>
        </w:tc>
        <w:tc>
          <w:tcPr>
            <w:tcW w:w="1080" w:type="dxa"/>
          </w:tcPr>
          <w:p w14:paraId="4266CBF1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2,785</w:t>
            </w:r>
          </w:p>
        </w:tc>
        <w:tc>
          <w:tcPr>
            <w:tcW w:w="1080" w:type="dxa"/>
          </w:tcPr>
          <w:p w14:paraId="7CAABF9A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0.92</w:t>
            </w:r>
          </w:p>
        </w:tc>
        <w:tc>
          <w:tcPr>
            <w:tcW w:w="1080" w:type="dxa"/>
          </w:tcPr>
          <w:p w14:paraId="3D857C18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+0.22</w:t>
            </w:r>
          </w:p>
        </w:tc>
        <w:tc>
          <w:tcPr>
            <w:tcW w:w="1080" w:type="dxa"/>
          </w:tcPr>
          <w:p w14:paraId="44F67604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+31.6%</w:t>
            </w:r>
          </w:p>
        </w:tc>
        <w:tc>
          <w:tcPr>
            <w:tcW w:w="1080" w:type="dxa"/>
          </w:tcPr>
          <w:p w14:paraId="3E1A545D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&lt;0.001</w:t>
            </w:r>
          </w:p>
        </w:tc>
      </w:tr>
    </w:tbl>
    <w:p w14:paraId="4DBEB547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i/>
          <w:sz w:val="18"/>
        </w:rPr>
        <w:t>MVD = Microvascular Decompression; SRS = Stereotactic Radiosurgery; pp = percentage points.</w:t>
      </w:r>
    </w:p>
    <w:p w14:paraId="283D4261" w14:textId="77777777" w:rsidR="006A71D0" w:rsidRPr="0018702A" w:rsidRDefault="006A71D0">
      <w:pPr>
        <w:rPr>
          <w:rFonts w:ascii="Times New Roman" w:hAnsi="Times New Roman" w:cs="Times New Roman"/>
        </w:rPr>
      </w:pPr>
    </w:p>
    <w:p w14:paraId="5128580E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b/>
        </w:rPr>
        <w:t>Table 3. Surgical Escalation Rates by Medication Group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1273"/>
        <w:gridCol w:w="1273"/>
        <w:gridCol w:w="1273"/>
        <w:gridCol w:w="1241"/>
        <w:gridCol w:w="1331"/>
      </w:tblGrid>
      <w:tr w:rsidR="006A71D0" w:rsidRPr="0018702A" w14:paraId="0FE19A13" w14:textId="77777777">
        <w:trPr>
          <w:jc w:val="center"/>
        </w:trPr>
        <w:tc>
          <w:tcPr>
            <w:tcW w:w="1440" w:type="dxa"/>
          </w:tcPr>
          <w:p w14:paraId="13C7029B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Medication</w:t>
            </w:r>
          </w:p>
        </w:tc>
        <w:tc>
          <w:tcPr>
            <w:tcW w:w="1440" w:type="dxa"/>
          </w:tcPr>
          <w:p w14:paraId="54BBAEE7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Pre-COVID Surgery %</w:t>
            </w:r>
          </w:p>
        </w:tc>
        <w:tc>
          <w:tcPr>
            <w:tcW w:w="1440" w:type="dxa"/>
          </w:tcPr>
          <w:p w14:paraId="3F31AF68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Post-COVID Surgery %</w:t>
            </w:r>
          </w:p>
        </w:tc>
        <w:tc>
          <w:tcPr>
            <w:tcW w:w="1440" w:type="dxa"/>
          </w:tcPr>
          <w:p w14:paraId="7022FA4D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Surgery Change (pp)</w:t>
            </w:r>
          </w:p>
        </w:tc>
        <w:tc>
          <w:tcPr>
            <w:tcW w:w="1440" w:type="dxa"/>
          </w:tcPr>
          <w:p w14:paraId="08E94DCB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P-value</w:t>
            </w:r>
          </w:p>
        </w:tc>
        <w:tc>
          <w:tcPr>
            <w:tcW w:w="1440" w:type="dxa"/>
          </w:tcPr>
          <w:p w14:paraId="795A14EC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Significant</w:t>
            </w:r>
          </w:p>
        </w:tc>
      </w:tr>
      <w:tr w:rsidR="006A71D0" w:rsidRPr="0018702A" w14:paraId="66FD992A" w14:textId="77777777">
        <w:trPr>
          <w:jc w:val="center"/>
        </w:trPr>
        <w:tc>
          <w:tcPr>
            <w:tcW w:w="1440" w:type="dxa"/>
          </w:tcPr>
          <w:p w14:paraId="5CE07370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Carbamazepine/Oxcarbazepine</w:t>
            </w:r>
          </w:p>
        </w:tc>
        <w:tc>
          <w:tcPr>
            <w:tcW w:w="1440" w:type="dxa"/>
          </w:tcPr>
          <w:p w14:paraId="29B973CB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4.51</w:t>
            </w:r>
          </w:p>
        </w:tc>
        <w:tc>
          <w:tcPr>
            <w:tcW w:w="1440" w:type="dxa"/>
          </w:tcPr>
          <w:p w14:paraId="4A9BFFFF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5.40</w:t>
            </w:r>
          </w:p>
        </w:tc>
        <w:tc>
          <w:tcPr>
            <w:tcW w:w="1440" w:type="dxa"/>
          </w:tcPr>
          <w:p w14:paraId="5DB8BDE4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+0.89</w:t>
            </w:r>
          </w:p>
        </w:tc>
        <w:tc>
          <w:tcPr>
            <w:tcW w:w="1440" w:type="dxa"/>
          </w:tcPr>
          <w:p w14:paraId="1359AF05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&lt;0.001</w:t>
            </w:r>
          </w:p>
        </w:tc>
        <w:tc>
          <w:tcPr>
            <w:tcW w:w="1440" w:type="dxa"/>
          </w:tcPr>
          <w:p w14:paraId="729C0876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Yes</w:t>
            </w:r>
          </w:p>
        </w:tc>
      </w:tr>
      <w:tr w:rsidR="006A71D0" w:rsidRPr="0018702A" w14:paraId="2A27C9E3" w14:textId="77777777">
        <w:trPr>
          <w:jc w:val="center"/>
        </w:trPr>
        <w:tc>
          <w:tcPr>
            <w:tcW w:w="1440" w:type="dxa"/>
          </w:tcPr>
          <w:p w14:paraId="29E9DBAB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Baclofen</w:t>
            </w:r>
          </w:p>
        </w:tc>
        <w:tc>
          <w:tcPr>
            <w:tcW w:w="1440" w:type="dxa"/>
          </w:tcPr>
          <w:p w14:paraId="0B9CE8D2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6.52</w:t>
            </w:r>
          </w:p>
        </w:tc>
        <w:tc>
          <w:tcPr>
            <w:tcW w:w="1440" w:type="dxa"/>
          </w:tcPr>
          <w:p w14:paraId="1D9C6E86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7.09</w:t>
            </w:r>
          </w:p>
        </w:tc>
        <w:tc>
          <w:tcPr>
            <w:tcW w:w="1440" w:type="dxa"/>
          </w:tcPr>
          <w:p w14:paraId="1548C0EE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+0.57</w:t>
            </w:r>
          </w:p>
        </w:tc>
        <w:tc>
          <w:tcPr>
            <w:tcW w:w="1440" w:type="dxa"/>
          </w:tcPr>
          <w:p w14:paraId="231E316C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0.006</w:t>
            </w:r>
          </w:p>
        </w:tc>
        <w:tc>
          <w:tcPr>
            <w:tcW w:w="1440" w:type="dxa"/>
          </w:tcPr>
          <w:p w14:paraId="585AB03C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Yes</w:t>
            </w:r>
          </w:p>
        </w:tc>
      </w:tr>
      <w:tr w:rsidR="006A71D0" w:rsidRPr="0018702A" w14:paraId="4E251E78" w14:textId="77777777">
        <w:trPr>
          <w:jc w:val="center"/>
        </w:trPr>
        <w:tc>
          <w:tcPr>
            <w:tcW w:w="1440" w:type="dxa"/>
          </w:tcPr>
          <w:p w14:paraId="5378C602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Gabapentin</w:t>
            </w:r>
          </w:p>
        </w:tc>
        <w:tc>
          <w:tcPr>
            <w:tcW w:w="1440" w:type="dxa"/>
          </w:tcPr>
          <w:p w14:paraId="5B510B93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3.54</w:t>
            </w:r>
          </w:p>
        </w:tc>
        <w:tc>
          <w:tcPr>
            <w:tcW w:w="1440" w:type="dxa"/>
          </w:tcPr>
          <w:p w14:paraId="4F35DFDE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3.87</w:t>
            </w:r>
          </w:p>
        </w:tc>
        <w:tc>
          <w:tcPr>
            <w:tcW w:w="1440" w:type="dxa"/>
          </w:tcPr>
          <w:p w14:paraId="60DA1CD7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+0.33</w:t>
            </w:r>
          </w:p>
        </w:tc>
        <w:tc>
          <w:tcPr>
            <w:tcW w:w="1440" w:type="dxa"/>
          </w:tcPr>
          <w:p w14:paraId="2A91521A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&lt;0.001</w:t>
            </w:r>
          </w:p>
        </w:tc>
        <w:tc>
          <w:tcPr>
            <w:tcW w:w="1440" w:type="dxa"/>
          </w:tcPr>
          <w:p w14:paraId="24077BCD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Yes</w:t>
            </w:r>
          </w:p>
        </w:tc>
      </w:tr>
      <w:tr w:rsidR="006A71D0" w:rsidRPr="0018702A" w14:paraId="1CEF36E4" w14:textId="77777777">
        <w:trPr>
          <w:jc w:val="center"/>
        </w:trPr>
        <w:tc>
          <w:tcPr>
            <w:tcW w:w="1440" w:type="dxa"/>
          </w:tcPr>
          <w:p w14:paraId="010EC7E0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Lamotrigine</w:t>
            </w:r>
          </w:p>
        </w:tc>
        <w:tc>
          <w:tcPr>
            <w:tcW w:w="1440" w:type="dxa"/>
          </w:tcPr>
          <w:p w14:paraId="2F168D88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6.75</w:t>
            </w:r>
          </w:p>
        </w:tc>
        <w:tc>
          <w:tcPr>
            <w:tcW w:w="1440" w:type="dxa"/>
          </w:tcPr>
          <w:p w14:paraId="0F4053E1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7.10</w:t>
            </w:r>
          </w:p>
        </w:tc>
        <w:tc>
          <w:tcPr>
            <w:tcW w:w="1440" w:type="dxa"/>
          </w:tcPr>
          <w:p w14:paraId="31DEA9EE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+0.36</w:t>
            </w:r>
          </w:p>
        </w:tc>
        <w:tc>
          <w:tcPr>
            <w:tcW w:w="1440" w:type="dxa"/>
          </w:tcPr>
          <w:p w14:paraId="4629E0B8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0.294</w:t>
            </w:r>
          </w:p>
        </w:tc>
        <w:tc>
          <w:tcPr>
            <w:tcW w:w="1440" w:type="dxa"/>
          </w:tcPr>
          <w:p w14:paraId="4F9EDF74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No</w:t>
            </w:r>
          </w:p>
        </w:tc>
      </w:tr>
      <w:tr w:rsidR="006A71D0" w:rsidRPr="0018702A" w14:paraId="13E2D94E" w14:textId="77777777">
        <w:trPr>
          <w:jc w:val="center"/>
        </w:trPr>
        <w:tc>
          <w:tcPr>
            <w:tcW w:w="1440" w:type="dxa"/>
          </w:tcPr>
          <w:p w14:paraId="201982D3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Pregabalin</w:t>
            </w:r>
          </w:p>
        </w:tc>
        <w:tc>
          <w:tcPr>
            <w:tcW w:w="1440" w:type="dxa"/>
          </w:tcPr>
          <w:p w14:paraId="0DBCA2C3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5.36</w:t>
            </w:r>
          </w:p>
        </w:tc>
        <w:tc>
          <w:tcPr>
            <w:tcW w:w="1440" w:type="dxa"/>
          </w:tcPr>
          <w:p w14:paraId="18BCB89B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5.47</w:t>
            </w:r>
          </w:p>
        </w:tc>
        <w:tc>
          <w:tcPr>
            <w:tcW w:w="1440" w:type="dxa"/>
          </w:tcPr>
          <w:p w14:paraId="1B02DAC4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+0.11</w:t>
            </w:r>
          </w:p>
        </w:tc>
        <w:tc>
          <w:tcPr>
            <w:tcW w:w="1440" w:type="dxa"/>
          </w:tcPr>
          <w:p w14:paraId="578F5D7B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0.568</w:t>
            </w:r>
          </w:p>
        </w:tc>
        <w:tc>
          <w:tcPr>
            <w:tcW w:w="1440" w:type="dxa"/>
          </w:tcPr>
          <w:p w14:paraId="32020E14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No</w:t>
            </w:r>
          </w:p>
        </w:tc>
      </w:tr>
      <w:tr w:rsidR="006A71D0" w:rsidRPr="0018702A" w14:paraId="4B47A620" w14:textId="77777777">
        <w:trPr>
          <w:jc w:val="center"/>
        </w:trPr>
        <w:tc>
          <w:tcPr>
            <w:tcW w:w="1440" w:type="dxa"/>
          </w:tcPr>
          <w:p w14:paraId="00B7361E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No TN Medication</w:t>
            </w:r>
          </w:p>
        </w:tc>
        <w:tc>
          <w:tcPr>
            <w:tcW w:w="1440" w:type="dxa"/>
          </w:tcPr>
          <w:p w14:paraId="0FA3D9E5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1.09</w:t>
            </w:r>
          </w:p>
        </w:tc>
        <w:tc>
          <w:tcPr>
            <w:tcW w:w="1440" w:type="dxa"/>
          </w:tcPr>
          <w:p w14:paraId="1BEAD420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0.65</w:t>
            </w:r>
          </w:p>
        </w:tc>
        <w:tc>
          <w:tcPr>
            <w:tcW w:w="1440" w:type="dxa"/>
          </w:tcPr>
          <w:p w14:paraId="1AD89BDE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-0.45</w:t>
            </w:r>
          </w:p>
        </w:tc>
        <w:tc>
          <w:tcPr>
            <w:tcW w:w="1440" w:type="dxa"/>
          </w:tcPr>
          <w:p w14:paraId="02E05361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&lt;0.001</w:t>
            </w:r>
          </w:p>
        </w:tc>
        <w:tc>
          <w:tcPr>
            <w:tcW w:w="1440" w:type="dxa"/>
          </w:tcPr>
          <w:p w14:paraId="72EB6326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Yes</w:t>
            </w:r>
          </w:p>
        </w:tc>
      </w:tr>
    </w:tbl>
    <w:p w14:paraId="16BCEF6C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i/>
          <w:sz w:val="18"/>
        </w:rPr>
        <w:t>Surgery includes MVD, SRS, and Rhizotomy. Percentage of patients in each medication group receiving any surgical intervention.</w:t>
      </w:r>
    </w:p>
    <w:p w14:paraId="6939B4E2" w14:textId="77777777" w:rsidR="006A71D0" w:rsidRPr="0018702A" w:rsidRDefault="006A71D0">
      <w:pPr>
        <w:rPr>
          <w:rFonts w:ascii="Times New Roman" w:hAnsi="Times New Roman" w:cs="Times New Roman"/>
        </w:rPr>
      </w:pPr>
    </w:p>
    <w:p w14:paraId="65DD3A36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b/>
        </w:rPr>
        <w:t>Table 4. Chi-Square Tests for Regional Distribution Changes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1603"/>
        <w:gridCol w:w="1552"/>
        <w:gridCol w:w="1597"/>
        <w:gridCol w:w="1639"/>
      </w:tblGrid>
      <w:tr w:rsidR="006A71D0" w:rsidRPr="0018702A" w14:paraId="155F2163" w14:textId="77777777">
        <w:trPr>
          <w:jc w:val="center"/>
        </w:trPr>
        <w:tc>
          <w:tcPr>
            <w:tcW w:w="1728" w:type="dxa"/>
          </w:tcPr>
          <w:p w14:paraId="730F09F9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Treatment</w:t>
            </w:r>
          </w:p>
        </w:tc>
        <w:tc>
          <w:tcPr>
            <w:tcW w:w="1728" w:type="dxa"/>
          </w:tcPr>
          <w:p w14:paraId="22FE85ED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Chi-Square</w:t>
            </w:r>
          </w:p>
        </w:tc>
        <w:tc>
          <w:tcPr>
            <w:tcW w:w="1728" w:type="dxa"/>
          </w:tcPr>
          <w:p w14:paraId="1964A14D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df</w:t>
            </w:r>
          </w:p>
        </w:tc>
        <w:tc>
          <w:tcPr>
            <w:tcW w:w="1728" w:type="dxa"/>
          </w:tcPr>
          <w:p w14:paraId="448CD666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P-value</w:t>
            </w:r>
          </w:p>
        </w:tc>
        <w:tc>
          <w:tcPr>
            <w:tcW w:w="1728" w:type="dxa"/>
          </w:tcPr>
          <w:p w14:paraId="6A09CF35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b/>
                <w:sz w:val="18"/>
              </w:rPr>
              <w:t>Significant</w:t>
            </w:r>
          </w:p>
        </w:tc>
      </w:tr>
      <w:tr w:rsidR="006A71D0" w:rsidRPr="0018702A" w14:paraId="0632E158" w14:textId="77777777">
        <w:trPr>
          <w:jc w:val="center"/>
        </w:trPr>
        <w:tc>
          <w:tcPr>
            <w:tcW w:w="1728" w:type="dxa"/>
          </w:tcPr>
          <w:p w14:paraId="7D90937A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Carbamazepine/Oxcarbazepine</w:t>
            </w:r>
          </w:p>
        </w:tc>
        <w:tc>
          <w:tcPr>
            <w:tcW w:w="1728" w:type="dxa"/>
          </w:tcPr>
          <w:p w14:paraId="2E769839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643.6</w:t>
            </w:r>
          </w:p>
        </w:tc>
        <w:tc>
          <w:tcPr>
            <w:tcW w:w="1728" w:type="dxa"/>
          </w:tcPr>
          <w:p w14:paraId="16BA8193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8</w:t>
            </w:r>
          </w:p>
        </w:tc>
        <w:tc>
          <w:tcPr>
            <w:tcW w:w="1728" w:type="dxa"/>
          </w:tcPr>
          <w:p w14:paraId="0C09A718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&lt;0.001</w:t>
            </w:r>
          </w:p>
        </w:tc>
        <w:tc>
          <w:tcPr>
            <w:tcW w:w="1728" w:type="dxa"/>
          </w:tcPr>
          <w:p w14:paraId="695BEA28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Yes</w:t>
            </w:r>
          </w:p>
        </w:tc>
      </w:tr>
      <w:tr w:rsidR="006A71D0" w:rsidRPr="0018702A" w14:paraId="761C59F6" w14:textId="77777777">
        <w:trPr>
          <w:jc w:val="center"/>
        </w:trPr>
        <w:tc>
          <w:tcPr>
            <w:tcW w:w="1728" w:type="dxa"/>
          </w:tcPr>
          <w:p w14:paraId="68FB9427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MVD</w:t>
            </w:r>
          </w:p>
        </w:tc>
        <w:tc>
          <w:tcPr>
            <w:tcW w:w="1728" w:type="dxa"/>
          </w:tcPr>
          <w:p w14:paraId="166F9C4C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17.9</w:t>
            </w:r>
          </w:p>
        </w:tc>
        <w:tc>
          <w:tcPr>
            <w:tcW w:w="1728" w:type="dxa"/>
          </w:tcPr>
          <w:p w14:paraId="52CBDA50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8</w:t>
            </w:r>
          </w:p>
        </w:tc>
        <w:tc>
          <w:tcPr>
            <w:tcW w:w="1728" w:type="dxa"/>
          </w:tcPr>
          <w:p w14:paraId="71830C92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0.022</w:t>
            </w:r>
          </w:p>
        </w:tc>
        <w:tc>
          <w:tcPr>
            <w:tcW w:w="1728" w:type="dxa"/>
          </w:tcPr>
          <w:p w14:paraId="4B863141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Yes</w:t>
            </w:r>
          </w:p>
        </w:tc>
      </w:tr>
      <w:tr w:rsidR="006A71D0" w:rsidRPr="0018702A" w14:paraId="172201F4" w14:textId="77777777">
        <w:trPr>
          <w:jc w:val="center"/>
        </w:trPr>
        <w:tc>
          <w:tcPr>
            <w:tcW w:w="1728" w:type="dxa"/>
          </w:tcPr>
          <w:p w14:paraId="38B419EB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SRS</w:t>
            </w:r>
          </w:p>
        </w:tc>
        <w:tc>
          <w:tcPr>
            <w:tcW w:w="1728" w:type="dxa"/>
          </w:tcPr>
          <w:p w14:paraId="70532742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113.3</w:t>
            </w:r>
          </w:p>
        </w:tc>
        <w:tc>
          <w:tcPr>
            <w:tcW w:w="1728" w:type="dxa"/>
          </w:tcPr>
          <w:p w14:paraId="4115F57B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8</w:t>
            </w:r>
          </w:p>
        </w:tc>
        <w:tc>
          <w:tcPr>
            <w:tcW w:w="1728" w:type="dxa"/>
          </w:tcPr>
          <w:p w14:paraId="027735BF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&lt;0.001</w:t>
            </w:r>
          </w:p>
        </w:tc>
        <w:tc>
          <w:tcPr>
            <w:tcW w:w="1728" w:type="dxa"/>
          </w:tcPr>
          <w:p w14:paraId="32558D7F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Yes</w:t>
            </w:r>
          </w:p>
        </w:tc>
      </w:tr>
      <w:tr w:rsidR="006A71D0" w:rsidRPr="0018702A" w14:paraId="1D84535A" w14:textId="77777777">
        <w:trPr>
          <w:jc w:val="center"/>
        </w:trPr>
        <w:tc>
          <w:tcPr>
            <w:tcW w:w="1728" w:type="dxa"/>
          </w:tcPr>
          <w:p w14:paraId="0EB1BCB1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Pregabalin</w:t>
            </w:r>
          </w:p>
        </w:tc>
        <w:tc>
          <w:tcPr>
            <w:tcW w:w="1728" w:type="dxa"/>
          </w:tcPr>
          <w:p w14:paraId="53A09DFA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173.1</w:t>
            </w:r>
          </w:p>
        </w:tc>
        <w:tc>
          <w:tcPr>
            <w:tcW w:w="1728" w:type="dxa"/>
          </w:tcPr>
          <w:p w14:paraId="53D96B31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8</w:t>
            </w:r>
          </w:p>
        </w:tc>
        <w:tc>
          <w:tcPr>
            <w:tcW w:w="1728" w:type="dxa"/>
          </w:tcPr>
          <w:p w14:paraId="56F21BCE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&lt;0.001</w:t>
            </w:r>
          </w:p>
        </w:tc>
        <w:tc>
          <w:tcPr>
            <w:tcW w:w="1728" w:type="dxa"/>
          </w:tcPr>
          <w:p w14:paraId="212181FC" w14:textId="77777777" w:rsidR="006A71D0" w:rsidRPr="0018702A" w:rsidRDefault="00000000">
            <w:pPr>
              <w:rPr>
                <w:rFonts w:ascii="Times New Roman" w:hAnsi="Times New Roman" w:cs="Times New Roman"/>
              </w:rPr>
            </w:pPr>
            <w:r w:rsidRPr="0018702A">
              <w:rPr>
                <w:rFonts w:ascii="Times New Roman" w:hAnsi="Times New Roman" w:cs="Times New Roman"/>
                <w:sz w:val="18"/>
              </w:rPr>
              <w:t>Yes</w:t>
            </w:r>
          </w:p>
        </w:tc>
      </w:tr>
    </w:tbl>
    <w:p w14:paraId="787E5D03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i/>
          <w:sz w:val="18"/>
        </w:rPr>
        <w:t>Tests whether the regional distribution of each treatment changed between periods.</w:t>
      </w:r>
    </w:p>
    <w:p w14:paraId="22C33A92" w14:textId="77777777" w:rsidR="006A71D0" w:rsidRPr="0018702A" w:rsidRDefault="006A71D0">
      <w:pPr>
        <w:rPr>
          <w:rFonts w:ascii="Times New Roman" w:hAnsi="Times New Roman" w:cs="Times New Roman"/>
        </w:rPr>
      </w:pPr>
    </w:p>
    <w:p w14:paraId="36AABDE5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</w:rPr>
        <w:br w:type="page"/>
      </w:r>
    </w:p>
    <w:p w14:paraId="4F43BF46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b/>
          <w:sz w:val="28"/>
        </w:rPr>
        <w:lastRenderedPageBreak/>
        <w:t>FIGURES</w:t>
      </w:r>
    </w:p>
    <w:p w14:paraId="750DCC66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b/>
        </w:rPr>
        <w:t>Figure 1. Regional Changes in Treatment Utilization (Post-COVID minus Pre-COVID)</w:t>
      </w:r>
    </w:p>
    <w:p w14:paraId="2D675B71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noProof/>
        </w:rPr>
        <w:drawing>
          <wp:inline distT="0" distB="0" distL="0" distR="0" wp14:anchorId="1FCD8A31" wp14:editId="2B3B30E0">
            <wp:extent cx="5943600" cy="29900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tended_regional_heat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D796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i/>
          <w:sz w:val="18"/>
        </w:rPr>
        <w:t>(A) Change in medication utilization rates by U.S. Census Region. (B) Change in procedure utilization rates by U.S. Census Region. Values represent percentage point change. Asterisks (*) indicate p &lt; 0.05. Red = increase; Blue = decrease.</w:t>
      </w:r>
    </w:p>
    <w:p w14:paraId="39FA9805" w14:textId="77777777" w:rsidR="006A71D0" w:rsidRPr="0018702A" w:rsidRDefault="006A71D0">
      <w:pPr>
        <w:rPr>
          <w:rFonts w:ascii="Times New Roman" w:hAnsi="Times New Roman" w:cs="Times New Roman"/>
        </w:rPr>
      </w:pPr>
    </w:p>
    <w:p w14:paraId="5DA6BB53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</w:rPr>
        <w:br w:type="page"/>
      </w:r>
    </w:p>
    <w:p w14:paraId="606D523E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b/>
        </w:rPr>
        <w:lastRenderedPageBreak/>
        <w:t>Figure 2. Surgical Escalation Rates by Medication Group</w:t>
      </w:r>
    </w:p>
    <w:p w14:paraId="5CF8EE5C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noProof/>
        </w:rPr>
        <w:drawing>
          <wp:inline distT="0" distB="0" distL="0" distR="0" wp14:anchorId="18CEC843" wp14:editId="4FE55F5F">
            <wp:extent cx="5486400" cy="27385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tended_pathway_analysi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3775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i/>
          <w:sz w:val="18"/>
        </w:rPr>
        <w:t>Percentage of patients within each medication group who received any surgical intervention (MVD, SRS, or Rhizotomy). Blue bars = Pre-COVID (2016-2019); Orange bars = Post-COVID (2022-2025). Asterisks (*) indicate statistically significant difference (p &lt; 0.05).</w:t>
      </w:r>
    </w:p>
    <w:p w14:paraId="45A55CE5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</w:rPr>
        <w:br w:type="page"/>
      </w:r>
    </w:p>
    <w:p w14:paraId="73E98B6A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b/>
          <w:sz w:val="28"/>
        </w:rPr>
        <w:lastRenderedPageBreak/>
        <w:t>KEY FINDINGS</w:t>
      </w:r>
    </w:p>
    <w:p w14:paraId="6196539F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b/>
        </w:rPr>
        <w:t>1. Medication Utilization Shifts</w:t>
      </w:r>
    </w:p>
    <w:p w14:paraId="5F12ED2D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</w:rPr>
        <w:t>Gabapentin utilization increased from 46.5% to 50.9% (+4.4 percentage points, p&lt;0.001). Pregabalin showed the largest relative increase (+43%), rising from 11.4% to 16.2%. Carbamazepine/Oxcarbazepine (first-line therapy) showed a modest decrease from 43.1% to 42.2% (-0.9 pp).</w:t>
      </w:r>
    </w:p>
    <w:p w14:paraId="7421BF32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b/>
        </w:rPr>
        <w:t>2. Procedure Utilization Shifts</w:t>
      </w:r>
    </w:p>
    <w:p w14:paraId="4DB0D7ED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</w:rPr>
        <w:t>Less invasive procedures showed the largest relative increases: SRS (+30.4% relative) and Botox (+31.6% relative). Rhizotomy decreased by 10.9% relative. MVD (gold standard surgery) increased modestly (+11.8% relative).</w:t>
      </w:r>
    </w:p>
    <w:p w14:paraId="14587531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b/>
        </w:rPr>
        <w:t>3. Regional Variation</w:t>
      </w:r>
    </w:p>
    <w:p w14:paraId="2094A754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</w:rPr>
        <w:t>Pregabalin increases were uniform across all 9 regions (all p&lt;0.001), suggesting a national prescribing pattern shift. New England was the only region with a statistically significant increase in MVD rates (+0.27 pp, +45% relative, p=0.010).</w:t>
      </w:r>
    </w:p>
    <w:p w14:paraId="01E402C8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  <w:b/>
        </w:rPr>
        <w:t>4. Patient Volume</w:t>
      </w:r>
    </w:p>
    <w:p w14:paraId="234B6E27" w14:textId="77777777" w:rsidR="006A71D0" w:rsidRPr="0018702A" w:rsidRDefault="00000000">
      <w:pPr>
        <w:rPr>
          <w:rFonts w:ascii="Times New Roman" w:hAnsi="Times New Roman" w:cs="Times New Roman"/>
        </w:rPr>
      </w:pPr>
      <w:r w:rsidRPr="0018702A">
        <w:rPr>
          <w:rFonts w:ascii="Times New Roman" w:hAnsi="Times New Roman" w:cs="Times New Roman"/>
        </w:rPr>
        <w:t>Total TN patients increased from 154,435 (2016-2019) to 302,971 (2022-2025), a 96.2% increase. This likely reflects expanded Epic Cosmos network coverage rather than true incidence changes.</w:t>
      </w:r>
    </w:p>
    <w:sectPr w:rsidR="006A71D0" w:rsidRPr="001870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8725987">
    <w:abstractNumId w:val="8"/>
  </w:num>
  <w:num w:numId="2" w16cid:durableId="2138376981">
    <w:abstractNumId w:val="6"/>
  </w:num>
  <w:num w:numId="3" w16cid:durableId="443039019">
    <w:abstractNumId w:val="5"/>
  </w:num>
  <w:num w:numId="4" w16cid:durableId="1832452278">
    <w:abstractNumId w:val="4"/>
  </w:num>
  <w:num w:numId="5" w16cid:durableId="1768229420">
    <w:abstractNumId w:val="7"/>
  </w:num>
  <w:num w:numId="6" w16cid:durableId="1572156470">
    <w:abstractNumId w:val="3"/>
  </w:num>
  <w:num w:numId="7" w16cid:durableId="779878574">
    <w:abstractNumId w:val="2"/>
  </w:num>
  <w:num w:numId="8" w16cid:durableId="877620758">
    <w:abstractNumId w:val="1"/>
  </w:num>
  <w:num w:numId="9" w16cid:durableId="1681471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02A"/>
    <w:rsid w:val="0029639D"/>
    <w:rsid w:val="00326F90"/>
    <w:rsid w:val="006A71D0"/>
    <w:rsid w:val="00AA1D8D"/>
    <w:rsid w:val="00B47730"/>
    <w:rsid w:val="00C049D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2B2B98"/>
  <w14:defaultImageDpi w14:val="300"/>
  <w15:docId w15:val="{F5F4B67D-30B6-964D-8756-36C7AA07D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Dhiraj Pangal</cp:lastModifiedBy>
  <cp:revision>2</cp:revision>
  <dcterms:created xsi:type="dcterms:W3CDTF">2013-12-23T23:15:00Z</dcterms:created>
  <dcterms:modified xsi:type="dcterms:W3CDTF">2026-01-26T16:16:00Z</dcterms:modified>
  <cp:category/>
</cp:coreProperties>
</file>