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Trigeminal Neuralgia Treatment Patterns: Temporal Analysis</w:t>
      </w:r>
    </w:p>
    <w:p>
      <w:r>
        <w:t>Extended Analysis: Pre-COVID vs Post-COVID Comparison</w:t>
      </w:r>
    </w:p>
    <w:p>
      <w:r>
        <w:t>Generated: January 26, 2026</w:t>
      </w:r>
    </w:p>
    <w:p/>
    <w:p>
      <w:pPr>
        <w:pStyle w:val="Heading1"/>
      </w:pPr>
      <w:r>
        <w:t>Executive Summary</w:t>
      </w:r>
    </w:p>
    <w:p>
      <w:r>
        <w:br/>
        <w:t xml:space="preserve">This analysis compares trigeminal neuralgia treatment patterns between the pre-COVID era </w:t>
        <w:br/>
        <w:t xml:space="preserve">(November 2016 - November 2019; n=154,435) and post-COVID era </w:t>
        <w:br/>
        <w:t xml:space="preserve">(November 2022 - November 2025; n=302,971), representing a +96.2% </w:t>
        <w:br/>
        <w:t>increase in patient volume.</w:t>
        <w:br/>
      </w:r>
    </w:p>
    <w:p>
      <w:pPr>
        <w:pStyle w:val="Heading1"/>
      </w:pPr>
      <w:r>
        <w:t>1. Regional Changes in Treatment Patterns</w:t>
      </w:r>
    </w:p>
    <w:p>
      <w:r>
        <w:br/>
        <w:t xml:space="preserve">Figure 1 shows the change in medication and procedure utilization rates across all 9 US census </w:t>
        <w:br/>
        <w:t xml:space="preserve">regions. Values represent the percentage point change (Post-COVID rate minus Pre-COVID rate). </w:t>
        <w:br/>
        <w:t>Asterisks (*) indicate statistically significant changes (p &lt; 0.05).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990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tended_regiona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Regional changes in treatment utilization (Post-COVID - Pre-COVID)</w:t>
      </w:r>
    </w:p>
    <w:p/>
    <w:p>
      <w:pPr>
        <w:pStyle w:val="Heading1"/>
      </w:pPr>
      <w:r>
        <w:t>2. Treatment Pathway Analysis</w:t>
      </w:r>
    </w:p>
    <w:p>
      <w:r>
        <w:br/>
        <w:t>This analysis examines surgical escalation rates among patients in different medication groups.</w:t>
        <w:br/>
        <w:t xml:space="preserve">The question: Among patients on a specific medication, what percentage received any surgical </w:t>
        <w:br/>
        <w:t>intervention (MVD, SRS, or Rhizotomy)?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38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tended_pathway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Surgical escalation rate by medication group</w:t>
      </w:r>
    </w:p>
    <w:p/>
    <w:p>
      <w:pPr>
        <w:pStyle w:val="Heading2"/>
      </w:pPr>
      <w:r>
        <w:t>Table 1. Surgical Escalation Rates by Medication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Medication</w:t>
            </w:r>
          </w:p>
        </w:tc>
        <w:tc>
          <w:tcPr>
            <w:tcW w:type="dxa" w:w="1440"/>
          </w:tcPr>
          <w:p>
            <w:r>
              <w:t>Pre-COVID Surgery %</w:t>
            </w:r>
          </w:p>
        </w:tc>
        <w:tc>
          <w:tcPr>
            <w:tcW w:type="dxa" w:w="1440"/>
          </w:tcPr>
          <w:p>
            <w:r>
              <w:t>Post-COVID Surgery %</w:t>
            </w:r>
          </w:p>
        </w:tc>
        <w:tc>
          <w:tcPr>
            <w:tcW w:type="dxa" w:w="1440"/>
          </w:tcPr>
          <w:p>
            <w:r>
              <w:t>Change (pp)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Significant</w:t>
            </w:r>
          </w:p>
        </w:tc>
      </w:tr>
      <w:tr>
        <w:tc>
          <w:tcPr>
            <w:tcW w:type="dxa" w:w="1440"/>
          </w:tcPr>
          <w:p>
            <w:r>
              <w:t>Carbamazepine/Oxcarbazepine</w:t>
            </w:r>
          </w:p>
        </w:tc>
        <w:tc>
          <w:tcPr>
            <w:tcW w:type="dxa" w:w="1440"/>
          </w:tcPr>
          <w:p>
            <w:r>
              <w:t>4.51</w:t>
            </w:r>
          </w:p>
        </w:tc>
        <w:tc>
          <w:tcPr>
            <w:tcW w:type="dxa" w:w="1440"/>
          </w:tcPr>
          <w:p>
            <w:r>
              <w:t>5.40</w:t>
            </w:r>
          </w:p>
        </w:tc>
        <w:tc>
          <w:tcPr>
            <w:tcW w:type="dxa" w:w="1440"/>
          </w:tcPr>
          <w:p>
            <w:r>
              <w:t>+0.89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Baclofen</w:t>
            </w:r>
          </w:p>
        </w:tc>
        <w:tc>
          <w:tcPr>
            <w:tcW w:type="dxa" w:w="1440"/>
          </w:tcPr>
          <w:p>
            <w:r>
              <w:t>6.52</w:t>
            </w:r>
          </w:p>
        </w:tc>
        <w:tc>
          <w:tcPr>
            <w:tcW w:type="dxa" w:w="1440"/>
          </w:tcPr>
          <w:p>
            <w:r>
              <w:t>7.09</w:t>
            </w:r>
          </w:p>
        </w:tc>
        <w:tc>
          <w:tcPr>
            <w:tcW w:type="dxa" w:w="1440"/>
          </w:tcPr>
          <w:p>
            <w:r>
              <w:t>+0.57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Gabapentin</w:t>
            </w:r>
          </w:p>
        </w:tc>
        <w:tc>
          <w:tcPr>
            <w:tcW w:type="dxa" w:w="1440"/>
          </w:tcPr>
          <w:p>
            <w:r>
              <w:t>3.54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+0.33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Lamotrigine</w:t>
            </w:r>
          </w:p>
        </w:tc>
        <w:tc>
          <w:tcPr>
            <w:tcW w:type="dxa" w:w="1440"/>
          </w:tcPr>
          <w:p>
            <w:r>
              <w:t>6.75</w:t>
            </w:r>
          </w:p>
        </w:tc>
        <w:tc>
          <w:tcPr>
            <w:tcW w:type="dxa" w:w="1440"/>
          </w:tcPr>
          <w:p>
            <w:r>
              <w:t>7.10</w:t>
            </w:r>
          </w:p>
        </w:tc>
        <w:tc>
          <w:tcPr>
            <w:tcW w:type="dxa" w:w="1440"/>
          </w:tcPr>
          <w:p>
            <w:r>
              <w:t>+0.36</w:t>
            </w:r>
          </w:p>
        </w:tc>
        <w:tc>
          <w:tcPr>
            <w:tcW w:type="dxa" w:w="1440"/>
          </w:tcPr>
          <w:p>
            <w:r>
              <w:t>0.294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Pregabalin</w:t>
            </w:r>
          </w:p>
        </w:tc>
        <w:tc>
          <w:tcPr>
            <w:tcW w:type="dxa" w:w="1440"/>
          </w:tcPr>
          <w:p>
            <w:r>
              <w:t>5.36</w:t>
            </w:r>
          </w:p>
        </w:tc>
        <w:tc>
          <w:tcPr>
            <w:tcW w:type="dxa" w:w="1440"/>
          </w:tcPr>
          <w:p>
            <w:r>
              <w:t>5.47</w:t>
            </w:r>
          </w:p>
        </w:tc>
        <w:tc>
          <w:tcPr>
            <w:tcW w:type="dxa" w:w="1440"/>
          </w:tcPr>
          <w:p>
            <w:r>
              <w:t>+0.11</w:t>
            </w:r>
          </w:p>
        </w:tc>
        <w:tc>
          <w:tcPr>
            <w:tcW w:type="dxa" w:w="1440"/>
          </w:tcPr>
          <w:p>
            <w:r>
              <w:t>0.568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No TN Medication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-0.45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1"/>
      </w:pPr>
      <w:r>
        <w:t>3. Chi-Square Tests for Regional Distribution Changes</w:t>
      </w:r>
    </w:p>
    <w:p>
      <w:r>
        <w:br/>
        <w:t>These tests examine whether the regional distribution of each treatment changed between periods.</w:t>
        <w:br/>
        <w:t xml:space="preserve">A significant result indicates that the proportion of patients receiving that treatment shifted </w:t>
        <w:br/>
        <w:t>among regions (i.e., some regions gained or lost "market share").</w:t>
        <w:br/>
      </w:r>
    </w:p>
    <w:p>
      <w:pPr>
        <w:pStyle w:val="Heading2"/>
      </w:pPr>
      <w:r>
        <w:t>Table 2. Chi-Square Tests for Regional Distribution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Treatment</w:t>
            </w:r>
          </w:p>
        </w:tc>
        <w:tc>
          <w:tcPr>
            <w:tcW w:type="dxa" w:w="1728"/>
          </w:tcPr>
          <w:p>
            <w:r>
              <w:t>Chi-Square</w:t>
            </w:r>
          </w:p>
        </w:tc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</w:tr>
      <w:tr>
        <w:tc>
          <w:tcPr>
            <w:tcW w:type="dxa" w:w="1728"/>
          </w:tcPr>
          <w:p>
            <w:r>
              <w:t>Carbamazepine/Oxcarbazepine</w:t>
            </w:r>
          </w:p>
        </w:tc>
        <w:tc>
          <w:tcPr>
            <w:tcW w:type="dxa" w:w="1728"/>
          </w:tcPr>
          <w:p>
            <w:r>
              <w:t>643.6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MVD</w:t>
            </w:r>
          </w:p>
        </w:tc>
        <w:tc>
          <w:tcPr>
            <w:tcW w:type="dxa" w:w="1728"/>
          </w:tcPr>
          <w:p>
            <w:r>
              <w:t>17.9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SRS</w:t>
            </w:r>
          </w:p>
        </w:tc>
        <w:tc>
          <w:tcPr>
            <w:tcW w:type="dxa" w:w="1728"/>
          </w:tcPr>
          <w:p>
            <w:r>
              <w:t>113.3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Pregabalin</w:t>
            </w:r>
          </w:p>
        </w:tc>
        <w:tc>
          <w:tcPr>
            <w:tcW w:type="dxa" w:w="1728"/>
          </w:tcPr>
          <w:p>
            <w:r>
              <w:t>173.1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1"/>
      </w:pPr>
      <w:r>
        <w:t>4. Deep Dive: Key Findings</w:t>
      </w:r>
    </w:p>
    <w:p>
      <w:pPr>
        <w:pStyle w:val="Heading2"/>
      </w:pPr>
      <w:r>
        <w:t>4a. SRS and Botox Increases</w:t>
      </w:r>
    </w:p>
    <w:p>
      <w:r>
        <w:br/>
        <w:t xml:space="preserve">Stereotactic Radiosurgery (SRS) showed a 30.4% relative increase nationally, while Botox </w:t>
        <w:br/>
        <w:t xml:space="preserve">showed a 31.6% relative increase. These increases were relatively uniform across regions, </w:t>
        <w:br/>
        <w:t xml:space="preserve">suggesting a national shift toward less invasive interventions rather than regional </w:t>
        <w:br/>
        <w:t>variations in access.</w:t>
        <w:br/>
      </w:r>
    </w:p>
    <w:p>
      <w:pPr>
        <w:pStyle w:val="Heading2"/>
      </w:pPr>
      <w:r>
        <w:t>4b. New England MVD Increase</w:t>
      </w:r>
    </w:p>
    <w:p>
      <w:r>
        <w:br/>
        <w:t xml:space="preserve">New England was the only region showing a statistically significant increase in MVD rates </w:t>
        <w:br/>
        <w:t xml:space="preserve">(+0.27 percentage points, +45% relative increase, p=0.010). This could reflect regional </w:t>
        <w:br/>
        <w:t>differences in neurosurgical capacity or referral patterns.</w:t>
        <w:br/>
      </w:r>
    </w:p>
    <w:p>
      <w:pPr>
        <w:pStyle w:val="Heading2"/>
      </w:pPr>
      <w:r>
        <w:t>4c. Pregabalin Regional Breakdown</w:t>
      </w:r>
    </w:p>
    <w:p>
      <w:r>
        <w:br/>
        <w:t xml:space="preserve">Pregabalin utilization increased significantly across ALL regions (all p&lt;0.001), with </w:t>
        <w:br/>
        <w:t xml:space="preserve">absolute increases ranging from +3.4 to +7.5 percentage points. This uniform national </w:t>
        <w:br/>
        <w:t>increase suggests a systemic shift in prescribing patterns rather than regional variation.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