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Trigeminal Neuralgia Treatment Patterns: Tables and Figures</w:t>
      </w:r>
    </w:p>
    <w:p>
      <w:pPr>
        <w:jc w:val="center"/>
      </w:pPr>
      <w:r>
        <w:rPr>
          <w:sz w:val="20"/>
        </w:rPr>
        <w:t>Generated: January 11, 2026 at 01:19 PM</w:t>
      </w:r>
    </w:p>
    <w:p>
      <w:r>
        <w:rPr>
          <w:sz w:val="18"/>
        </w:rPr>
        <w:t>Data Source: Epic Cosmos Database</w:t>
        <w:br/>
        <w:t>Study Period: November 28, 2022 - November 27, 2025</w:t>
        <w:br/>
        <w:t>Inclusion: Patients with ICD-10 code G50.0 (Trigeminal Neuralgia)</w:t>
        <w:br/>
        <w:t>Geographic Scope: 50 US States + District of Columbia</w:t>
        <w:br/>
        <w:t>Note: Values of '10 or fewer' were imputed as 5 (midpoint)</w:t>
        <w:br/>
      </w:r>
    </w:p>
    <w:p>
      <w:r>
        <w:rPr>
          <w:b/>
          <w:sz w:val="28"/>
        </w:rPr>
        <w:t>TABLES</w:t>
      </w:r>
    </w:p>
    <w:p/>
    <w:p>
      <w:r>
        <w:rPr>
          <w:b/>
          <w:sz w:val="22"/>
        </w:rPr>
        <w:t>Table 1. Study Cohort Characteristics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Characteristic</w:t>
            </w:r>
          </w:p>
        </w:tc>
        <w:tc>
          <w:tcPr>
            <w:tcW w:type="dxa" w:w="2880"/>
          </w:tcPr>
          <w:p>
            <w:r>
              <w:rPr>
                <w:b/>
                <w:sz w:val="18"/>
              </w:rPr>
              <w:t>N</w:t>
            </w:r>
          </w:p>
        </w:tc>
        <w:tc>
          <w:tcPr>
            <w:tcW w:type="dxa" w:w="2880"/>
          </w:tcPr>
          <w:p>
            <w:r>
              <w:rPr>
                <w:b/>
                <w:sz w:val="18"/>
              </w:rPr>
              <w:t>Percentage</w:t>
            </w:r>
          </w:p>
        </w:tc>
      </w:tr>
      <w:tr>
        <w:tc>
          <w:tcPr>
            <w:tcW w:type="dxa" w:w="2880"/>
          </w:tcPr>
          <w:p>
            <w:r>
              <w:rPr>
                <w:sz w:val="18"/>
              </w:rPr>
              <w:t>Total TN Patients</w:t>
            </w:r>
          </w:p>
        </w:tc>
        <w:tc>
          <w:tcPr>
            <w:tcW w:type="dxa" w:w="2880"/>
          </w:tcPr>
          <w:p>
            <w:r>
              <w:rPr>
                <w:sz w:val="18"/>
              </w:rPr>
              <w:t>290,088</w:t>
            </w:r>
          </w:p>
        </w:tc>
        <w:tc>
          <w:tcPr>
            <w:tcW w:type="dxa" w:w="2880"/>
          </w:tcPr>
          <w:p>
            <w:r>
              <w:rPr>
                <w:sz w:val="18"/>
              </w:rPr>
              <w:t>100.0%</w:t>
            </w:r>
          </w:p>
        </w:tc>
      </w:tr>
      <w:tr>
        <w:tc>
          <w:tcPr>
            <w:tcW w:type="dxa" w:w="2880"/>
          </w:tcPr>
          <w:p>
            <w:r>
              <w:rPr>
                <w:sz w:val="18"/>
              </w:rPr>
            </w:r>
          </w:p>
        </w:tc>
        <w:tc>
          <w:tcPr>
            <w:tcW w:type="dxa" w:w="2880"/>
          </w:tcPr>
          <w:p>
            <w:r>
              <w:rPr>
                <w:sz w:val="18"/>
              </w:rPr>
            </w:r>
          </w:p>
        </w:tc>
        <w:tc>
          <w:tcPr>
            <w:tcW w:type="dxa" w:w="2880"/>
          </w:tcPr>
          <w:p>
            <w:r>
              <w:rPr>
                <w:sz w:val="18"/>
              </w:rPr>
            </w:r>
          </w:p>
        </w:tc>
      </w:tr>
      <w:tr>
        <w:tc>
          <w:tcPr>
            <w:tcW w:type="dxa" w:w="2880"/>
          </w:tcPr>
          <w:p>
            <w:r>
              <w:rPr>
                <w:sz w:val="18"/>
              </w:rPr>
              <w:t>Census Region</w:t>
            </w:r>
          </w:p>
        </w:tc>
        <w:tc>
          <w:tcPr>
            <w:tcW w:type="dxa" w:w="2880"/>
          </w:tcPr>
          <w:p>
            <w:r>
              <w:rPr>
                <w:sz w:val="18"/>
              </w:rPr>
            </w:r>
          </w:p>
        </w:tc>
        <w:tc>
          <w:tcPr>
            <w:tcW w:type="dxa" w:w="2880"/>
          </w:tcPr>
          <w:p>
            <w:r>
              <w:rPr>
                <w:sz w:val="18"/>
              </w:rPr>
            </w:r>
          </w:p>
        </w:tc>
      </w:tr>
      <w:tr>
        <w:tc>
          <w:tcPr>
            <w:tcW w:type="dxa" w:w="2880"/>
          </w:tcPr>
          <w:p>
            <w:r>
              <w:rPr>
                <w:sz w:val="18"/>
              </w:rPr>
              <w:t xml:space="preserve">  South Atlantic</w:t>
            </w:r>
          </w:p>
        </w:tc>
        <w:tc>
          <w:tcPr>
            <w:tcW w:type="dxa" w:w="2880"/>
          </w:tcPr>
          <w:p>
            <w:r>
              <w:rPr>
                <w:sz w:val="18"/>
              </w:rPr>
              <w:t>65,578</w:t>
            </w:r>
          </w:p>
        </w:tc>
        <w:tc>
          <w:tcPr>
            <w:tcW w:type="dxa" w:w="2880"/>
          </w:tcPr>
          <w:p>
            <w:r>
              <w:rPr>
                <w:sz w:val="18"/>
              </w:rPr>
              <w:t>22.6%</w:t>
            </w:r>
          </w:p>
        </w:tc>
      </w:tr>
      <w:tr>
        <w:tc>
          <w:tcPr>
            <w:tcW w:type="dxa" w:w="2880"/>
          </w:tcPr>
          <w:p>
            <w:r>
              <w:rPr>
                <w:sz w:val="18"/>
              </w:rPr>
              <w:t xml:space="preserve">  East North Central</w:t>
            </w:r>
          </w:p>
        </w:tc>
        <w:tc>
          <w:tcPr>
            <w:tcW w:type="dxa" w:w="2880"/>
          </w:tcPr>
          <w:p>
            <w:r>
              <w:rPr>
                <w:sz w:val="18"/>
              </w:rPr>
              <w:t>58,542</w:t>
            </w:r>
          </w:p>
        </w:tc>
        <w:tc>
          <w:tcPr>
            <w:tcW w:type="dxa" w:w="2880"/>
          </w:tcPr>
          <w:p>
            <w:r>
              <w:rPr>
                <w:sz w:val="18"/>
              </w:rPr>
              <w:t>20.2%</w:t>
            </w:r>
          </w:p>
        </w:tc>
      </w:tr>
      <w:tr>
        <w:tc>
          <w:tcPr>
            <w:tcW w:type="dxa" w:w="2880"/>
          </w:tcPr>
          <w:p>
            <w:r>
              <w:rPr>
                <w:sz w:val="18"/>
              </w:rPr>
              <w:t xml:space="preserve">  Middle Atlantic</w:t>
            </w:r>
          </w:p>
        </w:tc>
        <w:tc>
          <w:tcPr>
            <w:tcW w:type="dxa" w:w="2880"/>
          </w:tcPr>
          <w:p>
            <w:r>
              <w:rPr>
                <w:sz w:val="18"/>
              </w:rPr>
              <w:t>37,997</w:t>
            </w:r>
          </w:p>
        </w:tc>
        <w:tc>
          <w:tcPr>
            <w:tcW w:type="dxa" w:w="2880"/>
          </w:tcPr>
          <w:p>
            <w:r>
              <w:rPr>
                <w:sz w:val="18"/>
              </w:rPr>
              <w:t>13.1%</w:t>
            </w:r>
          </w:p>
        </w:tc>
      </w:tr>
      <w:tr>
        <w:tc>
          <w:tcPr>
            <w:tcW w:type="dxa" w:w="2880"/>
          </w:tcPr>
          <w:p>
            <w:r>
              <w:rPr>
                <w:sz w:val="18"/>
              </w:rPr>
              <w:t xml:space="preserve">  West South Central</w:t>
            </w:r>
          </w:p>
        </w:tc>
        <w:tc>
          <w:tcPr>
            <w:tcW w:type="dxa" w:w="2880"/>
          </w:tcPr>
          <w:p>
            <w:r>
              <w:rPr>
                <w:sz w:val="18"/>
              </w:rPr>
              <w:t>31,208</w:t>
            </w:r>
          </w:p>
        </w:tc>
        <w:tc>
          <w:tcPr>
            <w:tcW w:type="dxa" w:w="2880"/>
          </w:tcPr>
          <w:p>
            <w:r>
              <w:rPr>
                <w:sz w:val="18"/>
              </w:rPr>
              <w:t>10.8%</w:t>
            </w:r>
          </w:p>
        </w:tc>
      </w:tr>
      <w:tr>
        <w:tc>
          <w:tcPr>
            <w:tcW w:type="dxa" w:w="2880"/>
          </w:tcPr>
          <w:p>
            <w:r>
              <w:rPr>
                <w:sz w:val="18"/>
              </w:rPr>
              <w:t xml:space="preserve">  Pacific</w:t>
            </w:r>
          </w:p>
        </w:tc>
        <w:tc>
          <w:tcPr>
            <w:tcW w:type="dxa" w:w="2880"/>
          </w:tcPr>
          <w:p>
            <w:r>
              <w:rPr>
                <w:sz w:val="18"/>
              </w:rPr>
              <w:t>25,353</w:t>
            </w:r>
          </w:p>
        </w:tc>
        <w:tc>
          <w:tcPr>
            <w:tcW w:type="dxa" w:w="2880"/>
          </w:tcPr>
          <w:p>
            <w:r>
              <w:rPr>
                <w:sz w:val="18"/>
              </w:rPr>
              <w:t>8.7%</w:t>
            </w:r>
          </w:p>
        </w:tc>
      </w:tr>
      <w:tr>
        <w:tc>
          <w:tcPr>
            <w:tcW w:type="dxa" w:w="2880"/>
          </w:tcPr>
          <w:p>
            <w:r>
              <w:rPr>
                <w:sz w:val="18"/>
              </w:rPr>
              <w:t xml:space="preserve">  West North Central</w:t>
            </w:r>
          </w:p>
        </w:tc>
        <w:tc>
          <w:tcPr>
            <w:tcW w:type="dxa" w:w="2880"/>
          </w:tcPr>
          <w:p>
            <w:r>
              <w:rPr>
                <w:sz w:val="18"/>
              </w:rPr>
              <w:t>19,768</w:t>
            </w:r>
          </w:p>
        </w:tc>
        <w:tc>
          <w:tcPr>
            <w:tcW w:type="dxa" w:w="2880"/>
          </w:tcPr>
          <w:p>
            <w:r>
              <w:rPr>
                <w:sz w:val="18"/>
              </w:rPr>
              <w:t>6.8%</w:t>
            </w:r>
          </w:p>
        </w:tc>
      </w:tr>
      <w:tr>
        <w:tc>
          <w:tcPr>
            <w:tcW w:type="dxa" w:w="2880"/>
          </w:tcPr>
          <w:p>
            <w:r>
              <w:rPr>
                <w:sz w:val="18"/>
              </w:rPr>
              <w:t xml:space="preserve">  New England</w:t>
            </w:r>
          </w:p>
        </w:tc>
        <w:tc>
          <w:tcPr>
            <w:tcW w:type="dxa" w:w="2880"/>
          </w:tcPr>
          <w:p>
            <w:r>
              <w:rPr>
                <w:sz w:val="18"/>
              </w:rPr>
              <w:t>19,196</w:t>
            </w:r>
          </w:p>
        </w:tc>
        <w:tc>
          <w:tcPr>
            <w:tcW w:type="dxa" w:w="2880"/>
          </w:tcPr>
          <w:p>
            <w:r>
              <w:rPr>
                <w:sz w:val="18"/>
              </w:rPr>
              <w:t>6.6%</w:t>
            </w:r>
          </w:p>
        </w:tc>
      </w:tr>
      <w:tr>
        <w:tc>
          <w:tcPr>
            <w:tcW w:type="dxa" w:w="2880"/>
          </w:tcPr>
          <w:p>
            <w:r>
              <w:rPr>
                <w:sz w:val="18"/>
              </w:rPr>
              <w:t xml:space="preserve">  Mountain</w:t>
            </w:r>
          </w:p>
        </w:tc>
        <w:tc>
          <w:tcPr>
            <w:tcW w:type="dxa" w:w="2880"/>
          </w:tcPr>
          <w:p>
            <w:r>
              <w:rPr>
                <w:sz w:val="18"/>
              </w:rPr>
              <w:t>17,432</w:t>
            </w:r>
          </w:p>
        </w:tc>
        <w:tc>
          <w:tcPr>
            <w:tcW w:type="dxa" w:w="2880"/>
          </w:tcPr>
          <w:p>
            <w:r>
              <w:rPr>
                <w:sz w:val="18"/>
              </w:rPr>
              <w:t>6.0%</w:t>
            </w:r>
          </w:p>
        </w:tc>
      </w:tr>
      <w:tr>
        <w:tc>
          <w:tcPr>
            <w:tcW w:type="dxa" w:w="2880"/>
          </w:tcPr>
          <w:p>
            <w:r>
              <w:rPr>
                <w:sz w:val="18"/>
              </w:rPr>
              <w:t xml:space="preserve">  East South Central</w:t>
            </w:r>
          </w:p>
        </w:tc>
        <w:tc>
          <w:tcPr>
            <w:tcW w:type="dxa" w:w="2880"/>
          </w:tcPr>
          <w:p>
            <w:r>
              <w:rPr>
                <w:sz w:val="18"/>
              </w:rPr>
              <w:t>15,014</w:t>
            </w:r>
          </w:p>
        </w:tc>
        <w:tc>
          <w:tcPr>
            <w:tcW w:type="dxa" w:w="2880"/>
          </w:tcPr>
          <w:p>
            <w:r>
              <w:rPr>
                <w:sz w:val="18"/>
              </w:rPr>
              <w:t>5.2%</w:t>
            </w:r>
          </w:p>
        </w:tc>
      </w:tr>
      <w:tr>
        <w:tc>
          <w:tcPr>
            <w:tcW w:type="dxa" w:w="2880"/>
          </w:tcPr>
          <w:p>
            <w:r>
              <w:rPr>
                <w:sz w:val="18"/>
              </w:rPr>
            </w:r>
          </w:p>
        </w:tc>
        <w:tc>
          <w:tcPr>
            <w:tcW w:type="dxa" w:w="2880"/>
          </w:tcPr>
          <w:p>
            <w:r>
              <w:rPr>
                <w:sz w:val="18"/>
              </w:rPr>
            </w:r>
          </w:p>
        </w:tc>
        <w:tc>
          <w:tcPr>
            <w:tcW w:type="dxa" w:w="2880"/>
          </w:tcPr>
          <w:p>
            <w:r>
              <w:rPr>
                <w:sz w:val="18"/>
              </w:rPr>
            </w:r>
          </w:p>
        </w:tc>
      </w:tr>
      <w:tr>
        <w:tc>
          <w:tcPr>
            <w:tcW w:type="dxa" w:w="2880"/>
          </w:tcPr>
          <w:p>
            <w:r>
              <w:rPr>
                <w:sz w:val="18"/>
              </w:rPr>
              <w:t>Study Period</w:t>
            </w:r>
          </w:p>
        </w:tc>
        <w:tc>
          <w:tcPr>
            <w:tcW w:type="dxa" w:w="2880"/>
          </w:tcPr>
          <w:p>
            <w:r>
              <w:rPr>
                <w:sz w:val="18"/>
              </w:rPr>
              <w:t>Nov 28, 2022 - Nov 27, 2025</w:t>
            </w:r>
          </w:p>
        </w:tc>
        <w:tc>
          <w:tcPr>
            <w:tcW w:type="dxa" w:w="2880"/>
          </w:tcPr>
          <w:p>
            <w:r>
              <w:rPr>
                <w:sz w:val="18"/>
              </w:rPr>
            </w:r>
          </w:p>
        </w:tc>
      </w:tr>
      <w:tr>
        <w:tc>
          <w:tcPr>
            <w:tcW w:type="dxa" w:w="2880"/>
          </w:tcPr>
          <w:p>
            <w:r>
              <w:rPr>
                <w:sz w:val="18"/>
              </w:rPr>
              <w:t>Data Source</w:t>
            </w:r>
          </w:p>
        </w:tc>
        <w:tc>
          <w:tcPr>
            <w:tcW w:type="dxa" w:w="2880"/>
          </w:tcPr>
          <w:p>
            <w:r>
              <w:rPr>
                <w:sz w:val="18"/>
              </w:rPr>
              <w:t>Epic Cosmos</w:t>
            </w:r>
          </w:p>
        </w:tc>
        <w:tc>
          <w:tcPr>
            <w:tcW w:type="dxa" w:w="2880"/>
          </w:tcPr>
          <w:p>
            <w:r>
              <w:rPr>
                <w:sz w:val="18"/>
              </w:rPr>
            </w:r>
          </w:p>
        </w:tc>
      </w:tr>
      <w:tr>
        <w:tc>
          <w:tcPr>
            <w:tcW w:type="dxa" w:w="2880"/>
          </w:tcPr>
          <w:p>
            <w:r>
              <w:rPr>
                <w:sz w:val="18"/>
              </w:rPr>
              <w:t>ICD-10 Code</w:t>
            </w:r>
          </w:p>
        </w:tc>
        <w:tc>
          <w:tcPr>
            <w:tcW w:type="dxa" w:w="2880"/>
          </w:tcPr>
          <w:p>
            <w:r>
              <w:rPr>
                <w:sz w:val="18"/>
              </w:rPr>
              <w:t>G50.0 (Trigeminal Neuralgia)</w:t>
            </w:r>
          </w:p>
        </w:tc>
        <w:tc>
          <w:tcPr>
            <w:tcW w:type="dxa" w:w="2880"/>
          </w:tcPr>
          <w:p>
            <w:r>
              <w:rPr>
                <w:sz w:val="18"/>
              </w:rPr>
            </w:r>
          </w:p>
        </w:tc>
      </w:tr>
    </w:tbl>
    <w:p>
      <w:r>
        <w:rPr>
          <w:i/>
          <w:sz w:val="18"/>
        </w:rPr>
        <w:t>TN = Trigeminal Neuralgia</w:t>
      </w:r>
    </w:p>
    <w:p/>
    <w:p>
      <w:r>
        <w:rPr>
          <w:b/>
          <w:sz w:val="22"/>
        </w:rPr>
        <w:t>Table 2. National Treatment Utilization in Trigeminal Neuralgia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Treatment</w:t>
            </w:r>
          </w:p>
        </w:tc>
        <w:tc>
          <w:tcPr>
            <w:tcW w:type="dxa" w:w="2160"/>
          </w:tcPr>
          <w:p>
            <w:r>
              <w:rPr>
                <w:b/>
                <w:sz w:val="18"/>
              </w:rPr>
              <w:t>N</w:t>
            </w:r>
          </w:p>
        </w:tc>
        <w:tc>
          <w:tcPr>
            <w:tcW w:type="dxa" w:w="2160"/>
          </w:tcPr>
          <w:p>
            <w:r>
              <w:rPr>
                <w:b/>
                <w:sz w:val="18"/>
              </w:rPr>
              <w:t>Rate (%)</w:t>
            </w:r>
          </w:p>
        </w:tc>
        <w:tc>
          <w:tcPr>
            <w:tcW w:type="dxa" w:w="2160"/>
          </w:tcPr>
          <w:p>
            <w:r>
              <w:rPr>
                <w:b/>
                <w:sz w:val="18"/>
              </w:rPr>
              <w:t>95% CI</w:t>
            </w:r>
          </w:p>
        </w:tc>
      </w:tr>
      <w:tr>
        <w:tc>
          <w:tcPr>
            <w:tcW w:type="dxa" w:w="2160"/>
          </w:tcPr>
          <w:p>
            <w:r>
              <w:rPr>
                <w:sz w:val="18"/>
              </w:rPr>
              <w:t>MEDICATIONS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 xml:space="preserve">  Carbamazepine/Oxcarbazepine</w:t>
            </w:r>
          </w:p>
        </w:tc>
        <w:tc>
          <w:tcPr>
            <w:tcW w:type="dxa" w:w="2160"/>
          </w:tcPr>
          <w:p>
            <w:r>
              <w:rPr>
                <w:sz w:val="18"/>
              </w:rPr>
              <w:t>123,851</w:t>
            </w:r>
          </w:p>
        </w:tc>
        <w:tc>
          <w:tcPr>
            <w:tcW w:type="dxa" w:w="2160"/>
          </w:tcPr>
          <w:p>
            <w:r>
              <w:rPr>
                <w:sz w:val="18"/>
              </w:rPr>
              <w:t>42.7</w:t>
            </w:r>
          </w:p>
        </w:tc>
        <w:tc>
          <w:tcPr>
            <w:tcW w:type="dxa" w:w="2160"/>
          </w:tcPr>
          <w:p>
            <w:r>
              <w:rPr>
                <w:sz w:val="18"/>
              </w:rPr>
              <w:t>(42.5-42.9)</w:t>
            </w:r>
          </w:p>
        </w:tc>
      </w:tr>
      <w:tr>
        <w:tc>
          <w:tcPr>
            <w:tcW w:type="dxa" w:w="2160"/>
          </w:tcPr>
          <w:p>
            <w:r>
              <w:rPr>
                <w:sz w:val="18"/>
              </w:rPr>
              <w:t xml:space="preserve">  Gabapentin</w:t>
            </w:r>
          </w:p>
        </w:tc>
        <w:tc>
          <w:tcPr>
            <w:tcW w:type="dxa" w:w="2160"/>
          </w:tcPr>
          <w:p>
            <w:r>
              <w:rPr>
                <w:sz w:val="18"/>
              </w:rPr>
              <w:t>148,000</w:t>
            </w:r>
          </w:p>
        </w:tc>
        <w:tc>
          <w:tcPr>
            <w:tcW w:type="dxa" w:w="2160"/>
          </w:tcPr>
          <w:p>
            <w:r>
              <w:rPr>
                <w:sz w:val="18"/>
              </w:rPr>
              <w:t>51.0</w:t>
            </w:r>
          </w:p>
        </w:tc>
        <w:tc>
          <w:tcPr>
            <w:tcW w:type="dxa" w:w="2160"/>
          </w:tcPr>
          <w:p>
            <w:r>
              <w:rPr>
                <w:sz w:val="18"/>
              </w:rPr>
              <w:t>(50.8-51.2)</w:t>
            </w:r>
          </w:p>
        </w:tc>
      </w:tr>
      <w:tr>
        <w:tc>
          <w:tcPr>
            <w:tcW w:type="dxa" w:w="2160"/>
          </w:tcPr>
          <w:p>
            <w:r>
              <w:rPr>
                <w:sz w:val="18"/>
              </w:rPr>
              <w:t xml:space="preserve">  Pregabalin</w:t>
            </w:r>
          </w:p>
        </w:tc>
        <w:tc>
          <w:tcPr>
            <w:tcW w:type="dxa" w:w="2160"/>
          </w:tcPr>
          <w:p>
            <w:r>
              <w:rPr>
                <w:sz w:val="18"/>
              </w:rPr>
              <w:t>47,032</w:t>
            </w:r>
          </w:p>
        </w:tc>
        <w:tc>
          <w:tcPr>
            <w:tcW w:type="dxa" w:w="2160"/>
          </w:tcPr>
          <w:p>
            <w:r>
              <w:rPr>
                <w:sz w:val="18"/>
              </w:rPr>
              <w:t>16.2</w:t>
            </w:r>
          </w:p>
        </w:tc>
        <w:tc>
          <w:tcPr>
            <w:tcW w:type="dxa" w:w="2160"/>
          </w:tcPr>
          <w:p>
            <w:r>
              <w:rPr>
                <w:sz w:val="18"/>
              </w:rPr>
              <w:t>(16.1-16.3)</w:t>
            </w:r>
          </w:p>
        </w:tc>
      </w:tr>
      <w:tr>
        <w:tc>
          <w:tcPr>
            <w:tcW w:type="dxa" w:w="2160"/>
          </w:tcPr>
          <w:p>
            <w:r>
              <w:rPr>
                <w:sz w:val="18"/>
              </w:rPr>
              <w:t xml:space="preserve">  Baclofen</w:t>
            </w:r>
          </w:p>
        </w:tc>
        <w:tc>
          <w:tcPr>
            <w:tcW w:type="dxa" w:w="2160"/>
          </w:tcPr>
          <w:p>
            <w:r>
              <w:rPr>
                <w:sz w:val="18"/>
              </w:rPr>
              <w:t>47,736</w:t>
            </w:r>
          </w:p>
        </w:tc>
        <w:tc>
          <w:tcPr>
            <w:tcW w:type="dxa" w:w="2160"/>
          </w:tcPr>
          <w:p>
            <w:r>
              <w:rPr>
                <w:sz w:val="18"/>
              </w:rPr>
              <w:t>16.5</w:t>
            </w:r>
          </w:p>
        </w:tc>
        <w:tc>
          <w:tcPr>
            <w:tcW w:type="dxa" w:w="2160"/>
          </w:tcPr>
          <w:p>
            <w:r>
              <w:rPr>
                <w:sz w:val="18"/>
              </w:rPr>
              <w:t>(16.3-16.6)</w:t>
            </w:r>
          </w:p>
        </w:tc>
      </w:tr>
      <w:tr>
        <w:tc>
          <w:tcPr>
            <w:tcW w:type="dxa" w:w="2160"/>
          </w:tcPr>
          <w:p>
            <w:r>
              <w:rPr>
                <w:sz w:val="18"/>
              </w:rPr>
              <w:t xml:space="preserve">  Lamotrigine</w:t>
            </w:r>
          </w:p>
        </w:tc>
        <w:tc>
          <w:tcPr>
            <w:tcW w:type="dxa" w:w="2160"/>
          </w:tcPr>
          <w:p>
            <w:r>
              <w:rPr>
                <w:sz w:val="18"/>
              </w:rPr>
              <w:t>19,266</w:t>
            </w:r>
          </w:p>
        </w:tc>
        <w:tc>
          <w:tcPr>
            <w:tcW w:type="dxa" w:w="2160"/>
          </w:tcPr>
          <w:p>
            <w:r>
              <w:rPr>
                <w:sz w:val="18"/>
              </w:rPr>
              <w:t>6.6</w:t>
            </w:r>
          </w:p>
        </w:tc>
        <w:tc>
          <w:tcPr>
            <w:tcW w:type="dxa" w:w="2160"/>
          </w:tcPr>
          <w:p>
            <w:r>
              <w:rPr>
                <w:sz w:val="18"/>
              </w:rPr>
              <w:t>(6.6-6.7)</w:t>
            </w:r>
          </w:p>
        </w:tc>
      </w:tr>
      <w:tr>
        <w:tc>
          <w:tcPr>
            <w:tcW w:type="dxa" w:w="2160"/>
          </w:tcPr>
          <w:p>
            <w:r>
              <w:rPr>
                <w:sz w:val="18"/>
              </w:rPr>
              <w:t xml:space="preserve">  OnabotulinumtoxinA</w:t>
            </w:r>
          </w:p>
        </w:tc>
        <w:tc>
          <w:tcPr>
            <w:tcW w:type="dxa" w:w="2160"/>
          </w:tcPr>
          <w:p>
            <w:r>
              <w:rPr>
                <w:sz w:val="18"/>
              </w:rPr>
              <w:t>14,972</w:t>
            </w:r>
          </w:p>
        </w:tc>
        <w:tc>
          <w:tcPr>
            <w:tcW w:type="dxa" w:w="2160"/>
          </w:tcPr>
          <w:p>
            <w:r>
              <w:rPr>
                <w:sz w:val="18"/>
              </w:rPr>
              <w:t>5.2</w:t>
            </w:r>
          </w:p>
        </w:tc>
        <w:tc>
          <w:tcPr>
            <w:tcW w:type="dxa" w:w="2160"/>
          </w:tcPr>
          <w:p>
            <w:r>
              <w:rPr>
                <w:sz w:val="18"/>
              </w:rPr>
              <w:t>(5.1-5.2)</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PROCEDURES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 xml:space="preserve">  Microvascular Decompression (MVD)</w:t>
            </w:r>
          </w:p>
        </w:tc>
        <w:tc>
          <w:tcPr>
            <w:tcW w:type="dxa" w:w="2160"/>
          </w:tcPr>
          <w:p>
            <w:r>
              <w:rPr>
                <w:sz w:val="18"/>
              </w:rPr>
              <w:t>4,033</w:t>
            </w:r>
          </w:p>
        </w:tc>
        <w:tc>
          <w:tcPr>
            <w:tcW w:type="dxa" w:w="2160"/>
          </w:tcPr>
          <w:p>
            <w:r>
              <w:rPr>
                <w:sz w:val="18"/>
              </w:rPr>
              <w:t>1.39</w:t>
            </w:r>
          </w:p>
        </w:tc>
        <w:tc>
          <w:tcPr>
            <w:tcW w:type="dxa" w:w="2160"/>
          </w:tcPr>
          <w:p>
            <w:r>
              <w:rPr>
                <w:sz w:val="18"/>
              </w:rPr>
              <w:t>(1.35-1.43)</w:t>
            </w:r>
          </w:p>
        </w:tc>
      </w:tr>
      <w:tr>
        <w:tc>
          <w:tcPr>
            <w:tcW w:type="dxa" w:w="2160"/>
          </w:tcPr>
          <w:p>
            <w:r>
              <w:rPr>
                <w:sz w:val="18"/>
              </w:rPr>
              <w:t xml:space="preserve">  Stereotactic Radiosurgery (SRS)</w:t>
            </w:r>
          </w:p>
        </w:tc>
        <w:tc>
          <w:tcPr>
            <w:tcW w:type="dxa" w:w="2160"/>
          </w:tcPr>
          <w:p>
            <w:r>
              <w:rPr>
                <w:sz w:val="18"/>
              </w:rPr>
              <w:t>1,813</w:t>
            </w:r>
          </w:p>
        </w:tc>
        <w:tc>
          <w:tcPr>
            <w:tcW w:type="dxa" w:w="2160"/>
          </w:tcPr>
          <w:p>
            <w:r>
              <w:rPr>
                <w:sz w:val="18"/>
              </w:rPr>
              <w:t>0.62</w:t>
            </w:r>
          </w:p>
        </w:tc>
        <w:tc>
          <w:tcPr>
            <w:tcW w:type="dxa" w:w="2160"/>
          </w:tcPr>
          <w:p>
            <w:r>
              <w:rPr>
                <w:sz w:val="18"/>
              </w:rPr>
              <w:t>(0.60-0.65)</w:t>
            </w:r>
          </w:p>
        </w:tc>
      </w:tr>
      <w:tr>
        <w:tc>
          <w:tcPr>
            <w:tcW w:type="dxa" w:w="2160"/>
          </w:tcPr>
          <w:p>
            <w:r>
              <w:rPr>
                <w:sz w:val="18"/>
              </w:rPr>
              <w:t xml:space="preserve">  Percutaneous Rhizotomy</w:t>
            </w:r>
          </w:p>
        </w:tc>
        <w:tc>
          <w:tcPr>
            <w:tcW w:type="dxa" w:w="2160"/>
          </w:tcPr>
          <w:p>
            <w:r>
              <w:rPr>
                <w:sz w:val="18"/>
              </w:rPr>
              <w:t>972</w:t>
            </w:r>
          </w:p>
        </w:tc>
        <w:tc>
          <w:tcPr>
            <w:tcW w:type="dxa" w:w="2160"/>
          </w:tcPr>
          <w:p>
            <w:r>
              <w:rPr>
                <w:sz w:val="18"/>
              </w:rPr>
              <w:t>0.34</w:t>
            </w:r>
          </w:p>
        </w:tc>
        <w:tc>
          <w:tcPr>
            <w:tcW w:type="dxa" w:w="2160"/>
          </w:tcPr>
          <w:p>
            <w:r>
              <w:rPr>
                <w:sz w:val="18"/>
              </w:rPr>
              <w:t>(0.31-0.36)</w:t>
            </w:r>
          </w:p>
        </w:tc>
      </w:tr>
      <w:tr>
        <w:tc>
          <w:tcPr>
            <w:tcW w:type="dxa" w:w="2160"/>
          </w:tcPr>
          <w:p>
            <w:r>
              <w:rPr>
                <w:sz w:val="18"/>
              </w:rPr>
              <w:t xml:space="preserve">  Glycerol Rhizotomy</w:t>
            </w:r>
          </w:p>
        </w:tc>
        <w:tc>
          <w:tcPr>
            <w:tcW w:type="dxa" w:w="2160"/>
          </w:tcPr>
          <w:p>
            <w:r>
              <w:rPr>
                <w:sz w:val="18"/>
              </w:rPr>
              <w:t>2,616</w:t>
            </w:r>
          </w:p>
        </w:tc>
        <w:tc>
          <w:tcPr>
            <w:tcW w:type="dxa" w:w="2160"/>
          </w:tcPr>
          <w:p>
            <w:r>
              <w:rPr>
                <w:sz w:val="18"/>
              </w:rPr>
              <w:t>0.9</w:t>
            </w:r>
          </w:p>
        </w:tc>
        <w:tc>
          <w:tcPr>
            <w:tcW w:type="dxa" w:w="2160"/>
          </w:tcPr>
          <w:p>
            <w:r>
              <w:rPr>
                <w:sz w:val="18"/>
              </w:rPr>
              <w:t>(0.87-0.94)</w:t>
            </w:r>
          </w:p>
        </w:tc>
      </w:tr>
      <w:tr>
        <w:tc>
          <w:tcPr>
            <w:tcW w:type="dxa" w:w="2160"/>
          </w:tcPr>
          <w:p>
            <w:r>
              <w:rPr>
                <w:sz w:val="18"/>
              </w:rPr>
              <w:t xml:space="preserve">  Botox Injection</w:t>
            </w:r>
          </w:p>
        </w:tc>
        <w:tc>
          <w:tcPr>
            <w:tcW w:type="dxa" w:w="2160"/>
          </w:tcPr>
          <w:p>
            <w:r>
              <w:rPr>
                <w:sz w:val="18"/>
              </w:rPr>
              <w:t>2,069</w:t>
            </w:r>
          </w:p>
        </w:tc>
        <w:tc>
          <w:tcPr>
            <w:tcW w:type="dxa" w:w="2160"/>
          </w:tcPr>
          <w:p>
            <w:r>
              <w:rPr>
                <w:sz w:val="18"/>
              </w:rPr>
              <w:t>0.71</w:t>
            </w:r>
          </w:p>
        </w:tc>
        <w:tc>
          <w:tcPr>
            <w:tcW w:type="dxa" w:w="2160"/>
          </w:tcPr>
          <w:p>
            <w:r>
              <w:rPr>
                <w:sz w:val="18"/>
              </w:rPr>
              <w:t>(0.68-0.74)</w:t>
            </w:r>
          </w:p>
        </w:tc>
      </w:tr>
    </w:tbl>
    <w:p>
      <w:r>
        <w:rPr>
          <w:i/>
          <w:sz w:val="18"/>
        </w:rPr>
        <w:t>CI = Confidence Interval; MVD = Microvascular Decompression; SRS = Stereotactic Radiosurgery</w:t>
      </w:r>
    </w:p>
    <w:p/>
    <w:p>
      <w:r>
        <w:rPr>
          <w:b/>
          <w:sz w:val="22"/>
        </w:rPr>
        <w:t>Table 3. Treatment Utilization Rates by U.S. Census Region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Census Region</w:t>
            </w:r>
          </w:p>
        </w:tc>
        <w:tc>
          <w:tcPr>
            <w:tcW w:type="dxa" w:w="960"/>
          </w:tcPr>
          <w:p>
            <w:r>
              <w:rPr>
                <w:b/>
                <w:sz w:val="18"/>
              </w:rPr>
              <w:t>N Patients</w:t>
            </w:r>
          </w:p>
        </w:tc>
        <w:tc>
          <w:tcPr>
            <w:tcW w:type="dxa" w:w="960"/>
          </w:tcPr>
          <w:p>
            <w:r>
              <w:rPr>
                <w:b/>
                <w:sz w:val="18"/>
              </w:rPr>
              <w:t>Carb/Oxcarb (%)</w:t>
            </w:r>
          </w:p>
        </w:tc>
        <w:tc>
          <w:tcPr>
            <w:tcW w:type="dxa" w:w="960"/>
          </w:tcPr>
          <w:p>
            <w:r>
              <w:rPr>
                <w:b/>
                <w:sz w:val="18"/>
              </w:rPr>
              <w:t>Gabapentin (%)</w:t>
            </w:r>
          </w:p>
        </w:tc>
        <w:tc>
          <w:tcPr>
            <w:tcW w:type="dxa" w:w="960"/>
          </w:tcPr>
          <w:p>
            <w:r>
              <w:rPr>
                <w:b/>
                <w:sz w:val="18"/>
              </w:rPr>
              <w:t>Pregabalin (%)</w:t>
            </w:r>
          </w:p>
        </w:tc>
        <w:tc>
          <w:tcPr>
            <w:tcW w:type="dxa" w:w="960"/>
          </w:tcPr>
          <w:p>
            <w:r>
              <w:rPr>
                <w:b/>
                <w:sz w:val="18"/>
              </w:rPr>
              <w:t>Baclofen (%)</w:t>
            </w:r>
          </w:p>
        </w:tc>
        <w:tc>
          <w:tcPr>
            <w:tcW w:type="dxa" w:w="960"/>
          </w:tcPr>
          <w:p>
            <w:r>
              <w:rPr>
                <w:b/>
                <w:sz w:val="18"/>
              </w:rPr>
              <w:t>MVD (%)</w:t>
            </w:r>
          </w:p>
        </w:tc>
        <w:tc>
          <w:tcPr>
            <w:tcW w:type="dxa" w:w="960"/>
          </w:tcPr>
          <w:p>
            <w:r>
              <w:rPr>
                <w:b/>
                <w:sz w:val="18"/>
              </w:rPr>
              <w:t>SRS (%)</w:t>
            </w:r>
          </w:p>
        </w:tc>
        <w:tc>
          <w:tcPr>
            <w:tcW w:type="dxa" w:w="960"/>
          </w:tcPr>
          <w:p>
            <w:r>
              <w:rPr>
                <w:b/>
                <w:sz w:val="18"/>
              </w:rPr>
              <w:t>RHIZOTOMY (%)</w:t>
            </w:r>
          </w:p>
        </w:tc>
      </w:tr>
      <w:tr>
        <w:tc>
          <w:tcPr>
            <w:tcW w:type="dxa" w:w="960"/>
          </w:tcPr>
          <w:p>
            <w:r>
              <w:rPr>
                <w:sz w:val="18"/>
              </w:rPr>
              <w:t>South Atlantic</w:t>
            </w:r>
          </w:p>
        </w:tc>
        <w:tc>
          <w:tcPr>
            <w:tcW w:type="dxa" w:w="960"/>
          </w:tcPr>
          <w:p>
            <w:r>
              <w:rPr>
                <w:sz w:val="18"/>
              </w:rPr>
              <w:t>65,578</w:t>
            </w:r>
          </w:p>
        </w:tc>
        <w:tc>
          <w:tcPr>
            <w:tcW w:type="dxa" w:w="960"/>
          </w:tcPr>
          <w:p>
            <w:r>
              <w:rPr>
                <w:sz w:val="18"/>
              </w:rPr>
              <w:t>42.6</w:t>
            </w:r>
          </w:p>
        </w:tc>
        <w:tc>
          <w:tcPr>
            <w:tcW w:type="dxa" w:w="960"/>
          </w:tcPr>
          <w:p>
            <w:r>
              <w:rPr>
                <w:sz w:val="18"/>
              </w:rPr>
              <w:t>52.4</w:t>
            </w:r>
          </w:p>
        </w:tc>
        <w:tc>
          <w:tcPr>
            <w:tcW w:type="dxa" w:w="960"/>
          </w:tcPr>
          <w:p>
            <w:r>
              <w:rPr>
                <w:sz w:val="18"/>
              </w:rPr>
              <w:t>17.4</w:t>
            </w:r>
          </w:p>
        </w:tc>
        <w:tc>
          <w:tcPr>
            <w:tcW w:type="dxa" w:w="960"/>
          </w:tcPr>
          <w:p>
            <w:r>
              <w:rPr>
                <w:sz w:val="18"/>
              </w:rPr>
              <w:t>17.0</w:t>
            </w:r>
          </w:p>
        </w:tc>
        <w:tc>
          <w:tcPr>
            <w:tcW w:type="dxa" w:w="960"/>
          </w:tcPr>
          <w:p>
            <w:r>
              <w:rPr>
                <w:sz w:val="18"/>
              </w:rPr>
              <w:t>1.61</w:t>
            </w:r>
          </w:p>
        </w:tc>
        <w:tc>
          <w:tcPr>
            <w:tcW w:type="dxa" w:w="960"/>
          </w:tcPr>
          <w:p>
            <w:r>
              <w:rPr>
                <w:sz w:val="18"/>
              </w:rPr>
              <w:t>0.71</w:t>
            </w:r>
          </w:p>
        </w:tc>
        <w:tc>
          <w:tcPr>
            <w:tcW w:type="dxa" w:w="960"/>
          </w:tcPr>
          <w:p>
            <w:r>
              <w:rPr>
                <w:sz w:val="18"/>
              </w:rPr>
              <w:t>0.41</w:t>
            </w:r>
          </w:p>
        </w:tc>
      </w:tr>
      <w:tr>
        <w:tc>
          <w:tcPr>
            <w:tcW w:type="dxa" w:w="960"/>
          </w:tcPr>
          <w:p>
            <w:r>
              <w:rPr>
                <w:sz w:val="18"/>
              </w:rPr>
              <w:t>East North Central</w:t>
            </w:r>
          </w:p>
        </w:tc>
        <w:tc>
          <w:tcPr>
            <w:tcW w:type="dxa" w:w="960"/>
          </w:tcPr>
          <w:p>
            <w:r>
              <w:rPr>
                <w:sz w:val="18"/>
              </w:rPr>
              <w:t>58,542</w:t>
            </w:r>
          </w:p>
        </w:tc>
        <w:tc>
          <w:tcPr>
            <w:tcW w:type="dxa" w:w="960"/>
          </w:tcPr>
          <w:p>
            <w:r>
              <w:rPr>
                <w:sz w:val="18"/>
              </w:rPr>
              <w:t>43.0</w:t>
            </w:r>
          </w:p>
        </w:tc>
        <w:tc>
          <w:tcPr>
            <w:tcW w:type="dxa" w:w="960"/>
          </w:tcPr>
          <w:p>
            <w:r>
              <w:rPr>
                <w:sz w:val="18"/>
              </w:rPr>
              <w:t>50.0</w:t>
            </w:r>
          </w:p>
        </w:tc>
        <w:tc>
          <w:tcPr>
            <w:tcW w:type="dxa" w:w="960"/>
          </w:tcPr>
          <w:p>
            <w:r>
              <w:rPr>
                <w:sz w:val="18"/>
              </w:rPr>
              <w:t>15.7</w:t>
            </w:r>
          </w:p>
        </w:tc>
        <w:tc>
          <w:tcPr>
            <w:tcW w:type="dxa" w:w="960"/>
          </w:tcPr>
          <w:p>
            <w:r>
              <w:rPr>
                <w:sz w:val="18"/>
              </w:rPr>
              <w:t>17.1</w:t>
            </w:r>
          </w:p>
        </w:tc>
        <w:tc>
          <w:tcPr>
            <w:tcW w:type="dxa" w:w="960"/>
          </w:tcPr>
          <w:p>
            <w:r>
              <w:rPr>
                <w:sz w:val="18"/>
              </w:rPr>
              <w:t>1.05</w:t>
            </w:r>
          </w:p>
        </w:tc>
        <w:tc>
          <w:tcPr>
            <w:tcW w:type="dxa" w:w="960"/>
          </w:tcPr>
          <w:p>
            <w:r>
              <w:rPr>
                <w:sz w:val="18"/>
              </w:rPr>
              <w:t>0.21</w:t>
            </w:r>
          </w:p>
        </w:tc>
        <w:tc>
          <w:tcPr>
            <w:tcW w:type="dxa" w:w="960"/>
          </w:tcPr>
          <w:p>
            <w:r>
              <w:rPr>
                <w:sz w:val="18"/>
              </w:rPr>
              <w:t>0.23</w:t>
            </w:r>
          </w:p>
        </w:tc>
      </w:tr>
      <w:tr>
        <w:tc>
          <w:tcPr>
            <w:tcW w:type="dxa" w:w="960"/>
          </w:tcPr>
          <w:p>
            <w:r>
              <w:rPr>
                <w:sz w:val="18"/>
              </w:rPr>
              <w:t>Middle Atlantic</w:t>
            </w:r>
          </w:p>
        </w:tc>
        <w:tc>
          <w:tcPr>
            <w:tcW w:type="dxa" w:w="960"/>
          </w:tcPr>
          <w:p>
            <w:r>
              <w:rPr>
                <w:sz w:val="18"/>
              </w:rPr>
              <w:t>37,997</w:t>
            </w:r>
          </w:p>
        </w:tc>
        <w:tc>
          <w:tcPr>
            <w:tcW w:type="dxa" w:w="960"/>
          </w:tcPr>
          <w:p>
            <w:r>
              <w:rPr>
                <w:sz w:val="18"/>
              </w:rPr>
              <w:t>41.7</w:t>
            </w:r>
          </w:p>
        </w:tc>
        <w:tc>
          <w:tcPr>
            <w:tcW w:type="dxa" w:w="960"/>
          </w:tcPr>
          <w:p>
            <w:r>
              <w:rPr>
                <w:sz w:val="18"/>
              </w:rPr>
              <w:t>50.2</w:t>
            </w:r>
          </w:p>
        </w:tc>
        <w:tc>
          <w:tcPr>
            <w:tcW w:type="dxa" w:w="960"/>
          </w:tcPr>
          <w:p>
            <w:r>
              <w:rPr>
                <w:sz w:val="18"/>
              </w:rPr>
              <w:t>14.1</w:t>
            </w:r>
          </w:p>
        </w:tc>
        <w:tc>
          <w:tcPr>
            <w:tcW w:type="dxa" w:w="960"/>
          </w:tcPr>
          <w:p>
            <w:r>
              <w:rPr>
                <w:sz w:val="18"/>
              </w:rPr>
              <w:t>16.0</w:t>
            </w:r>
          </w:p>
        </w:tc>
        <w:tc>
          <w:tcPr>
            <w:tcW w:type="dxa" w:w="960"/>
          </w:tcPr>
          <w:p>
            <w:r>
              <w:rPr>
                <w:sz w:val="18"/>
              </w:rPr>
              <w:t>1.2</w:t>
            </w:r>
          </w:p>
        </w:tc>
        <w:tc>
          <w:tcPr>
            <w:tcW w:type="dxa" w:w="960"/>
          </w:tcPr>
          <w:p>
            <w:r>
              <w:rPr>
                <w:sz w:val="18"/>
              </w:rPr>
              <w:t>0.64</w:t>
            </w:r>
          </w:p>
        </w:tc>
        <w:tc>
          <w:tcPr>
            <w:tcW w:type="dxa" w:w="960"/>
          </w:tcPr>
          <w:p>
            <w:r>
              <w:rPr>
                <w:sz w:val="18"/>
              </w:rPr>
              <w:t>0.29</w:t>
            </w:r>
          </w:p>
        </w:tc>
      </w:tr>
      <w:tr>
        <w:tc>
          <w:tcPr>
            <w:tcW w:type="dxa" w:w="960"/>
          </w:tcPr>
          <w:p>
            <w:r>
              <w:rPr>
                <w:sz w:val="18"/>
              </w:rPr>
              <w:t>West South Central</w:t>
            </w:r>
          </w:p>
        </w:tc>
        <w:tc>
          <w:tcPr>
            <w:tcW w:type="dxa" w:w="960"/>
          </w:tcPr>
          <w:p>
            <w:r>
              <w:rPr>
                <w:sz w:val="18"/>
              </w:rPr>
              <w:t>31,208</w:t>
            </w:r>
          </w:p>
        </w:tc>
        <w:tc>
          <w:tcPr>
            <w:tcW w:type="dxa" w:w="960"/>
          </w:tcPr>
          <w:p>
            <w:r>
              <w:rPr>
                <w:sz w:val="18"/>
              </w:rPr>
              <w:t>47.2</w:t>
            </w:r>
          </w:p>
        </w:tc>
        <w:tc>
          <w:tcPr>
            <w:tcW w:type="dxa" w:w="960"/>
          </w:tcPr>
          <w:p>
            <w:r>
              <w:rPr>
                <w:sz w:val="18"/>
              </w:rPr>
              <w:t>56.3</w:t>
            </w:r>
          </w:p>
        </w:tc>
        <w:tc>
          <w:tcPr>
            <w:tcW w:type="dxa" w:w="960"/>
          </w:tcPr>
          <w:p>
            <w:r>
              <w:rPr>
                <w:sz w:val="18"/>
              </w:rPr>
              <w:t>19.0</w:t>
            </w:r>
          </w:p>
        </w:tc>
        <w:tc>
          <w:tcPr>
            <w:tcW w:type="dxa" w:w="960"/>
          </w:tcPr>
          <w:p>
            <w:r>
              <w:rPr>
                <w:sz w:val="18"/>
              </w:rPr>
              <w:t>17.1</w:t>
            </w:r>
          </w:p>
        </w:tc>
        <w:tc>
          <w:tcPr>
            <w:tcW w:type="dxa" w:w="960"/>
          </w:tcPr>
          <w:p>
            <w:r>
              <w:rPr>
                <w:sz w:val="18"/>
              </w:rPr>
              <w:t>1.69</w:t>
            </w:r>
          </w:p>
        </w:tc>
        <w:tc>
          <w:tcPr>
            <w:tcW w:type="dxa" w:w="960"/>
          </w:tcPr>
          <w:p>
            <w:r>
              <w:rPr>
                <w:sz w:val="18"/>
              </w:rPr>
              <w:t>0.62</w:t>
            </w:r>
          </w:p>
        </w:tc>
        <w:tc>
          <w:tcPr>
            <w:tcW w:type="dxa" w:w="960"/>
          </w:tcPr>
          <w:p>
            <w:r>
              <w:rPr>
                <w:sz w:val="18"/>
              </w:rPr>
              <w:t>0.21</w:t>
            </w:r>
          </w:p>
        </w:tc>
      </w:tr>
      <w:tr>
        <w:tc>
          <w:tcPr>
            <w:tcW w:type="dxa" w:w="960"/>
          </w:tcPr>
          <w:p>
            <w:r>
              <w:rPr>
                <w:sz w:val="18"/>
              </w:rPr>
              <w:t>Pacific</w:t>
            </w:r>
          </w:p>
        </w:tc>
        <w:tc>
          <w:tcPr>
            <w:tcW w:type="dxa" w:w="960"/>
          </w:tcPr>
          <w:p>
            <w:r>
              <w:rPr>
                <w:sz w:val="18"/>
              </w:rPr>
              <w:t>25,353</w:t>
            </w:r>
          </w:p>
        </w:tc>
        <w:tc>
          <w:tcPr>
            <w:tcW w:type="dxa" w:w="960"/>
          </w:tcPr>
          <w:p>
            <w:r>
              <w:rPr>
                <w:sz w:val="18"/>
              </w:rPr>
              <w:t>38.4</w:t>
            </w:r>
          </w:p>
        </w:tc>
        <w:tc>
          <w:tcPr>
            <w:tcW w:type="dxa" w:w="960"/>
          </w:tcPr>
          <w:p>
            <w:r>
              <w:rPr>
                <w:sz w:val="18"/>
              </w:rPr>
              <w:t>49.9</w:t>
            </w:r>
          </w:p>
        </w:tc>
        <w:tc>
          <w:tcPr>
            <w:tcW w:type="dxa" w:w="960"/>
          </w:tcPr>
          <w:p>
            <w:r>
              <w:rPr>
                <w:sz w:val="18"/>
              </w:rPr>
              <w:t>15.5</w:t>
            </w:r>
          </w:p>
        </w:tc>
        <w:tc>
          <w:tcPr>
            <w:tcW w:type="dxa" w:w="960"/>
          </w:tcPr>
          <w:p>
            <w:r>
              <w:rPr>
                <w:sz w:val="18"/>
              </w:rPr>
              <w:t>15.4</w:t>
            </w:r>
          </w:p>
        </w:tc>
        <w:tc>
          <w:tcPr>
            <w:tcW w:type="dxa" w:w="960"/>
          </w:tcPr>
          <w:p>
            <w:r>
              <w:rPr>
                <w:sz w:val="18"/>
              </w:rPr>
              <w:t>2.27</w:t>
            </w:r>
          </w:p>
        </w:tc>
        <w:tc>
          <w:tcPr>
            <w:tcW w:type="dxa" w:w="960"/>
          </w:tcPr>
          <w:p>
            <w:r>
              <w:rPr>
                <w:sz w:val="18"/>
              </w:rPr>
              <w:t>0.34</w:t>
            </w:r>
          </w:p>
        </w:tc>
        <w:tc>
          <w:tcPr>
            <w:tcW w:type="dxa" w:w="960"/>
          </w:tcPr>
          <w:p>
            <w:r>
              <w:rPr>
                <w:sz w:val="18"/>
              </w:rPr>
              <w:t>0.66</w:t>
            </w:r>
          </w:p>
        </w:tc>
      </w:tr>
      <w:tr>
        <w:tc>
          <w:tcPr>
            <w:tcW w:type="dxa" w:w="960"/>
          </w:tcPr>
          <w:p>
            <w:r>
              <w:rPr>
                <w:sz w:val="18"/>
              </w:rPr>
              <w:t>West North Central</w:t>
            </w:r>
          </w:p>
        </w:tc>
        <w:tc>
          <w:tcPr>
            <w:tcW w:type="dxa" w:w="960"/>
          </w:tcPr>
          <w:p>
            <w:r>
              <w:rPr>
                <w:sz w:val="18"/>
              </w:rPr>
              <w:t>19,768</w:t>
            </w:r>
          </w:p>
        </w:tc>
        <w:tc>
          <w:tcPr>
            <w:tcW w:type="dxa" w:w="960"/>
          </w:tcPr>
          <w:p>
            <w:r>
              <w:rPr>
                <w:sz w:val="18"/>
              </w:rPr>
              <w:t>45.1</w:t>
            </w:r>
          </w:p>
        </w:tc>
        <w:tc>
          <w:tcPr>
            <w:tcW w:type="dxa" w:w="960"/>
          </w:tcPr>
          <w:p>
            <w:r>
              <w:rPr>
                <w:sz w:val="18"/>
              </w:rPr>
              <w:t>50.4</w:t>
            </w:r>
          </w:p>
        </w:tc>
        <w:tc>
          <w:tcPr>
            <w:tcW w:type="dxa" w:w="960"/>
          </w:tcPr>
          <w:p>
            <w:r>
              <w:rPr>
                <w:sz w:val="18"/>
              </w:rPr>
              <w:t>15.8</w:t>
            </w:r>
          </w:p>
        </w:tc>
        <w:tc>
          <w:tcPr>
            <w:tcW w:type="dxa" w:w="960"/>
          </w:tcPr>
          <w:p>
            <w:r>
              <w:rPr>
                <w:sz w:val="18"/>
              </w:rPr>
              <w:t>15.3</w:t>
            </w:r>
          </w:p>
        </w:tc>
        <w:tc>
          <w:tcPr>
            <w:tcW w:type="dxa" w:w="960"/>
          </w:tcPr>
          <w:p>
            <w:r>
              <w:rPr>
                <w:sz w:val="18"/>
              </w:rPr>
              <w:t>1.21</w:t>
            </w:r>
          </w:p>
        </w:tc>
        <w:tc>
          <w:tcPr>
            <w:tcW w:type="dxa" w:w="960"/>
          </w:tcPr>
          <w:p>
            <w:r>
              <w:rPr>
                <w:sz w:val="18"/>
              </w:rPr>
              <w:t>0.61</w:t>
            </w:r>
          </w:p>
        </w:tc>
        <w:tc>
          <w:tcPr>
            <w:tcW w:type="dxa" w:w="960"/>
          </w:tcPr>
          <w:p>
            <w:r>
              <w:rPr>
                <w:sz w:val="18"/>
              </w:rPr>
              <w:t>0.5</w:t>
            </w:r>
          </w:p>
        </w:tc>
      </w:tr>
      <w:tr>
        <w:tc>
          <w:tcPr>
            <w:tcW w:type="dxa" w:w="960"/>
          </w:tcPr>
          <w:p>
            <w:r>
              <w:rPr>
                <w:sz w:val="18"/>
              </w:rPr>
              <w:t>New England</w:t>
            </w:r>
          </w:p>
        </w:tc>
        <w:tc>
          <w:tcPr>
            <w:tcW w:type="dxa" w:w="960"/>
          </w:tcPr>
          <w:p>
            <w:r>
              <w:rPr>
                <w:sz w:val="18"/>
              </w:rPr>
              <w:t>19,196</w:t>
            </w:r>
          </w:p>
        </w:tc>
        <w:tc>
          <w:tcPr>
            <w:tcW w:type="dxa" w:w="960"/>
          </w:tcPr>
          <w:p>
            <w:r>
              <w:rPr>
                <w:sz w:val="18"/>
              </w:rPr>
              <w:t>37.9</w:t>
            </w:r>
          </w:p>
        </w:tc>
        <w:tc>
          <w:tcPr>
            <w:tcW w:type="dxa" w:w="960"/>
          </w:tcPr>
          <w:p>
            <w:r>
              <w:rPr>
                <w:sz w:val="18"/>
              </w:rPr>
              <w:t>47.3</w:t>
            </w:r>
          </w:p>
        </w:tc>
        <w:tc>
          <w:tcPr>
            <w:tcW w:type="dxa" w:w="960"/>
          </w:tcPr>
          <w:p>
            <w:r>
              <w:rPr>
                <w:sz w:val="18"/>
              </w:rPr>
              <w:t>12.5</w:t>
            </w:r>
          </w:p>
        </w:tc>
        <w:tc>
          <w:tcPr>
            <w:tcW w:type="dxa" w:w="960"/>
          </w:tcPr>
          <w:p>
            <w:r>
              <w:rPr>
                <w:sz w:val="18"/>
              </w:rPr>
              <w:t>13.7</w:t>
            </w:r>
          </w:p>
        </w:tc>
        <w:tc>
          <w:tcPr>
            <w:tcW w:type="dxa" w:w="960"/>
          </w:tcPr>
          <w:p>
            <w:r>
              <w:rPr>
                <w:sz w:val="18"/>
              </w:rPr>
              <w:t>0.93</w:t>
            </w:r>
          </w:p>
        </w:tc>
        <w:tc>
          <w:tcPr>
            <w:tcW w:type="dxa" w:w="960"/>
          </w:tcPr>
          <w:p>
            <w:r>
              <w:rPr>
                <w:sz w:val="18"/>
              </w:rPr>
              <w:t>1.62</w:t>
            </w:r>
          </w:p>
        </w:tc>
        <w:tc>
          <w:tcPr>
            <w:tcW w:type="dxa" w:w="960"/>
          </w:tcPr>
          <w:p>
            <w:r>
              <w:rPr>
                <w:sz w:val="18"/>
              </w:rPr>
              <w:t>0.16</w:t>
            </w:r>
          </w:p>
        </w:tc>
      </w:tr>
      <w:tr>
        <w:tc>
          <w:tcPr>
            <w:tcW w:type="dxa" w:w="960"/>
          </w:tcPr>
          <w:p>
            <w:r>
              <w:rPr>
                <w:sz w:val="18"/>
              </w:rPr>
              <w:t>Mountain</w:t>
            </w:r>
          </w:p>
        </w:tc>
        <w:tc>
          <w:tcPr>
            <w:tcW w:type="dxa" w:w="960"/>
          </w:tcPr>
          <w:p>
            <w:r>
              <w:rPr>
                <w:sz w:val="18"/>
              </w:rPr>
              <w:t>17,432</w:t>
            </w:r>
          </w:p>
        </w:tc>
        <w:tc>
          <w:tcPr>
            <w:tcW w:type="dxa" w:w="960"/>
          </w:tcPr>
          <w:p>
            <w:r>
              <w:rPr>
                <w:sz w:val="18"/>
              </w:rPr>
              <w:t>40.3</w:t>
            </w:r>
          </w:p>
        </w:tc>
        <w:tc>
          <w:tcPr>
            <w:tcW w:type="dxa" w:w="960"/>
          </w:tcPr>
          <w:p>
            <w:r>
              <w:rPr>
                <w:sz w:val="18"/>
              </w:rPr>
              <w:t>47.6</w:t>
            </w:r>
          </w:p>
        </w:tc>
        <w:tc>
          <w:tcPr>
            <w:tcW w:type="dxa" w:w="960"/>
          </w:tcPr>
          <w:p>
            <w:r>
              <w:rPr>
                <w:sz w:val="18"/>
              </w:rPr>
              <w:t>16.9</w:t>
            </w:r>
          </w:p>
        </w:tc>
        <w:tc>
          <w:tcPr>
            <w:tcW w:type="dxa" w:w="960"/>
          </w:tcPr>
          <w:p>
            <w:r>
              <w:rPr>
                <w:sz w:val="18"/>
              </w:rPr>
              <w:t>16.5</w:t>
            </w:r>
          </w:p>
        </w:tc>
        <w:tc>
          <w:tcPr>
            <w:tcW w:type="dxa" w:w="960"/>
          </w:tcPr>
          <w:p>
            <w:r>
              <w:rPr>
                <w:sz w:val="18"/>
              </w:rPr>
              <w:t>1.31</w:t>
            </w:r>
          </w:p>
        </w:tc>
        <w:tc>
          <w:tcPr>
            <w:tcW w:type="dxa" w:w="960"/>
          </w:tcPr>
          <w:p>
            <w:r>
              <w:rPr>
                <w:sz w:val="18"/>
              </w:rPr>
              <w:t>0.95</w:t>
            </w:r>
          </w:p>
        </w:tc>
        <w:tc>
          <w:tcPr>
            <w:tcW w:type="dxa" w:w="960"/>
          </w:tcPr>
          <w:p>
            <w:r>
              <w:rPr>
                <w:sz w:val="18"/>
              </w:rPr>
              <w:t>0.37</w:t>
            </w:r>
          </w:p>
        </w:tc>
      </w:tr>
      <w:tr>
        <w:tc>
          <w:tcPr>
            <w:tcW w:type="dxa" w:w="960"/>
          </w:tcPr>
          <w:p>
            <w:r>
              <w:rPr>
                <w:sz w:val="18"/>
              </w:rPr>
              <w:t>East South Central</w:t>
            </w:r>
          </w:p>
        </w:tc>
        <w:tc>
          <w:tcPr>
            <w:tcW w:type="dxa" w:w="960"/>
          </w:tcPr>
          <w:p>
            <w:r>
              <w:rPr>
                <w:sz w:val="18"/>
              </w:rPr>
              <w:t>15,014</w:t>
            </w:r>
          </w:p>
        </w:tc>
        <w:tc>
          <w:tcPr>
            <w:tcW w:type="dxa" w:w="960"/>
          </w:tcPr>
          <w:p>
            <w:r>
              <w:rPr>
                <w:sz w:val="18"/>
              </w:rPr>
              <w:t>48.1</w:t>
            </w:r>
          </w:p>
        </w:tc>
        <w:tc>
          <w:tcPr>
            <w:tcW w:type="dxa" w:w="960"/>
          </w:tcPr>
          <w:p>
            <w:r>
              <w:rPr>
                <w:sz w:val="18"/>
              </w:rPr>
              <w:t>51.6</w:t>
            </w:r>
          </w:p>
        </w:tc>
        <w:tc>
          <w:tcPr>
            <w:tcW w:type="dxa" w:w="960"/>
          </w:tcPr>
          <w:p>
            <w:r>
              <w:rPr>
                <w:sz w:val="18"/>
              </w:rPr>
              <w:t>18.3</w:t>
            </w:r>
          </w:p>
        </w:tc>
        <w:tc>
          <w:tcPr>
            <w:tcW w:type="dxa" w:w="960"/>
          </w:tcPr>
          <w:p>
            <w:r>
              <w:rPr>
                <w:sz w:val="18"/>
              </w:rPr>
              <w:t>17.9</w:t>
            </w:r>
          </w:p>
        </w:tc>
        <w:tc>
          <w:tcPr>
            <w:tcW w:type="dxa" w:w="960"/>
          </w:tcPr>
          <w:p>
            <w:r>
              <w:rPr>
                <w:sz w:val="18"/>
              </w:rPr>
              <w:t>1.03</w:t>
            </w:r>
          </w:p>
        </w:tc>
        <w:tc>
          <w:tcPr>
            <w:tcW w:type="dxa" w:w="960"/>
          </w:tcPr>
          <w:p>
            <w:r>
              <w:rPr>
                <w:sz w:val="18"/>
              </w:rPr>
              <w:t>0.7</w:t>
            </w:r>
          </w:p>
        </w:tc>
        <w:tc>
          <w:tcPr>
            <w:tcW w:type="dxa" w:w="960"/>
          </w:tcPr>
          <w:p>
            <w:r>
              <w:rPr>
                <w:sz w:val="18"/>
              </w:rPr>
              <w:t>0.21</w:t>
            </w:r>
          </w:p>
        </w:tc>
      </w:tr>
    </w:tbl>
    <w:p>
      <w:r>
        <w:rPr>
          <w:i/>
          <w:sz w:val="18"/>
        </w:rPr>
        <w:t>Rates expressed as percentage of patients within each region. Carb/Oxcarb = Carbamazepine/Oxcarbazepine; MVD = Microvascular Decompression; SRS = Stereotactic Radiosurgery</w:t>
      </w:r>
    </w:p>
    <w:p/>
    <w:p>
      <w:r>
        <w:rPr>
          <w:b/>
          <w:sz w:val="22"/>
        </w:rPr>
        <w:t>Table 4. Chi-Square Tests for Regional Treatment Variation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Test</w:t>
            </w:r>
          </w:p>
        </w:tc>
        <w:tc>
          <w:tcPr>
            <w:tcW w:type="dxa" w:w="1728"/>
          </w:tcPr>
          <w:p>
            <w:r>
              <w:rPr>
                <w:b/>
                <w:sz w:val="18"/>
              </w:rPr>
              <w:t>Chi-Square</w:t>
            </w:r>
          </w:p>
        </w:tc>
        <w:tc>
          <w:tcPr>
            <w:tcW w:type="dxa" w:w="1728"/>
          </w:tcPr>
          <w:p>
            <w:r>
              <w:rPr>
                <w:b/>
                <w:sz w:val="18"/>
              </w:rPr>
              <w:t>df</w:t>
            </w:r>
          </w:p>
        </w:tc>
        <w:tc>
          <w:tcPr>
            <w:tcW w:type="dxa" w:w="1728"/>
          </w:tcPr>
          <w:p>
            <w:r>
              <w:rPr>
                <w:b/>
                <w:sz w:val="18"/>
              </w:rPr>
              <w:t>P-value</w:t>
            </w:r>
          </w:p>
        </w:tc>
        <w:tc>
          <w:tcPr>
            <w:tcW w:type="dxa" w:w="1728"/>
          </w:tcPr>
          <w:p>
            <w:r>
              <w:rPr>
                <w:b/>
                <w:sz w:val="18"/>
              </w:rPr>
              <w:t>Result</w:t>
            </w:r>
          </w:p>
        </w:tc>
      </w:tr>
      <w:tr>
        <w:tc>
          <w:tcPr>
            <w:tcW w:type="dxa" w:w="1728"/>
          </w:tcPr>
          <w:p>
            <w:r>
              <w:rPr>
                <w:sz w:val="18"/>
              </w:rPr>
              <w:t>Medication Preferences by Region</w:t>
            </w:r>
          </w:p>
        </w:tc>
        <w:tc>
          <w:tcPr>
            <w:tcW w:type="dxa" w:w="1728"/>
          </w:tcPr>
          <w:p>
            <w:r>
              <w:rPr>
                <w:sz w:val="18"/>
              </w:rPr>
              <w:t>597.8</w:t>
            </w:r>
          </w:p>
        </w:tc>
        <w:tc>
          <w:tcPr>
            <w:tcW w:type="dxa" w:w="1728"/>
          </w:tcPr>
          <w:p>
            <w:r>
              <w:rPr>
                <w:sz w:val="18"/>
              </w:rPr>
              <w:t>32</w:t>
            </w:r>
          </w:p>
        </w:tc>
        <w:tc>
          <w:tcPr>
            <w:tcW w:type="dxa" w:w="1728"/>
          </w:tcPr>
          <w:p>
            <w:r>
              <w:rPr>
                <w:sz w:val="18"/>
              </w:rPr>
              <w:t>&lt;0.001</w:t>
            </w:r>
          </w:p>
        </w:tc>
        <w:tc>
          <w:tcPr>
            <w:tcW w:type="dxa" w:w="1728"/>
          </w:tcPr>
          <w:p>
            <w:r>
              <w:rPr>
                <w:sz w:val="18"/>
              </w:rPr>
              <w:t>Significant</w:t>
            </w:r>
          </w:p>
        </w:tc>
      </w:tr>
      <w:tr>
        <w:tc>
          <w:tcPr>
            <w:tcW w:type="dxa" w:w="1728"/>
          </w:tcPr>
          <w:p>
            <w:r>
              <w:rPr>
                <w:sz w:val="18"/>
              </w:rPr>
              <w:t>Surgical Preferences by Region</w:t>
            </w:r>
          </w:p>
        </w:tc>
        <w:tc>
          <w:tcPr>
            <w:tcW w:type="dxa" w:w="1728"/>
          </w:tcPr>
          <w:p>
            <w:r>
              <w:rPr>
                <w:sz w:val="18"/>
              </w:rPr>
              <w:t>681.7</w:t>
            </w:r>
          </w:p>
        </w:tc>
        <w:tc>
          <w:tcPr>
            <w:tcW w:type="dxa" w:w="1728"/>
          </w:tcPr>
          <w:p>
            <w:r>
              <w:rPr>
                <w:sz w:val="18"/>
              </w:rPr>
              <w:t>24</w:t>
            </w:r>
          </w:p>
        </w:tc>
        <w:tc>
          <w:tcPr>
            <w:tcW w:type="dxa" w:w="1728"/>
          </w:tcPr>
          <w:p>
            <w:r>
              <w:rPr>
                <w:sz w:val="18"/>
              </w:rPr>
              <w:t>&lt;0.001</w:t>
            </w:r>
          </w:p>
        </w:tc>
        <w:tc>
          <w:tcPr>
            <w:tcW w:type="dxa" w:w="1728"/>
          </w:tcPr>
          <w:p>
            <w:r>
              <w:rPr>
                <w:sz w:val="18"/>
              </w:rPr>
              <w:t>Significant</w:t>
            </w:r>
          </w:p>
        </w:tc>
      </w:tr>
    </w:tbl>
    <w:p>
      <w:r>
        <w:rPr>
          <w:i/>
          <w:sz w:val="18"/>
        </w:rPr>
        <w:t>Chi-square tests assess whether treatment preferences vary significantly across U.S. Census Regions. Significance threshold: p &lt; 0.05.</w:t>
      </w:r>
    </w:p>
    <w:p/>
    <w:p>
      <w:r>
        <w:br w:type="page"/>
      </w:r>
    </w:p>
    <w:p>
      <w:r>
        <w:rPr>
          <w:b/>
          <w:sz w:val="28"/>
        </w:rPr>
        <w:t>FIGURES</w:t>
      </w:r>
    </w:p>
    <w:p>
      <w:r>
        <w:rPr>
          <w:b/>
          <w:sz w:val="22"/>
        </w:rPr>
        <w:t>Figure 1. National Treatment Utilization Rates in Trigeminal Neuralgia</w:t>
      </w:r>
    </w:p>
    <w:p>
      <w:r>
        <w:drawing>
          <wp:inline xmlns:a="http://schemas.openxmlformats.org/drawingml/2006/main" xmlns:pic="http://schemas.openxmlformats.org/drawingml/2006/picture">
            <wp:extent cx="5943600" cy="2522823"/>
            <wp:docPr id="1" name="Picture 1"/>
            <wp:cNvGraphicFramePr>
              <a:graphicFrameLocks noChangeAspect="1"/>
            </wp:cNvGraphicFramePr>
            <a:graphic>
              <a:graphicData uri="http://schemas.openxmlformats.org/drawingml/2006/picture">
                <pic:pic>
                  <pic:nvPicPr>
                    <pic:cNvPr id="0" name="jns_fig1_national_utilization.png"/>
                    <pic:cNvPicPr/>
                  </pic:nvPicPr>
                  <pic:blipFill>
                    <a:blip r:embed="rId9"/>
                    <a:stretch>
                      <a:fillRect/>
                    </a:stretch>
                  </pic:blipFill>
                  <pic:spPr>
                    <a:xfrm>
                      <a:off x="0" y="0"/>
                      <a:ext cx="5943600" cy="2522823"/>
                    </a:xfrm>
                    <a:prstGeom prst="rect"/>
                  </pic:spPr>
                </pic:pic>
              </a:graphicData>
            </a:graphic>
          </wp:inline>
        </w:drawing>
      </w:r>
    </w:p>
    <w:p>
      <w:r>
        <w:rPr>
          <w:i/>
          <w:sz w:val="18"/>
        </w:rPr>
        <w:t>(A) Medication utilization showing percentage of TN patients prescribed each drug class. (B) Surgical procedure utilization showing percentage of patients undergoing each intervention. Error bars represent 95% confidence intervals.</w:t>
      </w:r>
    </w:p>
    <w:p/>
    <w:p>
      <w:r>
        <w:br w:type="page"/>
      </w:r>
    </w:p>
    <w:p>
      <w:r>
        <w:rPr>
          <w:b/>
          <w:sz w:val="22"/>
        </w:rPr>
        <w:t>Figure 2. State-Level Variation in First-Line Medication Utilization</w:t>
      </w:r>
    </w:p>
    <w:p>
      <w:r>
        <w:drawing>
          <wp:inline xmlns:a="http://schemas.openxmlformats.org/drawingml/2006/main" xmlns:pic="http://schemas.openxmlformats.org/drawingml/2006/picture">
            <wp:extent cx="5943600" cy="5088406"/>
            <wp:docPr id="2" name="Picture 2"/>
            <wp:cNvGraphicFramePr>
              <a:graphicFrameLocks noChangeAspect="1"/>
            </wp:cNvGraphicFramePr>
            <a:graphic>
              <a:graphicData uri="http://schemas.openxmlformats.org/drawingml/2006/picture">
                <pic:pic>
                  <pic:nvPicPr>
                    <pic:cNvPr id="0" name="jns_fig2_state_carbamazepine.png"/>
                    <pic:cNvPicPr/>
                  </pic:nvPicPr>
                  <pic:blipFill>
                    <a:blip r:embed="rId10"/>
                    <a:stretch>
                      <a:fillRect/>
                    </a:stretch>
                  </pic:blipFill>
                  <pic:spPr>
                    <a:xfrm>
                      <a:off x="0" y="0"/>
                      <a:ext cx="5943600" cy="5088406"/>
                    </a:xfrm>
                    <a:prstGeom prst="rect"/>
                  </pic:spPr>
                </pic:pic>
              </a:graphicData>
            </a:graphic>
          </wp:inline>
        </w:drawing>
      </w:r>
    </w:p>
    <w:p>
      <w:r>
        <w:rPr>
          <w:i/>
          <w:sz w:val="18"/>
        </w:rPr>
        <w:t>Carbamazepine/Oxcarbazepine utilization rates by state. States colored red show significantly higher utilization than the national average (dashed line); states colored blue show significantly lower utilization. Gray indicates no significant difference from national average (two-tailed z-test, p &lt; 0.05).</w:t>
      </w:r>
    </w:p>
    <w:p/>
    <w:p>
      <w:r>
        <w:br w:type="page"/>
      </w:r>
    </w:p>
    <w:p>
      <w:r>
        <w:rPr>
          <w:b/>
          <w:sz w:val="22"/>
        </w:rPr>
        <w:t>Figure 3. State-Level Variation in Microvascular Decompression Utilization</w:t>
      </w:r>
    </w:p>
    <w:p>
      <w:r>
        <w:drawing>
          <wp:inline xmlns:a="http://schemas.openxmlformats.org/drawingml/2006/main" xmlns:pic="http://schemas.openxmlformats.org/drawingml/2006/picture">
            <wp:extent cx="5943600" cy="5088406"/>
            <wp:docPr id="3" name="Picture 3"/>
            <wp:cNvGraphicFramePr>
              <a:graphicFrameLocks noChangeAspect="1"/>
            </wp:cNvGraphicFramePr>
            <a:graphic>
              <a:graphicData uri="http://schemas.openxmlformats.org/drawingml/2006/picture">
                <pic:pic>
                  <pic:nvPicPr>
                    <pic:cNvPr id="0" name="jns_fig3_state_mvd.png"/>
                    <pic:cNvPicPr/>
                  </pic:nvPicPr>
                  <pic:blipFill>
                    <a:blip r:embed="rId11"/>
                    <a:stretch>
                      <a:fillRect/>
                    </a:stretch>
                  </pic:blipFill>
                  <pic:spPr>
                    <a:xfrm>
                      <a:off x="0" y="0"/>
                      <a:ext cx="5943600" cy="5088406"/>
                    </a:xfrm>
                    <a:prstGeom prst="rect"/>
                  </pic:spPr>
                </pic:pic>
              </a:graphicData>
            </a:graphic>
          </wp:inline>
        </w:drawing>
      </w:r>
    </w:p>
    <w:p>
      <w:r>
        <w:rPr>
          <w:i/>
          <w:sz w:val="18"/>
        </w:rPr>
        <w:t>Microvascular decompression (MVD) utilization rates by state. States colored red show significantly higher utilization than the national average (dashed line); states colored blue show significantly lower utilization. Gray indicates no significant difference from national average (two-tailed z-test, p &lt; 0.05).</w:t>
      </w:r>
    </w:p>
    <w:p/>
    <w:p>
      <w:r>
        <w:br w:type="page"/>
      </w:r>
    </w:p>
    <w:p>
      <w:r>
        <w:rPr>
          <w:b/>
          <w:sz w:val="22"/>
        </w:rPr>
        <w:t>Figure 4. Regional Treatment Utilization Patterns</w:t>
      </w:r>
    </w:p>
    <w:p>
      <w:r>
        <w:drawing>
          <wp:inline xmlns:a="http://schemas.openxmlformats.org/drawingml/2006/main" xmlns:pic="http://schemas.openxmlformats.org/drawingml/2006/picture">
            <wp:extent cx="5943600" cy="2607726"/>
            <wp:docPr id="4" name="Picture 4"/>
            <wp:cNvGraphicFramePr>
              <a:graphicFrameLocks noChangeAspect="1"/>
            </wp:cNvGraphicFramePr>
            <a:graphic>
              <a:graphicData uri="http://schemas.openxmlformats.org/drawingml/2006/picture">
                <pic:pic>
                  <pic:nvPicPr>
                    <pic:cNvPr id="0" name="jns_fig4_regional_heatmap.png"/>
                    <pic:cNvPicPr/>
                  </pic:nvPicPr>
                  <pic:blipFill>
                    <a:blip r:embed="rId12"/>
                    <a:stretch>
                      <a:fillRect/>
                    </a:stretch>
                  </pic:blipFill>
                  <pic:spPr>
                    <a:xfrm>
                      <a:off x="0" y="0"/>
                      <a:ext cx="5943600" cy="2607726"/>
                    </a:xfrm>
                    <a:prstGeom prst="rect"/>
                  </pic:spPr>
                </pic:pic>
              </a:graphicData>
            </a:graphic>
          </wp:inline>
        </w:drawing>
      </w:r>
    </w:p>
    <w:p>
      <w:r>
        <w:rPr>
          <w:i/>
          <w:sz w:val="18"/>
        </w:rPr>
        <w:t>(A) Medication utilization rates (%) by U.S. Census Region. (B) Surgical procedure utilization rates (%) by U.S. Census Region. Carb/Oxcarb = Carbamazepine/Oxcarbazepine; MVD = Microvascular Decompression; SRS = Stereotactic Radiosurgery.</w:t>
      </w:r>
    </w:p>
    <w:p/>
    <w:p>
      <w:r>
        <w:br w:type="page"/>
      </w:r>
    </w:p>
    <w:p>
      <w:r>
        <w:rPr>
          <w:b/>
          <w:sz w:val="22"/>
        </w:rPr>
        <w:t>Figure 5. Surgical Intervention Rates by Medication Group</w:t>
      </w:r>
    </w:p>
    <w:p>
      <w:r>
        <w:drawing>
          <wp:inline xmlns:a="http://schemas.openxmlformats.org/drawingml/2006/main" xmlns:pic="http://schemas.openxmlformats.org/drawingml/2006/picture">
            <wp:extent cx="5486400" cy="2720148"/>
            <wp:docPr id="5" name="Picture 5"/>
            <wp:cNvGraphicFramePr>
              <a:graphicFrameLocks noChangeAspect="1"/>
            </wp:cNvGraphicFramePr>
            <a:graphic>
              <a:graphicData uri="http://schemas.openxmlformats.org/drawingml/2006/picture">
                <pic:pic>
                  <pic:nvPicPr>
                    <pic:cNvPr id="0" name="jns_fig5_treatment_pathways.png"/>
                    <pic:cNvPicPr/>
                  </pic:nvPicPr>
                  <pic:blipFill>
                    <a:blip r:embed="rId13"/>
                    <a:stretch>
                      <a:fillRect/>
                    </a:stretch>
                  </pic:blipFill>
                  <pic:spPr>
                    <a:xfrm>
                      <a:off x="0" y="0"/>
                      <a:ext cx="5486400" cy="2720148"/>
                    </a:xfrm>
                    <a:prstGeom prst="rect"/>
                  </pic:spPr>
                </pic:pic>
              </a:graphicData>
            </a:graphic>
          </wp:inline>
        </w:drawing>
      </w:r>
    </w:p>
    <w:p>
      <w:r>
        <w:rPr>
          <w:i/>
          <w:sz w:val="18"/>
        </w:rPr>
        <w:t>Rates of surgical procedures among patients grouped by their medication use. This analysis examines treatment escalation patterns, showing the proportion of patients within each medication group who underwent each type of surgical intervention. MVD = Microvascular Decompression; SRS = Stereotactic Radiosurgery.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