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Trigeminal Neuralgia Treatment Patterns in the United States</w:t>
      </w:r>
    </w:p>
    <w:p>
      <w:pPr>
        <w:jc w:val="center"/>
      </w:pPr>
      <w:r>
        <w:rPr>
          <w:sz w:val="24"/>
        </w:rPr>
        <w:t>Tables and Figures for Publication</w:t>
      </w:r>
    </w:p>
    <w:p/>
    <w:p>
      <w:r>
        <w:t>Data Source: Epic Cosmos</w:t>
      </w:r>
    </w:p>
    <w:p>
      <w:r>
        <w:t>Study Period: November 28, 2022 - November 27, 2025</w:t>
      </w:r>
    </w:p>
    <w:p>
      <w:r>
        <w:t>ICD-10 Code: G50.0 (Trigeminal Neuralgia)</w:t>
      </w:r>
    </w:p>
    <w:p/>
    <w:p>
      <w:r>
        <w:br w:type="page"/>
      </w:r>
    </w:p>
    <w:p>
      <w:r>
        <w:rPr>
          <w:b/>
          <w:sz w:val="28"/>
        </w:rPr>
        <w:t>TABLES</w:t>
      </w:r>
    </w:p>
    <w:p/>
    <w:p>
      <w:r>
        <w:rPr>
          <w:b/>
          <w:sz w:val="22"/>
        </w:rPr>
        <w:t>Table 1. Distribution of Trigeminal Neuralgia Patients by Census Region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Census Region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States (n)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TN Patients (n)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Percentage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East North Central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58,542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East South Central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15,014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Middle Atlantic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37,997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13.1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Mountain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17,432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New England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19,196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Pacific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25,353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South Atlantic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65,578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22.6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West North Central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19,768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West South Central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31,208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10.8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Total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290,088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100.0</w:t>
            </w:r>
          </w:p>
        </w:tc>
      </w:tr>
    </w:tbl>
    <w:p>
      <w:r>
        <w:rPr>
          <w:i/>
          <w:sz w:val="18"/>
        </w:rPr>
        <w:t>Note: Data from Epic Cosmos, November 2022 - November 2025. N = total patients with ICD-10 G50.0 diagnosis.</w:t>
      </w:r>
    </w:p>
    <w:p/>
    <w:p>
      <w:r>
        <w:rPr>
          <w:b/>
          <w:sz w:val="22"/>
        </w:rPr>
        <w:t>Table 2. National Medication Utilization Rates for Trigeminal Neuralgia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Medication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Rate (%)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95% CI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Gabapentin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148,000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(50.8-51.2)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Carbamazepine/Oxcarbazepine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123,851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42.7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(42.5-42.9)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No TN Medication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63,719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(21.8-22.1)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Baclofen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47,736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(16.3-16.6)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Pregabalin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47,032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(16.1-16.3)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Lamotrigine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19,266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(6.6-6.7)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OnabotulinumtoxinA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14,972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(5.1-5.2)</w:t>
            </w:r>
          </w:p>
        </w:tc>
      </w:tr>
    </w:tbl>
    <w:p>
      <w:r>
        <w:rPr>
          <w:i/>
          <w:sz w:val="18"/>
        </w:rPr>
        <w:t>Note: Rates calculated as percentage of total TN patients. Patients may be on multiple medications. 95% CI calculated using Wilson score interval.</w:t>
      </w:r>
    </w:p>
    <w:p/>
    <w:p>
      <w:r>
        <w:rPr>
          <w:b/>
          <w:sz w:val="22"/>
        </w:rPr>
        <w:t>Table 3. National Surgical Procedure Utilization Rates for Trigeminal Neuralgia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Procedure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Rate (%)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</w:rPr>
              <w:t>95% CI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MVD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4,033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(1.35-1.43)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SRS (Radiosurgery)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1,813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(0.60-0.65)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Percutaneous Rhizotomy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(0.31-0.36)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Glycerol Rhizotomy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2,616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(0.87-0.94)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Botox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2,069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(0.68-0.74)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No Procedure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279,762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(96.37-96.51)</w:t>
            </w:r>
          </w:p>
        </w:tc>
      </w:tr>
    </w:tbl>
    <w:p>
      <w:r>
        <w:rPr>
          <w:i/>
          <w:sz w:val="18"/>
        </w:rPr>
        <w:t>Note: MVD = Microvascular Decompression; SRS = Stereotactic Radiosurgery. Rates calculated as percentage of total TN patients.</w:t>
      </w:r>
    </w:p>
    <w:p/>
    <w:p>
      <w:r>
        <w:rPr>
          <w:b/>
          <w:sz w:val="22"/>
        </w:rPr>
        <w:t>Table 4. Chi-Square Tests for Regional Treatment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</w:rPr>
              <w:t>Chi-Square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</w:rPr>
              <w:t>df</w:t>
            </w:r>
          </w:p>
        </w:tc>
        <w:tc>
          <w:tcPr>
            <w:tcW w:type="dxa" w:w="1728"/>
            <w:shd w:fill="D9D9D9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Medication Preferences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Distribution of 6 medication types across 9 regions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840.7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&lt;0.001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Surgical Preferences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Distribution of 5 procedure types across 9 regions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1016.1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&lt;0.001</w:t>
            </w:r>
          </w:p>
        </w:tc>
      </w:tr>
    </w:tbl>
    <w:p>
      <w:r>
        <w:rPr>
          <w:i/>
          <w:sz w:val="18"/>
        </w:rPr>
        <w:t>Note: Tests evaluate whether distribution of treatment types differs significantly across census regions.</w:t>
      </w:r>
    </w:p>
    <w:p/>
    <w:p>
      <w:r>
        <w:rPr>
          <w:b/>
          <w:sz w:val="22"/>
        </w:rPr>
        <w:t>Table 5. Chi-Square Tests for Regional Treatment Preferences (Census Region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</w:rPr>
              <w:t>Chi-Square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</w:rPr>
              <w:t>df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</w:rPr>
              <w:t>Significant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Medication Preferences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Distribution of 5 medication types across 9 regions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637.2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Surgical Preferences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Distribution of 4 procedure types across 9 regions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1090.1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</w:tbl>
    <w:p>
      <w:r>
        <w:rPr>
          <w:i/>
          <w:sz w:val="18"/>
        </w:rPr>
        <w:t>Note: Analysis at census region level (n=9 regions) to minimize privacy masking effects.</w:t>
      </w:r>
    </w:p>
    <w:p/>
    <w:p>
      <w:r>
        <w:br w:type="page"/>
      </w:r>
    </w:p>
    <w:p>
      <w:r>
        <w:rPr>
          <w:b/>
          <w:sz w:val="28"/>
        </w:rPr>
        <w:t>FIGURES</w:t>
      </w:r>
    </w:p>
    <w:p/>
    <w:p>
      <w:r>
        <w:rPr>
          <w:b/>
          <w:sz w:val="22"/>
        </w:rPr>
        <w:t>Figure 1. National Medication and Procedure Utilization Rates for Trigeminal Neuralgia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04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national_utilization_r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charts showing percentage of TN patients receiving each medication (left) and procedure (right). Error bars represent 95% confidence intervals.</w:t>
      </w:r>
    </w:p>
    <w:p/>
    <w:p>
      <w:r>
        <w:rPr>
          <w:b/>
          <w:sz w:val="22"/>
        </w:rPr>
        <w:t>Figure 2. Medication Utilization Rates by Census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64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gional_medic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Heatmap showing percentage of TN patients receiving each medication type across 9 US census regions. Darker colors indicate higher utilization rates.</w:t>
      </w:r>
    </w:p>
    <w:p/>
    <w:p>
      <w:r>
        <w:rPr>
          <w:b/>
          <w:sz w:val="22"/>
        </w:rPr>
        <w:t>Figure 3. Surgical Procedure Rates by Census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14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gional_procedure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Heatmap showing percentage of TN patients receiving each procedure type across 9 US census regions.</w:t>
      </w:r>
    </w:p>
    <w:p/>
    <w:p>
      <w:r>
        <w:rPr>
          <w:b/>
          <w:sz w:val="22"/>
        </w:rPr>
        <w:t>Figure 4. Procedure Utilization by Medication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21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edication_procedure_pathwa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Grouped bar chart showing procedure rates among patients stratified by medication type. Higher procedure rates among patients on onabotulinumtoxinA may reflect treatment escalation patterns.</w:t>
      </w:r>
    </w:p>
    <w:p/>
    <w:p>
      <w:r>
        <w:rPr>
          <w:b/>
          <w:sz w:val="22"/>
        </w:rPr>
        <w:t>Figure 5. State-Level Variation in Treatment Utilization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5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ate_variation_b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Horizontal bar charts showing (left) carbamazepine/oxcarbazepine rates and (right) MVD rates by state. Red = significantly above national average; Blue = significantly below; Gray = not significant (p&lt;0.05).</w:t>
      </w:r>
    </w:p>
    <w:p/>
    <w:p>
      <w:r>
        <w:rPr>
          <w:b/>
          <w:sz w:val="22"/>
        </w:rPr>
        <w:t>Figure 6. Treatment Utilization Heatmaps by Census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474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sus_treatment_heatma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Heatmaps showing medication (left) and surgical procedure (right) utilization rates across 9 US census regions.</w:t>
      </w:r>
    </w:p>
    <w:p/>
    <w:p>
      <w:r>
        <w:rPr>
          <w:b/>
          <w:sz w:val="22"/>
        </w:rPr>
        <w:t>Figure 7. Regional Treatment Rates vs. National Average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66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sus_regional_comparis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charts comparing each census region to national average for key treatments. Red dashed line indicates national average.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