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 w:line="400" w:lineRule="exact"/>
      </w:pPr>
    </w:p>
    <w:p>
      <w:pPr>
        <w:spacing w:after="160" w:line="400" w:lineRule="exact"/>
        <w:jc w:val="center"/>
      </w:pPr>
      <w:r>
        <w:rPr>
          <w:rFonts w:ascii="微软雅黑" w:hAnsi="微软雅黑" w:eastAsia="微软雅黑"/>
          <w:b/>
          <w:color w:val="1E376B"/>
          <w:sz w:val="60"/>
        </w:rPr>
        <w:t>V8 应用集成管理中心</w:t>
      </w:r>
    </w:p>
    <w:p>
      <w:pPr>
        <w:spacing w:after="80" w:line="400" w:lineRule="exact"/>
        <w:jc w:val="center"/>
      </w:pPr>
      <w:r>
        <w:rPr>
          <w:rFonts w:ascii="微软雅黑" w:hAnsi="微软雅黑" w:eastAsia="微软雅黑"/>
          <w:b/>
          <w:sz w:val="40"/>
        </w:rPr>
        <w:t>产品建设方案</w:t>
      </w:r>
    </w:p>
    <w:p>
      <w:pPr>
        <w:spacing w:after="600" w:line="400" w:lineRule="exact"/>
        <w:jc w:val="center"/>
      </w:pPr>
      <w:r>
        <w:rPr>
          <w:rFonts w:ascii="微软雅黑" w:hAnsi="微软雅黑" w:eastAsia="微软雅黑"/>
          <w:b w:val="0"/>
          <w:color w:val="5B6474"/>
          <w:sz w:val="24"/>
        </w:rPr>
        <w:t>（管理层汇报版 · 供决策）</w:t>
      </w:r>
    </w:p>
    <w:p>
      <w:pPr>
        <w:spacing w:after="800" w:line="400" w:lineRule="exact"/>
        <w:jc w:val="center"/>
      </w:pPr>
      <w:r>
        <w:rPr>
          <w:rFonts w:ascii="微软雅黑" w:hAnsi="微软雅黑" w:eastAsia="微软雅黑"/>
          <w:b/>
          <w:color w:val="1E376B"/>
          <w:sz w:val="26"/>
        </w:rPr>
        <w:t>一 个 中 心 · 四 大 体 系 · N 个 应 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041"/>
            <w:shd w:val="clear" w:color="auto" w:fill="1E376B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项目名称</w:t>
            </w:r>
          </w:p>
        </w:tc>
        <w:tc>
          <w:tcPr>
            <w:tcW w:type="dxa" w:w="6803"/>
            <w:shd w:val="clear" w:color="auto" w:fill="1E376B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V8 应用集成管理中心</w:t>
            </w:r>
          </w:p>
        </w:tc>
      </w:tr>
      <w:tr>
        <w:tc>
          <w:tcPr>
            <w:tcW w:type="dxa" w:w="2041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文档用途</w:t>
            </w:r>
          </w:p>
        </w:tc>
        <w:tc>
          <w:tcPr>
            <w:tcW w:type="dxa" w:w="6803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向管理层汇报产品方案，明确建设范围、实施节奏与所需决策事项</w:t>
            </w:r>
          </w:p>
        </w:tc>
      </w:tr>
      <w:tr>
        <w:tc>
          <w:tcPr>
            <w:tcW w:type="dxa" w:w="2041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汇报前提</w:t>
            </w:r>
          </w:p>
        </w:tc>
        <w:tc>
          <w:tcPr>
            <w:tcW w:type="dxa" w:w="6803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本方案基于已完成的高保真可运行原型整理，功能形态、字段口径与交互规则均可直接演示</w:t>
            </w:r>
          </w:p>
        </w:tc>
      </w:tr>
      <w:tr>
        <w:tc>
          <w:tcPr>
            <w:tcW w:type="dxa" w:w="2041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版本 / 日期</w:t>
            </w:r>
          </w:p>
        </w:tc>
        <w:tc>
          <w:tcPr>
            <w:tcW w:type="dxa" w:w="6803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V1.0 ／ 2026 年 9 月 18 日</w:t>
            </w:r>
          </w:p>
        </w:tc>
      </w:tr>
    </w:tbl>
    <w:p>
      <w:pPr>
        <w:spacing w:after="40"/>
      </w:pPr>
    </w:p>
    <w:p>
      <w:pPr>
        <w:spacing w:after="600" w:line="400" w:lineRule="exact"/>
      </w:pPr>
    </w:p>
    <w:p>
      <w:pPr>
        <w:spacing w:after="120" w:line="400" w:lineRule="exact"/>
        <w:jc w:val="center"/>
      </w:pPr>
      <w:r>
        <w:rPr>
          <w:rFonts w:ascii="微软雅黑" w:hAnsi="微软雅黑" w:eastAsia="微软雅黑"/>
          <w:b w:val="0"/>
          <w:color w:val="5B6474"/>
          <w:sz w:val="20"/>
        </w:rPr>
        <w:t>阅读提示：全文约 15 分钟。若时间有限，请直接阅读第 1 章「一页看懂本方案」与第 11 章「需要领导决策的事项」，其余章节为支撑说明。</w:t>
      </w:r>
    </w:p>
    <w:p>
      <w:r>
        <w:br w:type="page"/>
      </w:r>
    </w:p>
    <w:p>
      <w:pPr>
        <w:spacing w:before="80" w:after="200"/>
        <w:pBdr>
          <w:bottom w:val="single" w:sz="12" w:color="1E376B" w:space="4"/>
        </w:pBdr>
      </w:pPr>
      <w:r>
        <w:rPr>
          <w:rFonts w:ascii="微软雅黑" w:hAnsi="微软雅黑" w:eastAsia="微软雅黑"/>
          <w:b/>
          <w:color w:val="1E376B"/>
          <w:sz w:val="32"/>
        </w:rPr>
        <w:t>一、一页看懂本方案</w:t>
      </w:r>
    </w:p>
    <w:p>
      <w:pPr>
        <w:spacing w:after="120" w:line="400" w:lineRule="exact"/>
      </w:pPr>
      <w:r>
        <w:rPr>
          <w:rFonts w:ascii="微软雅黑" w:hAnsi="微软雅黑" w:eastAsia="微软雅黑"/>
          <w:b/>
          <w:color w:val="1E376B"/>
          <w:sz w:val="23"/>
        </w:rPr>
        <w:t>一句话定位：把公司所有对外产品，从「一个个独立交付的系统」，变成「一个统一接入、统一管人、统一管权限、统一管配置的平台」。</w:t>
      </w:r>
    </w:p>
    <w:p>
      <w:pPr>
        <w:spacing w:after="120" w:line="400" w:lineRule="exact"/>
      </w:pPr>
      <w:r>
        <w:rPr>
          <w:rFonts w:ascii="微软雅黑" w:hAnsi="微软雅黑" w:eastAsia="微软雅黑"/>
          <w:b w:val="0"/>
          <w:sz w:val="21"/>
        </w:rPr>
        <w:t>V8 应用集成管理中心是公司面向所有产品的统一底座。它不替代任何业务系统，而是站在所有业务系统之上，统一解决四件反复发生、又长期没有统一答案的事：应用怎么接进来、人从哪来、权限怎么给、配置放在哪。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>1.1 方案要点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701"/>
            <w:shd w:val="clear" w:color="auto" w:fill="1E376B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7143"/>
            <w:shd w:val="clear" w:color="auto" w:fill="1E376B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建设定位</w:t>
            </w:r>
          </w:p>
        </w:tc>
        <w:tc>
          <w:tcPr>
            <w:tcW w:type="dxa" w:w="7143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公司级应用集成与管理底座，一次建设、所有产品复用</w:t>
            </w:r>
          </w:p>
        </w:tc>
      </w:tr>
      <w:tr>
        <w:tc>
          <w:tcPr>
            <w:tcW w:type="dxa" w:w="1701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核心组成</w:t>
            </w:r>
          </w:p>
        </w:tc>
        <w:tc>
          <w:tcPr>
            <w:tcW w:type="dxa" w:w="7143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应用接入体系、用户与机构体系、权限与角色体系、配置与数据体系</w:t>
            </w:r>
          </w:p>
        </w:tc>
      </w:tr>
      <w:tr>
        <w:tc>
          <w:tcPr>
            <w:tcW w:type="dxa" w:w="1701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首期范围</w:t>
            </w:r>
          </w:p>
        </w:tc>
        <w:tc>
          <w:tcPr>
            <w:tcW w:type="dxa" w:w="7143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应用接入与管理、V8 用户体系、外部用户体系、权限与角色、全局数据字典、统一调用组件</w:t>
            </w:r>
          </w:p>
        </w:tc>
      </w:tr>
      <w:tr>
        <w:tc>
          <w:tcPr>
            <w:tcW w:type="dxa" w:w="1701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二期范围</w:t>
            </w:r>
          </w:p>
        </w:tc>
        <w:tc>
          <w:tcPr>
            <w:tcW w:type="dxa" w:w="7143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全局 CMS 管理、指令流转 MT、运营看板与分析、消息中心</w:t>
            </w:r>
          </w:p>
        </w:tc>
      </w:tr>
      <w:tr>
        <w:tc>
          <w:tcPr>
            <w:tcW w:type="dxa" w:w="1701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交付形态</w:t>
            </w:r>
          </w:p>
        </w:tc>
        <w:tc>
          <w:tcPr>
            <w:tcW w:type="dxa" w:w="7143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可运行的管理后台（高保真原型已完成，可直接演示与试用）</w:t>
            </w:r>
          </w:p>
        </w:tc>
      </w:tr>
      <w:tr>
        <w:tc>
          <w:tcPr>
            <w:tcW w:type="dxa" w:w="1701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直接收益</w:t>
            </w:r>
          </w:p>
        </w:tc>
        <w:tc>
          <w:tcPr>
            <w:tcW w:type="dxa" w:w="7143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新产品接入周期显著缩短；跨系统账号、机构、权限口径统一；配置变更不再依赖发版</w:t>
            </w:r>
          </w:p>
        </w:tc>
      </w:tr>
      <w:tr>
        <w:tc>
          <w:tcPr>
            <w:tcW w:type="dxa" w:w="1701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需要决策</w:t>
            </w:r>
          </w:p>
        </w:tc>
        <w:tc>
          <w:tcPr>
            <w:tcW w:type="dxa" w:w="7143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建设优先级与排期确认、专职产品与研发资源投入、跨部门数据口径的归口授权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>1.2 为什么必须现在做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每上一个新产品，就要重复建设一遍账号、机构、角色、菜单、字典——重复投入，且每家的做法都不一样。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同一个客户机构在不同系统里的名称、编码、层级不一致，跨产品统计口径长期对不上。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给客户开权限靠人工在多个后台分别操作，慢、易错、事后说不清楚是谁改的。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大量业务参数写在代码或配置文件里，改一个阈值就要走一次发版流程。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客户、机构、用户、文章、指令这些数据分散在各系统，公司层面看不到完整视图。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>1.3 建成后是什么样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新应用接入：填写一份接入信息 + 配置待办清单，即可完成注册、拿到密钥、进入统一权限体系。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管人：一个地方看到 V8 用户、微信关注用户、外部用户的全量名单与状态。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管权限：菜单、权限点、角色、机构授权在同一套模型里定义，各应用直接调用。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管配置：业务参数在界面上维护，带版本快照、可回滚、可导出，且不删历史。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看数据：应用规模、机构授权、用户活跃、内容与指令流转，形成公司级统一看板。</w:t>
      </w:r>
    </w:p>
    <w:p>
      <w:r>
        <w:br w:type="page"/>
      </w:r>
    </w:p>
    <w:p>
      <w:pPr>
        <w:spacing w:before="80" w:after="200"/>
        <w:pBdr>
          <w:bottom w:val="single" w:sz="12" w:color="1E376B" w:space="4"/>
        </w:pBdr>
      </w:pPr>
      <w:r>
        <w:rPr>
          <w:rFonts w:ascii="微软雅黑" w:hAnsi="微软雅黑" w:eastAsia="微软雅黑"/>
          <w:b/>
          <w:color w:val="1E376B"/>
          <w:sz w:val="32"/>
        </w:rPr>
        <w:t>二、背景与问题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E376B"/>
          <w:sz w:val="25"/>
        </w:rPr>
        <w:t>2.1 现状</w:t>
      </w:r>
    </w:p>
    <w:p>
      <w:pPr>
        <w:spacing w:after="120" w:line="400" w:lineRule="exact"/>
      </w:pPr>
      <w:r>
        <w:rPr>
          <w:rFonts w:ascii="微软雅黑" w:hAnsi="微软雅黑" w:eastAsia="微软雅黑"/>
          <w:b w:val="0"/>
          <w:sz w:val="21"/>
        </w:rPr>
        <w:t>公司当前已形成多产品线并行交付的格局，产品覆盖业务中台、企业应用、财务协同、生产制造、基础服务、外部生态等多个方向。随着产品数量增加，「每个产品各自解决同一件事」的代价开始集中显现。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701"/>
            <w:shd w:val="clear" w:color="auto" w:fill="1E376B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现状特征</w:t>
            </w:r>
          </w:p>
        </w:tc>
        <w:tc>
          <w:tcPr>
            <w:tcW w:type="dxa" w:w="4082"/>
            <w:shd w:val="clear" w:color="auto" w:fill="1E376B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具体表现</w:t>
            </w:r>
          </w:p>
        </w:tc>
        <w:tc>
          <w:tcPr>
            <w:tcW w:type="dxa" w:w="3175"/>
            <w:shd w:val="clear" w:color="auto" w:fill="1E376B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带来的后果</w:t>
            </w:r>
          </w:p>
        </w:tc>
      </w:tr>
      <w:tr>
        <w:tc>
          <w:tcPr>
            <w:tcW w:type="dxa" w:w="1701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账号体系分散</w:t>
            </w:r>
          </w:p>
        </w:tc>
        <w:tc>
          <w:tcPr>
            <w:tcW w:type="dxa" w:w="4082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各应用自建账号、自建登录、自建角色，用户在不同系统里是不同的人</w:t>
            </w:r>
          </w:p>
        </w:tc>
        <w:tc>
          <w:tcPr>
            <w:tcW w:type="dxa" w:w="3175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用户重复注册、管理员重复维护、跨系统身份无法对齐</w:t>
            </w:r>
          </w:p>
        </w:tc>
      </w:tr>
      <w:tr>
        <w:tc>
          <w:tcPr>
            <w:tcW w:type="dxa" w:w="1701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机构数据不统一</w:t>
            </w:r>
          </w:p>
        </w:tc>
        <w:tc>
          <w:tcPr>
            <w:tcW w:type="dxa" w:w="4082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同一客户机构在各系统中名称、编码、层级、统计归属不一致</w:t>
            </w:r>
          </w:p>
        </w:tc>
        <w:tc>
          <w:tcPr>
            <w:tcW w:type="dxa" w:w="3175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公司层统计口径对不上，报表需要人工核对</w:t>
            </w:r>
          </w:p>
        </w:tc>
      </w:tr>
      <w:tr>
        <w:tc>
          <w:tcPr>
            <w:tcW w:type="dxa" w:w="1701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权限授予靠人工</w:t>
            </w:r>
          </w:p>
        </w:tc>
        <w:tc>
          <w:tcPr>
            <w:tcW w:type="dxa" w:w="4082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开通机构、分配角色、开关菜单需要逐系统操作</w:t>
            </w:r>
          </w:p>
        </w:tc>
        <w:tc>
          <w:tcPr>
            <w:tcW w:type="dxa" w:w="3175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交付慢、易漏配、误配难发现、事后追溯困难</w:t>
            </w:r>
          </w:p>
        </w:tc>
      </w:tr>
      <w:tr>
        <w:tc>
          <w:tcPr>
            <w:tcW w:type="dxa" w:w="1701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配置散落在代码</w:t>
            </w:r>
          </w:p>
        </w:tc>
        <w:tc>
          <w:tcPr>
            <w:tcW w:type="dxa" w:w="4082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业务阈值、字典项、界面开关写在代码或配置文件中</w:t>
            </w:r>
          </w:p>
        </w:tc>
        <w:tc>
          <w:tcPr>
            <w:tcW w:type="dxa" w:w="3175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每次调整都要发版，业务响应以周为单位</w:t>
            </w:r>
          </w:p>
        </w:tc>
      </w:tr>
      <w:tr>
        <w:tc>
          <w:tcPr>
            <w:tcW w:type="dxa" w:w="1701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数据看不见</w:t>
            </w:r>
          </w:p>
        </w:tc>
        <w:tc>
          <w:tcPr>
            <w:tcW w:type="dxa" w:w="4082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用户、内容、指令、机构数据分散在各系统</w:t>
            </w:r>
          </w:p>
        </w:tc>
        <w:tc>
          <w:tcPr>
            <w:tcW w:type="dxa" w:w="3175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管理层缺少统一视图，决策依赖人工汇总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1E376B"/>
          <w:sz w:val="25"/>
        </w:rPr>
        <w:t>2.2 问题本质</w:t>
      </w:r>
    </w:p>
    <w:p>
      <w:pPr>
        <w:spacing w:after="120" w:line="400" w:lineRule="exact"/>
      </w:pPr>
      <w:r>
        <w:rPr>
          <w:rFonts w:ascii="微软雅黑" w:hAnsi="微软雅黑" w:eastAsia="微软雅黑"/>
          <w:b w:val="0"/>
          <w:sz w:val="21"/>
        </w:rPr>
        <w:t>这些问题表面上是「每个系统都做了一遍」，本质上是公司缺少一层统一的集成底座。在没有底座的情况下，产品越多、客户越多，重复投入和口径分歧就会成倍放大。越晚建设，后续每个新产品的接入成本就越高，历史数据的规整成本也越大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E376B"/>
          <w:sz w:val="25"/>
        </w:rPr>
        <w:t>2.3 建设必要性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已具备落地条件：管理后台的高保真原型已经完成并可运行，功能形态与字段口径已被验证，不是概念方案。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边际成本递减：底座建成后，第 N 个产品接入的增量成本远低于前 N-1 个产品的重复建设成本。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口径统一为先：机构、用户、权限三套口径越早统一，后续跨产品报表与客户交付越省力。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合规可追溯：管理动作全部留痕，满足内部审计与客户侧的安全合规要求。</w:t>
      </w:r>
    </w:p>
    <w:p>
      <w:r>
        <w:br w:type="page"/>
      </w:r>
    </w:p>
    <w:p>
      <w:pPr>
        <w:spacing w:before="80" w:after="200"/>
        <w:pBdr>
          <w:bottom w:val="single" w:sz="12" w:color="1E376B" w:space="4"/>
        </w:pBdr>
      </w:pPr>
      <w:r>
        <w:rPr>
          <w:rFonts w:ascii="微软雅黑" w:hAnsi="微软雅黑" w:eastAsia="微软雅黑"/>
          <w:b/>
          <w:color w:val="1E376B"/>
          <w:sz w:val="32"/>
        </w:rPr>
        <w:t>三、产品定位与目标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E376B"/>
          <w:sz w:val="25"/>
        </w:rPr>
        <w:t>3.1 产品定位</w:t>
      </w:r>
    </w:p>
    <w:p>
      <w:pPr>
        <w:spacing w:after="120" w:line="400" w:lineRule="exact"/>
      </w:pPr>
      <w:r>
        <w:rPr>
          <w:rFonts w:ascii="微软雅黑" w:hAnsi="微软雅黑" w:eastAsia="微软雅黑"/>
          <w:b/>
          <w:sz w:val="22"/>
        </w:rPr>
        <w:t>V8 应用集成管理中心是公司产品体系的统一管理与集成底座，对内是运营与治理平台，对外是各业务系统可直接调用的能力中心。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814"/>
            <w:shd w:val="clear" w:color="auto" w:fill="1E376B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2381"/>
            <w:shd w:val="clear" w:color="auto" w:fill="1E376B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是谁</w:t>
            </w:r>
          </w:p>
        </w:tc>
        <w:tc>
          <w:tcPr>
            <w:tcW w:type="dxa" w:w="4649"/>
            <w:shd w:val="clear" w:color="auto" w:fill="1E376B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在这个平台上做什么</w:t>
            </w:r>
          </w:p>
        </w:tc>
      </w:tr>
      <w:tr>
        <w:tc>
          <w:tcPr>
            <w:tcW w:type="dxa" w:w="1814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平台管理员</w:t>
            </w:r>
          </w:p>
        </w:tc>
        <w:tc>
          <w:tcPr>
            <w:tcW w:type="dxa" w:w="2381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公司内部运营与产品管理人员</w:t>
            </w:r>
          </w:p>
        </w:tc>
        <w:tc>
          <w:tcPr>
            <w:tcW w:type="dxa" w:w="4649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接入新应用、维护全局字典、定义权限与角色、查看全局数据与操作日志</w:t>
            </w:r>
          </w:p>
        </w:tc>
      </w:tr>
      <w:tr>
        <w:tc>
          <w:tcPr>
            <w:tcW w:type="dxa" w:w="1814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客户机构管理员</w:t>
            </w:r>
          </w:p>
        </w:tc>
        <w:tc>
          <w:tcPr>
            <w:tcW w:type="dxa" w:w="2381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客户单位的管理员</w:t>
            </w:r>
          </w:p>
        </w:tc>
        <w:tc>
          <w:tcPr>
            <w:tcW w:type="dxa" w:w="4649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管理本机构用户、组织架构、角色与权限、界面设置，查看本机构数据</w:t>
            </w:r>
          </w:p>
        </w:tc>
      </w:tr>
      <w:tr>
        <w:tc>
          <w:tcPr>
            <w:tcW w:type="dxa" w:w="1814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终端用户</w:t>
            </w:r>
          </w:p>
        </w:tc>
        <w:tc>
          <w:tcPr>
            <w:tcW w:type="dxa" w:w="2381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客户机构的普通用户与外部用户</w:t>
            </w:r>
          </w:p>
        </w:tc>
        <w:tc>
          <w:tcPr>
            <w:tcW w:type="dxa" w:w="4649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通过统一入口进入各应用，使用被授权的菜单与功能</w:t>
            </w:r>
          </w:p>
        </w:tc>
      </w:tr>
      <w:tr>
        <w:tc>
          <w:tcPr>
            <w:tcW w:type="dxa" w:w="1814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应用方（业务系统）</w:t>
            </w:r>
          </w:p>
        </w:tc>
        <w:tc>
          <w:tcPr>
            <w:tcW w:type="dxa" w:w="2381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公司各业务产品</w:t>
            </w:r>
          </w:p>
        </w:tc>
        <w:tc>
          <w:tcPr>
            <w:tcW w:type="dxa" w:w="4649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通过统一组件与接口复用账号、机构、权限、字典能力，不重复建设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1E376B"/>
          <w:sz w:val="25"/>
        </w:rPr>
        <w:t>3.2 建设目标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474"/>
            <w:shd w:val="clear" w:color="auto" w:fill="1E376B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目标层次</w:t>
            </w:r>
          </w:p>
        </w:tc>
        <w:tc>
          <w:tcPr>
            <w:tcW w:type="dxa" w:w="4195"/>
            <w:shd w:val="clear" w:color="auto" w:fill="1E376B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目标描述</w:t>
            </w:r>
          </w:p>
        </w:tc>
        <w:tc>
          <w:tcPr>
            <w:tcW w:type="dxa" w:w="3288"/>
            <w:shd w:val="clear" w:color="auto" w:fill="1E376B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衡量方式</w:t>
            </w:r>
          </w:p>
        </w:tc>
      </w:tr>
      <w:tr>
        <w:tc>
          <w:tcPr>
            <w:tcW w:type="dxa" w:w="1474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统一接入</w:t>
            </w:r>
          </w:p>
        </w:tc>
        <w:tc>
          <w:tcPr>
            <w:tcW w:type="dxa" w:w="4195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所有产品在同一平台完成注册、配置与发布</w:t>
            </w:r>
          </w:p>
        </w:tc>
        <w:tc>
          <w:tcPr>
            <w:tcW w:type="dxa" w:w="3288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新应用接入所需的人工操作环节数量明显下降</w:t>
            </w:r>
          </w:p>
        </w:tc>
      </w:tr>
      <w:tr>
        <w:tc>
          <w:tcPr>
            <w:tcW w:type="dxa" w:w="1474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统一身份</w:t>
            </w:r>
          </w:p>
        </w:tc>
        <w:tc>
          <w:tcPr>
            <w:tcW w:type="dxa" w:w="4195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V8 用户、微信用户、外部用户形成完整名单与状态视图</w:t>
            </w:r>
          </w:p>
        </w:tc>
        <w:tc>
          <w:tcPr>
            <w:tcW w:type="dxa" w:w="3288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用户可在一处检索、筛选、查看详情与状态</w:t>
            </w:r>
          </w:p>
        </w:tc>
      </w:tr>
      <w:tr>
        <w:tc>
          <w:tcPr>
            <w:tcW w:type="dxa" w:w="1474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统一授权</w:t>
            </w:r>
          </w:p>
        </w:tc>
        <w:tc>
          <w:tcPr>
            <w:tcW w:type="dxa" w:w="4195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菜单、权限点、角色、机构授权形成标准模型并被各应用复用</w:t>
            </w:r>
          </w:p>
        </w:tc>
        <w:tc>
          <w:tcPr>
            <w:tcW w:type="dxa" w:w="3288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权限变更全流程留痕，可追溯到人与时间</w:t>
            </w:r>
          </w:p>
        </w:tc>
      </w:tr>
      <w:tr>
        <w:tc>
          <w:tcPr>
            <w:tcW w:type="dxa" w:w="1474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统一配置</w:t>
            </w:r>
          </w:p>
        </w:tc>
        <w:tc>
          <w:tcPr>
            <w:tcW w:type="dxa" w:w="4195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业务参数在界面维护，支持版本快照、回滚与导入导出</w:t>
            </w:r>
          </w:p>
        </w:tc>
        <w:tc>
          <w:tcPr>
            <w:tcW w:type="dxa" w:w="3288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常规配置调整不再依赖代码发版</w:t>
            </w:r>
          </w:p>
        </w:tc>
      </w:tr>
      <w:tr>
        <w:tc>
          <w:tcPr>
            <w:tcW w:type="dxa" w:w="1474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统一可视</w:t>
            </w:r>
          </w:p>
        </w:tc>
        <w:tc>
          <w:tcPr>
            <w:tcW w:type="dxa" w:w="4195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形成公司级应用、机构、用户、内容、指令的统一视图</w:t>
            </w:r>
          </w:p>
        </w:tc>
        <w:tc>
          <w:tcPr>
            <w:tcW w:type="dxa" w:w="3288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管理层可自助查看，无需人工汇总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1E376B"/>
          <w:sz w:val="25"/>
        </w:rPr>
        <w:t>3.3 范围边界</w:t>
      </w:r>
    </w:p>
    <w:p>
      <w:pPr>
        <w:spacing w:after="120" w:line="400" w:lineRule="exact"/>
      </w:pPr>
      <w:r>
        <w:rPr>
          <w:rFonts w:ascii="微软雅黑" w:hAnsi="微软雅黑" w:eastAsia="微软雅黑"/>
          <w:b w:val="0"/>
          <w:sz w:val="21"/>
        </w:rPr>
        <w:t>为避免与现有系统职责冲突，本平台仅承担「接入、治理、配置、可视」职责，具体约定如下：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做：应用接入与注册、用户与机构数据管理、权限与角色模型、全局与单应用数据字典、统一调用组件、全局看板与操作日志。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不做：各应用的业务功能本身、业务流程审批、计费与合同、客户项目的定制开发。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复用不做重复：能够以统一组件提供的能力（机构列表、用户管理、角色权限、界面设置等），各应用不再自行开发。</w:t>
      </w:r>
    </w:p>
    <w:p>
      <w:r>
        <w:br w:type="page"/>
      </w:r>
    </w:p>
    <w:p>
      <w:pPr>
        <w:spacing w:before="80" w:after="200"/>
        <w:pBdr>
          <w:bottom w:val="single" w:sz="12" w:color="1E376B" w:space="4"/>
        </w:pBdr>
      </w:pPr>
      <w:r>
        <w:rPr>
          <w:rFonts w:ascii="微软雅黑" w:hAnsi="微软雅黑" w:eastAsia="微软雅黑"/>
          <w:b/>
          <w:color w:val="1E376B"/>
          <w:sz w:val="32"/>
        </w:rPr>
        <w:t>四、总体架构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E376B"/>
          <w:sz w:val="25"/>
        </w:rPr>
        <w:t>4.1 一个中心、四大体系、N 个应用</w:t>
      </w:r>
    </w:p>
    <w:p>
      <w:pPr>
        <w:spacing w:after="120" w:line="400" w:lineRule="exact"/>
      </w:pPr>
      <w:r>
        <w:rPr>
          <w:rFonts w:ascii="微软雅黑" w:hAnsi="微软雅黑" w:eastAsia="微软雅黑"/>
          <w:b w:val="0"/>
          <w:sz w:val="21"/>
        </w:rPr>
        <w:t>整体采用分层结构：上层是统一的管理入口与看板，中层是四大能力体系，下层通过统一组件与接口被各业务应用复用。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361"/>
            <w:shd w:val="clear" w:color="auto" w:fill="1E376B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1928"/>
            <w:shd w:val="clear" w:color="auto" w:fill="1E376B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3061"/>
            <w:shd w:val="clear" w:color="auto" w:fill="1E376B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包含内容</w:t>
            </w:r>
          </w:p>
        </w:tc>
        <w:tc>
          <w:tcPr>
            <w:tcW w:type="dxa" w:w="2494"/>
            <w:shd w:val="clear" w:color="auto" w:fill="1E376B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解决什么</w:t>
            </w:r>
          </w:p>
        </w:tc>
      </w:tr>
      <w:tr>
        <w:tc>
          <w:tcPr>
            <w:tcW w:type="dxa" w:w="1361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展示层</w:t>
            </w:r>
          </w:p>
        </w:tc>
        <w:tc>
          <w:tcPr>
            <w:tcW w:type="dxa" w:w="1928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统一管理入口</w:t>
            </w:r>
          </w:p>
        </w:tc>
        <w:tc>
          <w:tcPr>
            <w:tcW w:type="dxa" w:w="3061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管理后台、各应用内嵌的管理界面、全局看板</w:t>
            </w:r>
          </w:p>
        </w:tc>
        <w:tc>
          <w:tcPr>
            <w:tcW w:type="dxa" w:w="2494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管理员在一个入口完成全部管理动作</w:t>
            </w:r>
          </w:p>
        </w:tc>
      </w:tr>
      <w:tr>
        <w:tc>
          <w:tcPr>
            <w:tcW w:type="dxa" w:w="1361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能力层（体系一）</w:t>
            </w:r>
          </w:p>
        </w:tc>
        <w:tc>
          <w:tcPr>
            <w:tcW w:type="dxa" w:w="1928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应用接入体系</w:t>
            </w:r>
          </w:p>
        </w:tc>
        <w:tc>
          <w:tcPr>
            <w:tcW w:type="dxa" w:w="3061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应用注册、接入信息、密钥、协议、状态、机构开通情况</w:t>
            </w:r>
          </w:p>
        </w:tc>
        <w:tc>
          <w:tcPr>
            <w:tcW w:type="dxa" w:w="2494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应用怎么接进来、接得是否规范</w:t>
            </w:r>
          </w:p>
        </w:tc>
      </w:tr>
      <w:tr>
        <w:tc>
          <w:tcPr>
            <w:tcW w:type="dxa" w:w="1361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能力层（体系二）</w:t>
            </w:r>
          </w:p>
        </w:tc>
        <w:tc>
          <w:tcPr>
            <w:tcW w:type="dxa" w:w="1928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用户与机构体系</w:t>
            </w:r>
          </w:p>
        </w:tc>
        <w:tc>
          <w:tcPr>
            <w:tcW w:type="dxa" w:w="3061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V8 用户、微信用户、外部用户、客户机构与组织架构</w:t>
            </w:r>
          </w:p>
        </w:tc>
        <w:tc>
          <w:tcPr>
            <w:tcW w:type="dxa" w:w="2494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人从哪来、归属于哪个机构</w:t>
            </w:r>
          </w:p>
        </w:tc>
      </w:tr>
      <w:tr>
        <w:tc>
          <w:tcPr>
            <w:tcW w:type="dxa" w:w="1361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能力层（体系三）</w:t>
            </w:r>
          </w:p>
        </w:tc>
        <w:tc>
          <w:tcPr>
            <w:tcW w:type="dxa" w:w="1928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权限与角色体系</w:t>
            </w:r>
          </w:p>
        </w:tc>
        <w:tc>
          <w:tcPr>
            <w:tcW w:type="dxa" w:w="3061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前端菜单、权限点、默认角色、机构角色、机构权限</w:t>
            </w:r>
          </w:p>
        </w:tc>
        <w:tc>
          <w:tcPr>
            <w:tcW w:type="dxa" w:w="2494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权限怎么给、给了谁、谁改的</w:t>
            </w:r>
          </w:p>
        </w:tc>
      </w:tr>
      <w:tr>
        <w:tc>
          <w:tcPr>
            <w:tcW w:type="dxa" w:w="1361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能力层（体系四）</w:t>
            </w:r>
          </w:p>
        </w:tc>
        <w:tc>
          <w:tcPr>
            <w:tcW w:type="dxa" w:w="1928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配置与数据体系</w:t>
            </w:r>
          </w:p>
        </w:tc>
        <w:tc>
          <w:tcPr>
            <w:tcW w:type="dxa" w:w="3061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全局与单应用数据字典、CMS 内容、指令流转、操作日志、消息</w:t>
            </w:r>
          </w:p>
        </w:tc>
        <w:tc>
          <w:tcPr>
            <w:tcW w:type="dxa" w:w="2494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配置放哪里、数据怎么看</w:t>
            </w:r>
          </w:p>
        </w:tc>
      </w:tr>
      <w:tr>
        <w:tc>
          <w:tcPr>
            <w:tcW w:type="dxa" w:w="1361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复用层</w:t>
            </w:r>
          </w:p>
        </w:tc>
        <w:tc>
          <w:tcPr>
            <w:tcW w:type="dxa" w:w="1928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统一调用组件</w:t>
            </w:r>
          </w:p>
        </w:tc>
        <w:tc>
          <w:tcPr>
            <w:tcW w:type="dxa" w:w="3061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机构列表与详情、机构用户、机构角色、机构权限、机构界面设置、账号管理、用户应用身份详情等</w:t>
            </w:r>
          </w:p>
        </w:tc>
        <w:tc>
          <w:tcPr>
            <w:tcW w:type="dxa" w:w="2494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一次开发、多应用复用，避免重复建设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1E376B"/>
          <w:sz w:val="25"/>
        </w:rPr>
        <w:t>4.2 设计原则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统一优先：凡是各应用都在做的同一件事，收敛到平台统一提供，应用只做业务本身。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先模型后界面：机构、用户、权限、字典先定义清楚数据模型与编码规则，界面才能长期稳定。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配置有版本：任何影响线上行为的配置变更都要有快照、有记录、可回滚。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高风险强确认：删除、回滚、覆盖类操作必须二次确认并说明影响范围。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内置项受保护：系统内置的分类与配置项只允许改值，不允许破坏结构。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为接入方着想：以统一组件与标准接口的形式交付，接入方只关心「怎么用」。</w:t>
      </w:r>
    </w:p>
    <w:p>
      <w:r>
        <w:br w:type="page"/>
      </w:r>
    </w:p>
    <w:p>
      <w:pPr>
        <w:spacing w:before="80" w:after="200"/>
        <w:pBdr>
          <w:bottom w:val="single" w:sz="12" w:color="1E376B" w:space="4"/>
        </w:pBdr>
      </w:pPr>
      <w:r>
        <w:rPr>
          <w:rFonts w:ascii="微软雅黑" w:hAnsi="微软雅黑" w:eastAsia="微软雅黑"/>
          <w:b/>
          <w:color w:val="1E376B"/>
          <w:sz w:val="32"/>
        </w:rPr>
        <w:t>五、功能方案</w:t>
      </w:r>
    </w:p>
    <w:p>
      <w:pPr>
        <w:spacing w:after="120" w:line="400" w:lineRule="exact"/>
      </w:pPr>
      <w:r>
        <w:rPr>
          <w:rFonts w:ascii="微软雅黑" w:hAnsi="微软雅黑" w:eastAsia="微软雅黑"/>
          <w:b w:val="0"/>
          <w:sz w:val="21"/>
        </w:rPr>
        <w:t>以下模块均已在原型中实现可交互形态，本章说明每个模块解决什么问题、面向谁、关键能力有哪些。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E376B"/>
          <w:sz w:val="25"/>
        </w:rPr>
        <w:t>5.1 应用接入与管理</w:t>
      </w:r>
    </w:p>
    <w:p>
      <w:pPr>
        <w:spacing w:after="120" w:line="400" w:lineRule="exact"/>
      </w:pPr>
      <w:r>
        <w:rPr>
          <w:rFonts w:ascii="微软雅黑" w:hAnsi="微软雅黑" w:eastAsia="微软雅黑"/>
          <w:b w:val="0"/>
          <w:sz w:val="21"/>
        </w:rPr>
        <w:t>解决的问题：新产品从「需要一个位置放进来」到「可以被统一管理」的全过程。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>5.1.1 应用列表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支持列表、九宫格、卡片三种浏览方式，适配不同管理场景。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支持按应用名称、唯一 ID、状态、角色类型、应用级别、外部用户体系等多维筛选与搜索。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每个应用展示：图标、简称、全称、唯一 ID、分类、状态（已发布／未发布／停用）、机构开通情况（正式／试用／关停）、外部用户体系开关。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>5.1.2 新增应用接入（两步向导）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第一步 基础信息与角色类型：应用全称、简称（1~6 字）、唯一 ID、分类、对接协议、应用级别（产品级／功能级）、角色类型（有角色／无角色）、入口网址、管理端网址、所属产品经理、应用图标，以及外部用户体系配置。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第二步 待配置内容：系统自动列出接入后仍需完成的配置项，形成清晰的上线清单，避免遗漏。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>5.1.3 外部用户体系配置（应用维度）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公众号名称、AppID、AppSecret、Token、EncodingAESKey、公众号二维码。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关键约束：一旦启用外部用户体系，不允许关闭，防止已产生的用户数据失去归属。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>5.1.4 应用详情与授权情况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展示 AppKey／AppSecret、首页地址、所属业务中心、接口人、系统描述与集成职责。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展示各机构开通详情：正式授权机构、试用期机构、已关停机构，并可下钻查看机构清单。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支持从应用详情直接跳转到该应用的外部用户体系配置与配置页，管理路径不中断。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E376B"/>
          <w:sz w:val="25"/>
        </w:rPr>
        <w:t>5.2 V8 用户体系管理</w:t>
      </w:r>
    </w:p>
    <w:p>
      <w:pPr>
        <w:spacing w:after="120" w:line="400" w:lineRule="exact"/>
      </w:pPr>
      <w:r>
        <w:rPr>
          <w:rFonts w:ascii="微软雅黑" w:hAnsi="微软雅黑" w:eastAsia="微软雅黑"/>
          <w:b w:val="0"/>
          <w:sz w:val="21"/>
        </w:rPr>
        <w:t>解决的问题：公司自有用户体系内的人，到底有多少、在哪些应用、处于什么状态。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>5.2.1 V8 用户数据库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顶部统计：已开通应用数、V8 用户总数、正常 / 已取消关注 / 已锁定 / 已删除用户数。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筛选条件：所属应用、统计单元、昵称／姓名／OpenID、机构简称／全称、用户状态。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名单字段：所属应用、所属机构、用户信息（昵称、姓名、手机号）、所属组织架构、已授权角色、当前状态、操作。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支持导出名单数据，便于线下核对与交付使用。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>5.2.2 微信用户数据库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覆盖平台下各公众号的全部关注用户与状态。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顶部统计：已关注、已激活、未激活、已取关、已锁定、已实名用户数。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筛选条件：所属公众号、统计单元、昵称／姓名／OpenID、机构简称／全称、实名状态、绑定状态、关注状态。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用户详情：绑定手机号（脱敏展示）、微信 OpenID、UnionID、性别与地区、首次关注时间、当前状态，并支持一键复制关键标识。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E376B"/>
          <w:sz w:val="25"/>
        </w:rPr>
        <w:t>5.3 外部用户体系管理</w:t>
      </w:r>
    </w:p>
    <w:p>
      <w:pPr>
        <w:spacing w:after="120" w:line="400" w:lineRule="exact"/>
      </w:pPr>
      <w:r>
        <w:rPr>
          <w:rFonts w:ascii="微软雅黑" w:hAnsi="微软雅黑" w:eastAsia="微软雅黑"/>
          <w:b w:val="0"/>
          <w:sz w:val="21"/>
        </w:rPr>
        <w:t>解决的问题：面向客户与外部公众的用户，如何统一接入、统一看护。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>5.3.1 外部用户体系配置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集中管理各应用的外部用户体系开关与公众号接入参数，与「应用接入」形成一处配置、多处生效。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对启用后的应用，提供外部用户组织列表与邀请配置，形成完整的外部用户管理闭环。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>5.3.2 外部用户数据库（看板）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顶部统计：已开通外部用户的应用数、外部用户总数（含去重口径）、正常状态、已取消关注、已锁定、已删除用户数及占比。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支持按应用、统计单元、用户标识、机构、状态筛选，支持每页 50／100／200／500 条切换。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用户详情覆盖账号状态、首次关注与时长、最近活跃时间、所属应用与公众号、机构归属与组织架构、微信凭证与安全身份。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E376B"/>
          <w:sz w:val="25"/>
        </w:rPr>
        <w:t>5.4 权限与角色体系</w:t>
      </w:r>
    </w:p>
    <w:p>
      <w:pPr>
        <w:spacing w:after="120" w:line="400" w:lineRule="exact"/>
      </w:pPr>
      <w:r>
        <w:rPr>
          <w:rFonts w:ascii="微软雅黑" w:hAnsi="微软雅黑" w:eastAsia="微软雅黑"/>
          <w:b w:val="0"/>
          <w:sz w:val="21"/>
        </w:rPr>
        <w:t>解决的问题：权限怎么定义、怎么分配、怎么被各应用复用。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041"/>
            <w:shd w:val="clear" w:color="auto" w:fill="1E376B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子模块</w:t>
            </w:r>
          </w:p>
        </w:tc>
        <w:tc>
          <w:tcPr>
            <w:tcW w:type="dxa" w:w="6803"/>
            <w:shd w:val="clear" w:color="auto" w:fill="1E376B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关键能力</w:t>
            </w:r>
          </w:p>
        </w:tc>
      </w:tr>
      <w:tr>
        <w:tc>
          <w:tcPr>
            <w:tcW w:type="dxa" w:w="2041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前端系统菜单管理</w:t>
            </w:r>
          </w:p>
        </w:tc>
        <w:tc>
          <w:tcPr>
            <w:tcW w:type="dxa" w:w="6803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维护应用前端菜单层级；菜单编码、路由地址、打开方式（_top／_blank／_self）、排序、显示状态、显示范围；支持内置图标库、上传图标、样式表三种图标方案；菜单可直接绑定应用权限（主权限 + 子权限多选）</w:t>
            </w:r>
          </w:p>
        </w:tc>
      </w:tr>
      <w:tr>
        <w:tc>
          <w:tcPr>
            <w:tcW w:type="dxa" w:w="2041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权限字典（应用权限）</w:t>
            </w:r>
          </w:p>
        </w:tc>
        <w:tc>
          <w:tcPr>
            <w:tcW w:type="dxa" w:w="6803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定义权限点：权限编码、资源类型（菜单／按钮／API／数据）、API 地址、请求方法、资源路径、启停状态与说明</w:t>
            </w:r>
          </w:p>
        </w:tc>
      </w:tr>
      <w:tr>
        <w:tc>
          <w:tcPr>
            <w:tcW w:type="dxa" w:w="2041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默认角色管理</w:t>
            </w:r>
          </w:p>
        </w:tc>
        <w:tc>
          <w:tcPr>
            <w:tcW w:type="dxa" w:w="6803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应用级默认角色模板：角色编码、数据范围、系统内置标识、关联权限；新应用接入后可直接套用，减少重复配置</w:t>
            </w:r>
          </w:p>
        </w:tc>
      </w:tr>
      <w:tr>
        <w:tc>
          <w:tcPr>
            <w:tcW w:type="dxa" w:w="2041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机构角色管理</w:t>
            </w:r>
          </w:p>
        </w:tc>
        <w:tc>
          <w:tcPr>
            <w:tcW w:type="dxa" w:w="6803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面向具体客户机构的角色：角色定义、成员数量、数据范围、启停状态</w:t>
            </w:r>
          </w:p>
        </w:tc>
      </w:tr>
      <w:tr>
        <w:tc>
          <w:tcPr>
            <w:tcW w:type="dxa" w:w="2041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机构权限字典</w:t>
            </w:r>
          </w:p>
        </w:tc>
        <w:tc>
          <w:tcPr>
            <w:tcW w:type="dxa" w:w="6803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机构维度的权限项管理，与机构角色配合完成授权</w:t>
            </w:r>
          </w:p>
        </w:tc>
      </w:tr>
      <w:tr>
        <w:tc>
          <w:tcPr>
            <w:tcW w:type="dxa" w:w="2041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用户应用身份详情</w:t>
            </w:r>
          </w:p>
        </w:tc>
        <w:tc>
          <w:tcPr>
            <w:tcW w:type="dxa" w:w="6803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查看某个用户在各应用中的身份、角色与授权结果，解决「这个人到底能看什么」的问题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1E376B"/>
          <w:sz w:val="25"/>
        </w:rPr>
        <w:t>5.5 全局应用数据字典</w:t>
      </w:r>
    </w:p>
    <w:p>
      <w:pPr>
        <w:spacing w:after="120" w:line="400" w:lineRule="exact"/>
      </w:pPr>
      <w:r>
        <w:rPr>
          <w:rFonts w:ascii="微软雅黑" w:hAnsi="微软雅黑" w:eastAsia="微软雅黑"/>
          <w:b w:val="0"/>
          <w:sz w:val="21"/>
        </w:rPr>
        <w:t>解决的问题：业务参数长期散落在代码与配置文件中，改一次就要发一次版。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>5.5.1 配置能力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分类与配置项双层结构：分类目录最多三级，编码采用英文小写点分格式（如 system.ui）；配置项 Key 采用英文小写下划线格式（如 alert_threshold），同级唯一。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支持 16 种字段类型：单行文本、多行文本、富文本、单选、下拉单选、多选、下拉多选、整数、小数、布尔开关、图片、文件、网址、邮箱、日期、日期时间。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每个配置项可定义：默认值、枚举选项、校验规则（必填、长度、数值范围、正则、文件类型与大小）、排序、业务用途说明。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支持全局字典与单应用字典两种范围，应用内可维护自己的专属配置。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>5.5.2 安全与治理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版本快照：每次保存自动留存全量配置快照，记录保存日期、使用日期、操作人、变更摘要、分类数与配置项数。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版本回滚：支持从历史版本整体恢复配置，回滚前明确提示将被覆盖的范围。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历史不可删除：版本记录永久保留，确保任何一次线上配置变化都能被追溯。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内置项保护：系统内置的分类与配置项仅允许改值；支持「禁止删除」标记，防止误删导致线上异常。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并发保存防护：引入版本序列号机制，当他人已先提交时拒绝覆盖，并提供差异比对，避免多人同时编辑造成配置互相踩踏。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导入导出：支持全量字典 JSON 导出备份与导入覆盖，便于环境搬运与交付留档。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E376B"/>
          <w:sz w:val="25"/>
        </w:rPr>
        <w:t>5.6 全局 CMS 管理系统（二期）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814"/>
            <w:shd w:val="clear" w:color="auto" w:fill="1E376B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子模块</w:t>
            </w:r>
          </w:p>
        </w:tc>
        <w:tc>
          <w:tcPr>
            <w:tcW w:type="dxa" w:w="7030"/>
            <w:shd w:val="clear" w:color="auto" w:fill="1E376B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关键能力</w:t>
            </w:r>
          </w:p>
        </w:tc>
      </w:tr>
      <w:tr>
        <w:tc>
          <w:tcPr>
            <w:tcW w:type="dxa" w:w="1814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CMS 应用注册</w:t>
            </w:r>
          </w:p>
        </w:tc>
        <w:tc>
          <w:tcPr>
            <w:tcW w:type="dxa" w:w="7030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管理全局 CMS 体系下各业务系统的对接协议、授权密钥与接口鉴权规范</w:t>
            </w:r>
          </w:p>
        </w:tc>
      </w:tr>
      <w:tr>
        <w:tc>
          <w:tcPr>
            <w:tcW w:type="dxa" w:w="1814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CMS 机构管理</w:t>
            </w:r>
          </w:p>
        </w:tc>
        <w:tc>
          <w:tcPr>
            <w:tcW w:type="dxa" w:w="7030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统一纳管平台内客户机构的发布权限、内容审核流程与配额；支持按大区／统计单元划分内容生产范围；统一管理机构管理员与发布员角色</w:t>
            </w:r>
          </w:p>
        </w:tc>
      </w:tr>
      <w:tr>
        <w:tc>
          <w:tcPr>
            <w:tcW w:type="dxa" w:w="1814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文章数据查看</w:t>
            </w:r>
          </w:p>
        </w:tc>
        <w:tc>
          <w:tcPr>
            <w:tcW w:type="dxa" w:w="7030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文章总数、发布中、已撤回、已删除等统计；支持按来源应用、统计单元、机构、文章分类、关键词、状态筛选；列表展示文章唯一 ID、来源应用、客户机构、分类、标题、状态、发布时间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1E376B"/>
          <w:sz w:val="25"/>
        </w:rPr>
        <w:t>5.7 指令流转 MT（二期）</w:t>
      </w:r>
    </w:p>
    <w:p>
      <w:pPr>
        <w:spacing w:after="120" w:line="400" w:lineRule="exact"/>
      </w:pPr>
      <w:r>
        <w:rPr>
          <w:rFonts w:ascii="微软雅黑" w:hAnsi="微软雅黑" w:eastAsia="微软雅黑"/>
          <w:b w:val="0"/>
          <w:sz w:val="21"/>
        </w:rPr>
        <w:t>解决的问题：跨系统指令的流转过程不可见，出问题只能靠日志拼接排查。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客户机构列表与开通用户账号列表：统一查看机构与已开通账号，作为指令流转的参与方视图。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指令模拟装配器：选择源节点、目标节点、传输通道（高性能直连／可靠消息队列／长连接），编辑报文并下发，用于联调与验证。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实时监控表：展示指令 ID 与 Trace ID、指令类型与名称、流转拓扑（源 → 目标）、通道与耗时、执行状态。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报文详情：可下钻查看 Trace ID、下发 Payload 与目标节点响应，形成端到端追踪链路。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运行指标：流转总量、成功率、平均端到端延迟、通道与节点健康状态。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E376B"/>
          <w:sz w:val="25"/>
        </w:rPr>
        <w:t>5.8 各应用统一调用组件</w:t>
      </w:r>
    </w:p>
    <w:p>
      <w:pPr>
        <w:spacing w:after="120" w:line="400" w:lineRule="exact"/>
      </w:pPr>
      <w:r>
        <w:rPr>
          <w:rFonts w:ascii="微软雅黑" w:hAnsi="微软雅黑" w:eastAsia="微软雅黑"/>
          <w:b w:val="0"/>
          <w:sz w:val="21"/>
        </w:rPr>
        <w:t>这是本方案中复用价值最直接的部分：下列能力以统一组件的形态提供，各应用无需重复开发，接入即用。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381"/>
            <w:shd w:val="clear" w:color="auto" w:fill="1E376B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6463"/>
            <w:shd w:val="clear" w:color="auto" w:fill="1E376B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能力说明</w:t>
            </w:r>
          </w:p>
        </w:tc>
      </w:tr>
      <w:tr>
        <w:tc>
          <w:tcPr>
            <w:tcW w:type="dxa" w:w="2381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前端系统菜单管理</w:t>
            </w:r>
          </w:p>
        </w:tc>
        <w:tc>
          <w:tcPr>
            <w:tcW w:type="dxa" w:w="6463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统一维护应用前端菜单，权限与菜单联动</w:t>
            </w:r>
          </w:p>
        </w:tc>
      </w:tr>
      <w:tr>
        <w:tc>
          <w:tcPr>
            <w:tcW w:type="dxa" w:w="2381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默认角色管理</w:t>
            </w:r>
          </w:p>
        </w:tc>
        <w:tc>
          <w:tcPr>
            <w:tcW w:type="dxa" w:w="6463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统一维护应用默认角色模板，新应用直接套用</w:t>
            </w:r>
          </w:p>
        </w:tc>
      </w:tr>
      <w:tr>
        <w:tc>
          <w:tcPr>
            <w:tcW w:type="dxa" w:w="2381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基本配置</w:t>
            </w:r>
          </w:p>
        </w:tc>
        <w:tc>
          <w:tcPr>
            <w:tcW w:type="dxa" w:w="6463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应用基础信息与运行参数统一维护</w:t>
            </w:r>
          </w:p>
        </w:tc>
      </w:tr>
      <w:tr>
        <w:tc>
          <w:tcPr>
            <w:tcW w:type="dxa" w:w="2381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机构列表 / 机构详情管理</w:t>
            </w:r>
          </w:p>
        </w:tc>
        <w:tc>
          <w:tcPr>
            <w:tcW w:type="dxa" w:w="6463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客户机构清单与机构详情、组织架构维护</w:t>
            </w:r>
          </w:p>
        </w:tc>
      </w:tr>
      <w:tr>
        <w:tc>
          <w:tcPr>
            <w:tcW w:type="dxa" w:w="2381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机构用户管理</w:t>
            </w:r>
          </w:p>
        </w:tc>
        <w:tc>
          <w:tcPr>
            <w:tcW w:type="dxa" w:w="6463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机构内用户的新增、编辑、状态与角色管理</w:t>
            </w:r>
          </w:p>
        </w:tc>
      </w:tr>
      <w:tr>
        <w:tc>
          <w:tcPr>
            <w:tcW w:type="dxa" w:w="2381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机构角色管理</w:t>
            </w:r>
          </w:p>
        </w:tc>
        <w:tc>
          <w:tcPr>
            <w:tcW w:type="dxa" w:w="6463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机构内角色的定义与成员管理</w:t>
            </w:r>
          </w:p>
        </w:tc>
      </w:tr>
      <w:tr>
        <w:tc>
          <w:tcPr>
            <w:tcW w:type="dxa" w:w="2381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机构权限字典</w:t>
            </w:r>
          </w:p>
        </w:tc>
        <w:tc>
          <w:tcPr>
            <w:tcW w:type="dxa" w:w="6463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机构维度的权限项定义与维护</w:t>
            </w:r>
          </w:p>
        </w:tc>
      </w:tr>
      <w:tr>
        <w:tc>
          <w:tcPr>
            <w:tcW w:type="dxa" w:w="2381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机构界面设置</w:t>
            </w:r>
          </w:p>
        </w:tc>
        <w:tc>
          <w:tcPr>
            <w:tcW w:type="dxa" w:w="6463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机构维度的界面展示与可见范围设置</w:t>
            </w:r>
          </w:p>
        </w:tc>
      </w:tr>
      <w:tr>
        <w:tc>
          <w:tcPr>
            <w:tcW w:type="dxa" w:w="2381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客户机构</w:t>
            </w:r>
          </w:p>
        </w:tc>
        <w:tc>
          <w:tcPr>
            <w:tcW w:type="dxa" w:w="6463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应用与客户机构的授权开通关系管理</w:t>
            </w:r>
          </w:p>
        </w:tc>
      </w:tr>
      <w:tr>
        <w:tc>
          <w:tcPr>
            <w:tcW w:type="dxa" w:w="2381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应用账号管理</w:t>
            </w:r>
          </w:p>
        </w:tc>
        <w:tc>
          <w:tcPr>
            <w:tcW w:type="dxa" w:w="6463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应用内账号的统一管理</w:t>
            </w:r>
          </w:p>
        </w:tc>
      </w:tr>
      <w:tr>
        <w:tc>
          <w:tcPr>
            <w:tcW w:type="dxa" w:w="2381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用户应用身份详情</w:t>
            </w:r>
          </w:p>
        </w:tc>
        <w:tc>
          <w:tcPr>
            <w:tcW w:type="dxa" w:w="6463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单个用户在各应用中的身份与授权结果</w:t>
            </w:r>
          </w:p>
        </w:tc>
      </w:tr>
      <w:tr>
        <w:tc>
          <w:tcPr>
            <w:tcW w:type="dxa" w:w="2381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默认角色 / 权限字典</w:t>
            </w:r>
          </w:p>
        </w:tc>
        <w:tc>
          <w:tcPr>
            <w:tcW w:type="dxa" w:w="6463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应用级角色与权限点维护</w:t>
            </w:r>
          </w:p>
        </w:tc>
      </w:tr>
      <w:tr>
        <w:tc>
          <w:tcPr>
            <w:tcW w:type="dxa" w:w="2381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数据字典配置</w:t>
            </w:r>
          </w:p>
        </w:tc>
        <w:tc>
          <w:tcPr>
            <w:tcW w:type="dxa" w:w="6463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单应用范围的数据字典维护</w:t>
            </w:r>
          </w:p>
        </w:tc>
      </w:tr>
      <w:tr>
        <w:tc>
          <w:tcPr>
            <w:tcW w:type="dxa" w:w="2381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外部用户组织列表</w:t>
            </w:r>
          </w:p>
        </w:tc>
        <w:tc>
          <w:tcPr>
            <w:tcW w:type="dxa" w:w="6463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外部用户所属组织与归属管理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1E376B"/>
          <w:sz w:val="25"/>
        </w:rPr>
        <w:t>5.9 运营看板与分析（二期）</w:t>
      </w:r>
    </w:p>
    <w:p>
      <w:pPr>
        <w:spacing w:after="120" w:line="400" w:lineRule="exact"/>
      </w:pPr>
      <w:r>
        <w:rPr>
          <w:rFonts w:ascii="微软雅黑" w:hAnsi="微软雅黑" w:eastAsia="微软雅黑"/>
          <w:b w:val="0"/>
          <w:sz w:val="21"/>
        </w:rPr>
        <w:t>目标：把分散在各系统的数据汇总为公司级统一视图，让管理层不依赖人工汇总即可判断全局。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维度 A 应用规模梯队：接入应用总数、应用分类构成、按用户人数分层（大型／中型／轻型）、用户人数 Top 应用排行，支持点击排行联动筛选。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维度 B 授权结构：正式授权机构与试用机构数量及占比、试用到期预警、高转化潜力应用排行。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维度 C 地域分布：全网用户按大区／省份／统计单元的分布与覆盖范围。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维度 D 访问与活跃：年度调用量与活跃用户趋势、访问高峰时段、并发承载能力与链路健康度。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说明：看板数据口径需在实施阶段与相关部门统一确认后上线，避免出现「同一指标两个数」的情况。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E376B"/>
          <w:sz w:val="25"/>
        </w:rPr>
        <w:t>5.10 主体维护日志、消息中心与系统设置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主体维护日志：记录操作类型、操作人、所属部门、操作内容、IP、结果与时间，支持按条件检索、导出与清理，是所有管理动作的统一留痕。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消息中心：待办与已读两类消息，支持分类筛选、关键词搜索、分页浏览与详情查看，承载系统通知与待处理事项。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系统设置：平台级参数与基础环境配置的统一入口。</w:t>
      </w:r>
    </w:p>
    <w:p>
      <w:r>
        <w:br w:type="page"/>
      </w:r>
    </w:p>
    <w:p>
      <w:pPr>
        <w:spacing w:before="80" w:after="200"/>
        <w:pBdr>
          <w:bottom w:val="single" w:sz="12" w:color="1E376B" w:space="4"/>
        </w:pBdr>
      </w:pPr>
      <w:r>
        <w:rPr>
          <w:rFonts w:ascii="微软雅黑" w:hAnsi="微软雅黑" w:eastAsia="微软雅黑"/>
          <w:b/>
          <w:color w:val="1E376B"/>
          <w:sz w:val="32"/>
        </w:rPr>
        <w:t>六、关键数据模型</w:t>
      </w:r>
    </w:p>
    <w:p>
      <w:pPr>
        <w:spacing w:after="120" w:line="400" w:lineRule="exact"/>
      </w:pPr>
      <w:r>
        <w:rPr>
          <w:rFonts w:ascii="微软雅黑" w:hAnsi="微软雅黑" w:eastAsia="微软雅黑"/>
          <w:b w:val="0"/>
          <w:sz w:val="21"/>
        </w:rPr>
        <w:t>统一的数据模型是统一管理的前提。平台以以下核心实体为骨架，各业务应用通过统一标识与之关联。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474"/>
            <w:shd w:val="clear" w:color="auto" w:fill="1E376B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实体</w:t>
            </w:r>
          </w:p>
        </w:tc>
        <w:tc>
          <w:tcPr>
            <w:tcW w:type="dxa" w:w="3175"/>
            <w:shd w:val="clear" w:color="auto" w:fill="1E376B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4195"/>
            <w:shd w:val="clear" w:color="auto" w:fill="1E376B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关键字段</w:t>
            </w:r>
          </w:p>
        </w:tc>
      </w:tr>
      <w:tr>
        <w:tc>
          <w:tcPr>
            <w:tcW w:type="dxa" w:w="1474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应用</w:t>
            </w:r>
          </w:p>
        </w:tc>
        <w:tc>
          <w:tcPr>
            <w:tcW w:type="dxa" w:w="3175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接入平台的业务系统</w:t>
            </w:r>
          </w:p>
        </w:tc>
        <w:tc>
          <w:tcPr>
            <w:tcW w:type="dxa" w:w="4195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应用唯一 ID、编码、全称、简称、分类、协议、级别、角色类型、状态、密钥、机构开通数、产品经理</w:t>
            </w:r>
          </w:p>
        </w:tc>
      </w:tr>
      <w:tr>
        <w:tc>
          <w:tcPr>
            <w:tcW w:type="dxa" w:w="1474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客户机构</w:t>
            </w:r>
          </w:p>
        </w:tc>
        <w:tc>
          <w:tcPr>
            <w:tcW w:type="dxa" w:w="3175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使用产品的客户单位及其组织架构</w:t>
            </w:r>
          </w:p>
        </w:tc>
        <w:tc>
          <w:tcPr>
            <w:tcW w:type="dxa" w:w="4195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机构编码、名称、层级关系、所属统计单元、负责人、成员数、状态</w:t>
            </w:r>
          </w:p>
        </w:tc>
      </w:tr>
      <w:tr>
        <w:tc>
          <w:tcPr>
            <w:tcW w:type="dxa" w:w="1474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</w:t>
            </w:r>
          </w:p>
        </w:tc>
        <w:tc>
          <w:tcPr>
            <w:tcW w:type="dxa" w:w="3175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平台内的人员身份</w:t>
            </w:r>
          </w:p>
        </w:tc>
        <w:tc>
          <w:tcPr>
            <w:tcW w:type="dxa" w:w="4195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用户标识、昵称／姓名、手机号、所属机构、所属组织架构、状态</w:t>
            </w:r>
          </w:p>
        </w:tc>
      </w:tr>
      <w:tr>
        <w:tc>
          <w:tcPr>
            <w:tcW w:type="dxa" w:w="1474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应用账号</w:t>
            </w:r>
          </w:p>
        </w:tc>
        <w:tc>
          <w:tcPr>
            <w:tcW w:type="dxa" w:w="3175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用户在某应用中的账号身份</w:t>
            </w:r>
          </w:p>
        </w:tc>
        <w:tc>
          <w:tcPr>
            <w:tcW w:type="dxa" w:w="4195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所属应用、所属机构、绑定角色、状态、最后登录时间与 IP</w:t>
            </w:r>
          </w:p>
        </w:tc>
      </w:tr>
      <w:tr>
        <w:tc>
          <w:tcPr>
            <w:tcW w:type="dxa" w:w="1474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角色</w:t>
            </w:r>
          </w:p>
        </w:tc>
        <w:tc>
          <w:tcPr>
            <w:tcW w:type="dxa" w:w="3175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权限的集合</w:t>
            </w:r>
          </w:p>
        </w:tc>
        <w:tc>
          <w:tcPr>
            <w:tcW w:type="dxa" w:w="4195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角色编码、名称、数据范围、是否系统内置、关联权限、成员数、状态</w:t>
            </w:r>
          </w:p>
        </w:tc>
      </w:tr>
      <w:tr>
        <w:tc>
          <w:tcPr>
            <w:tcW w:type="dxa" w:w="1474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权限点</w:t>
            </w:r>
          </w:p>
        </w:tc>
        <w:tc>
          <w:tcPr>
            <w:tcW w:type="dxa" w:w="3175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可授权的最小单元</w:t>
            </w:r>
          </w:p>
        </w:tc>
        <w:tc>
          <w:tcPr>
            <w:tcW w:type="dxa" w:w="4195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权限编码、所属应用、资源类型（菜单／按钮／API／数据）、资源路径、请求方法</w:t>
            </w:r>
          </w:p>
        </w:tc>
      </w:tr>
      <w:tr>
        <w:tc>
          <w:tcPr>
            <w:tcW w:type="dxa" w:w="1474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菜单</w:t>
            </w:r>
          </w:p>
        </w:tc>
        <w:tc>
          <w:tcPr>
            <w:tcW w:type="dxa" w:w="3175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前端可见的导航结构</w:t>
            </w:r>
          </w:p>
        </w:tc>
        <w:tc>
          <w:tcPr>
            <w:tcW w:type="dxa" w:w="4195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菜单名称、编码、父级、路由、打开方式、图标、排序、显示状态与范围、绑定权限</w:t>
            </w:r>
          </w:p>
        </w:tc>
      </w:tr>
      <w:tr>
        <w:tc>
          <w:tcPr>
            <w:tcW w:type="dxa" w:w="1474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字典分类</w:t>
            </w:r>
          </w:p>
        </w:tc>
        <w:tc>
          <w:tcPr>
            <w:tcW w:type="dxa" w:w="3175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配置的分类目录</w:t>
            </w:r>
          </w:p>
        </w:tc>
        <w:tc>
          <w:tcPr>
            <w:tcW w:type="dxa" w:w="4195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分类编码、名称、父级、排序、是否系统内置、状态</w:t>
            </w:r>
          </w:p>
        </w:tc>
      </w:tr>
      <w:tr>
        <w:tc>
          <w:tcPr>
            <w:tcW w:type="dxa" w:w="1474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字典配置项</w:t>
            </w:r>
          </w:p>
        </w:tc>
        <w:tc>
          <w:tcPr>
            <w:tcW w:type="dxa" w:w="3175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具体的业务参数</w:t>
            </w:r>
          </w:p>
        </w:tc>
        <w:tc>
          <w:tcPr>
            <w:tcW w:type="dxa" w:w="4195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Key、显示名称、字段类型、值、默认值、枚举、校验规则、排序、是否必填、是否禁止删除</w:t>
            </w:r>
          </w:p>
        </w:tc>
      </w:tr>
      <w:tr>
        <w:tc>
          <w:tcPr>
            <w:tcW w:type="dxa" w:w="1474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字典版本</w:t>
            </w:r>
          </w:p>
        </w:tc>
        <w:tc>
          <w:tcPr>
            <w:tcW w:type="dxa" w:w="3175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配置的历史快照</w:t>
            </w:r>
          </w:p>
        </w:tc>
        <w:tc>
          <w:tcPr>
            <w:tcW w:type="dxa" w:w="4195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版本号、保存日期、使用日期、操作人、变更摘要、快照内容</w:t>
            </w:r>
          </w:p>
        </w:tc>
      </w:tr>
      <w:tr>
        <w:tc>
          <w:tcPr>
            <w:tcW w:type="dxa" w:w="1474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文章数据</w:t>
            </w:r>
          </w:p>
        </w:tc>
        <w:tc>
          <w:tcPr>
            <w:tcW w:type="dxa" w:w="3175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CMS 体系内的内容</w:t>
            </w:r>
          </w:p>
        </w:tc>
        <w:tc>
          <w:tcPr>
            <w:tcW w:type="dxa" w:w="4195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文章唯一 ID、来源应用、客户机构、分类、标题、状态、发布时间</w:t>
            </w:r>
          </w:p>
        </w:tc>
      </w:tr>
      <w:tr>
        <w:tc>
          <w:tcPr>
            <w:tcW w:type="dxa" w:w="1474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指令记录</w:t>
            </w:r>
          </w:p>
        </w:tc>
        <w:tc>
          <w:tcPr>
            <w:tcW w:type="dxa" w:w="3175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指令流转的过程数据</w:t>
            </w:r>
          </w:p>
        </w:tc>
        <w:tc>
          <w:tcPr>
            <w:tcW w:type="dxa" w:w="4195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指令 ID、Trace ID、类型、源节点、目标节点、通道、耗时、状态</w:t>
            </w:r>
          </w:p>
        </w:tc>
      </w:tr>
      <w:tr>
        <w:tc>
          <w:tcPr>
            <w:tcW w:type="dxa" w:w="1474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操作日志</w:t>
            </w:r>
          </w:p>
        </w:tc>
        <w:tc>
          <w:tcPr>
            <w:tcW w:type="dxa" w:w="3175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管理动作的留痕</w:t>
            </w:r>
          </w:p>
        </w:tc>
        <w:tc>
          <w:tcPr>
            <w:tcW w:type="dxa" w:w="4195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操作类型、操作人、部门、内容、IP、结果、时间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200"/>
        <w:pBdr>
          <w:bottom w:val="single" w:sz="12" w:color="1E376B" w:space="4"/>
        </w:pBdr>
      </w:pPr>
      <w:r>
        <w:rPr>
          <w:rFonts w:ascii="微软雅黑" w:hAnsi="微软雅黑" w:eastAsia="微软雅黑"/>
          <w:b/>
          <w:color w:val="1E376B"/>
          <w:sz w:val="32"/>
        </w:rPr>
        <w:t>七、关键业务规则与设计约定</w:t>
      </w:r>
    </w:p>
    <w:p>
      <w:pPr>
        <w:spacing w:after="120" w:line="400" w:lineRule="exact"/>
      </w:pPr>
      <w:r>
        <w:rPr>
          <w:rFonts w:ascii="微软雅黑" w:hAnsi="微软雅黑" w:eastAsia="微软雅黑"/>
          <w:b w:val="0"/>
          <w:sz w:val="21"/>
        </w:rPr>
        <w:t>以下规则已在原型中固化。它们看似细节，实际上决定了平台能否长期保持一致，建议在方案确认时一并通过。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701"/>
            <w:shd w:val="clear" w:color="auto" w:fill="1E376B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规则项</w:t>
            </w:r>
          </w:p>
        </w:tc>
        <w:tc>
          <w:tcPr>
            <w:tcW w:type="dxa" w:w="4309"/>
            <w:shd w:val="clear" w:color="auto" w:fill="1E376B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约定内容</w:t>
            </w:r>
          </w:p>
        </w:tc>
        <w:tc>
          <w:tcPr>
            <w:tcW w:type="dxa" w:w="2835"/>
            <w:shd w:val="clear" w:color="auto" w:fill="1E376B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设计原因</w:t>
            </w:r>
          </w:p>
        </w:tc>
      </w:tr>
      <w:tr>
        <w:tc>
          <w:tcPr>
            <w:tcW w:type="dxa" w:w="1701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应用唯一 ID 规则</w:t>
            </w:r>
          </w:p>
        </w:tc>
        <w:tc>
          <w:tcPr>
            <w:tcW w:type="dxa" w:w="4309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产品级应用使用 V8-P-数字，功能级应用使用 V8-M-数字，全局唯一且格式合规</w:t>
            </w:r>
          </w:p>
        </w:tc>
        <w:tc>
          <w:tcPr>
            <w:tcW w:type="dxa" w:w="2835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让编号本身表达应用级别，便于识别与统计</w:t>
            </w:r>
          </w:p>
        </w:tc>
      </w:tr>
      <w:tr>
        <w:tc>
          <w:tcPr>
            <w:tcW w:type="dxa" w:w="1701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应用简称</w:t>
            </w:r>
          </w:p>
        </w:tc>
        <w:tc>
          <w:tcPr>
            <w:tcW w:type="dxa" w:w="4309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1~6 个汉字</w:t>
            </w:r>
          </w:p>
        </w:tc>
        <w:tc>
          <w:tcPr>
            <w:tcW w:type="dxa" w:w="2835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保证在菜单、列表、图标位等紧凑空间内完整显示</w:t>
            </w:r>
          </w:p>
        </w:tc>
      </w:tr>
      <w:tr>
        <w:tc>
          <w:tcPr>
            <w:tcW w:type="dxa" w:w="1701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应用级别</w:t>
            </w:r>
          </w:p>
        </w:tc>
        <w:tc>
          <w:tcPr>
            <w:tcW w:type="dxa" w:w="4309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产品级：独立完整产品；功能级：依附于产品的功能模块</w:t>
            </w:r>
          </w:p>
        </w:tc>
        <w:tc>
          <w:tcPr>
            <w:tcW w:type="dxa" w:w="2835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决定授权、统计与展示方式</w:t>
            </w:r>
          </w:p>
        </w:tc>
      </w:tr>
      <w:tr>
        <w:tc>
          <w:tcPr>
            <w:tcW w:type="dxa" w:w="1701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角色类型</w:t>
            </w:r>
          </w:p>
        </w:tc>
        <w:tc>
          <w:tcPr>
            <w:tcW w:type="dxa" w:w="4309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有角色：需要分配角色与独立权限；无角色：全员通用平权访问</w:t>
            </w:r>
          </w:p>
        </w:tc>
        <w:tc>
          <w:tcPr>
            <w:tcW w:type="dxa" w:w="2835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避免为简单应用引入不必要的授权复杂度</w:t>
            </w:r>
          </w:p>
        </w:tc>
      </w:tr>
      <w:tr>
        <w:tc>
          <w:tcPr>
            <w:tcW w:type="dxa" w:w="1701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外部用户体系</w:t>
            </w:r>
          </w:p>
        </w:tc>
        <w:tc>
          <w:tcPr>
            <w:tcW w:type="dxa" w:w="4309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启用后不可关闭</w:t>
            </w:r>
          </w:p>
        </w:tc>
        <w:tc>
          <w:tcPr>
            <w:tcW w:type="dxa" w:w="2835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防止已产生的用户与关注关系失去归属</w:t>
            </w:r>
          </w:p>
        </w:tc>
      </w:tr>
      <w:tr>
        <w:tc>
          <w:tcPr>
            <w:tcW w:type="dxa" w:w="1701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字典分类层级</w:t>
            </w:r>
          </w:p>
        </w:tc>
        <w:tc>
          <w:tcPr>
            <w:tcW w:type="dxa" w:w="4309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最多三级，编码使用英文小写点分格式</w:t>
            </w:r>
          </w:p>
        </w:tc>
        <w:tc>
          <w:tcPr>
            <w:tcW w:type="dxa" w:w="2835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兼顾表达力与可维护性</w:t>
            </w:r>
          </w:p>
        </w:tc>
      </w:tr>
      <w:tr>
        <w:tc>
          <w:tcPr>
            <w:tcW w:type="dxa" w:w="1701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字典配置项 Key</w:t>
            </w:r>
          </w:p>
        </w:tc>
        <w:tc>
          <w:tcPr>
            <w:tcW w:type="dxa" w:w="4309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英文小写下划线，同级唯一</w:t>
            </w:r>
          </w:p>
        </w:tc>
        <w:tc>
          <w:tcPr>
            <w:tcW w:type="dxa" w:w="2835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供程序读取，必须稳定且可解析</w:t>
            </w:r>
          </w:p>
        </w:tc>
      </w:tr>
      <w:tr>
        <w:tc>
          <w:tcPr>
            <w:tcW w:type="dxa" w:w="1701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系统内置项</w:t>
            </w:r>
          </w:p>
        </w:tc>
        <w:tc>
          <w:tcPr>
            <w:tcW w:type="dxa" w:w="4309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仅允许修改值，不允许破坏结构</w:t>
            </w:r>
          </w:p>
        </w:tc>
        <w:tc>
          <w:tcPr>
            <w:tcW w:type="dxa" w:w="2835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保护系统运行所依赖的配置</w:t>
            </w:r>
          </w:p>
        </w:tc>
      </w:tr>
      <w:tr>
        <w:tc>
          <w:tcPr>
            <w:tcW w:type="dxa" w:w="1701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版本记录</w:t>
            </w:r>
          </w:p>
        </w:tc>
        <w:tc>
          <w:tcPr>
            <w:tcW w:type="dxa" w:w="4309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配置版本快照永久保留、不可删除</w:t>
            </w:r>
          </w:p>
        </w:tc>
        <w:tc>
          <w:tcPr>
            <w:tcW w:type="dxa" w:w="2835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保证线上配置变化可追溯、可回滚</w:t>
            </w:r>
          </w:p>
        </w:tc>
      </w:tr>
      <w:tr>
        <w:tc>
          <w:tcPr>
            <w:tcW w:type="dxa" w:w="1701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高风险操作</w:t>
            </w:r>
          </w:p>
        </w:tc>
        <w:tc>
          <w:tcPr>
            <w:tcW w:type="dxa" w:w="4309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删除、回滚、覆盖类操作必须二次确认并提示影响范围</w:t>
            </w:r>
          </w:p>
        </w:tc>
        <w:tc>
          <w:tcPr>
            <w:tcW w:type="dxa" w:w="2835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降低误操作导致线上异常的概率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200"/>
        <w:pBdr>
          <w:bottom w:val="single" w:sz="12" w:color="1E376B" w:space="4"/>
        </w:pBdr>
      </w:pPr>
      <w:r>
        <w:rPr>
          <w:rFonts w:ascii="微软雅黑" w:hAnsi="微软雅黑" w:eastAsia="微软雅黑"/>
          <w:b/>
          <w:color w:val="1E376B"/>
          <w:sz w:val="32"/>
        </w:rPr>
        <w:t>八、实施路径与里程碑建议</w:t>
      </w:r>
    </w:p>
    <w:p>
      <w:pPr>
        <w:spacing w:after="120" w:line="400" w:lineRule="exact"/>
      </w:pPr>
      <w:r>
        <w:rPr>
          <w:rFonts w:ascii="微软雅黑" w:hAnsi="微软雅黑" w:eastAsia="微软雅黑"/>
          <w:b w:val="0"/>
          <w:sz w:val="22"/>
        </w:rPr>
        <w:t>建议以三期推进，先用底座解决最痛的问题，再向生态与运营延伸。以下为建议方案，供管理层确认优先级与资源投入。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474"/>
            <w:shd w:val="clear" w:color="auto" w:fill="1E376B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835"/>
            <w:shd w:val="clear" w:color="auto" w:fill="1E376B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建设内容</w:t>
            </w:r>
          </w:p>
        </w:tc>
        <w:tc>
          <w:tcPr>
            <w:tcW w:type="dxa" w:w="2494"/>
            <w:shd w:val="clear" w:color="auto" w:fill="1E376B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阶段目标</w:t>
            </w:r>
          </w:p>
        </w:tc>
        <w:tc>
          <w:tcPr>
            <w:tcW w:type="dxa" w:w="2041"/>
            <w:shd w:val="clear" w:color="auto" w:fill="1E376B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关键交付物</w:t>
            </w:r>
          </w:p>
        </w:tc>
      </w:tr>
      <w:tr>
        <w:tc>
          <w:tcPr>
            <w:tcW w:type="dxa" w:w="1474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一期</w:t>
              <w:br/>
              <w:t>底座与统一</w:t>
            </w:r>
          </w:p>
        </w:tc>
        <w:tc>
          <w:tcPr>
            <w:tcW w:type="dxa" w:w="2835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应用接入与管理、V8 用户体系、外部用户体系、权限与角色体系、全局数据字典、统一调用组件</w:t>
            </w:r>
          </w:p>
        </w:tc>
        <w:tc>
          <w:tcPr>
            <w:tcW w:type="dxa" w:w="2494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新产品可在统一底座上接入；用户、机构、权限、配置四类口径统一</w:t>
            </w:r>
          </w:p>
        </w:tc>
        <w:tc>
          <w:tcPr>
            <w:tcW w:type="dxa" w:w="2041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可运行的平台、接入规范、统一组件库、数据字典基线</w:t>
            </w:r>
          </w:p>
        </w:tc>
      </w:tr>
      <w:tr>
        <w:tc>
          <w:tcPr>
            <w:tcW w:type="dxa" w:w="1474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二期</w:t>
              <w:br/>
              <w:t>生态与管理闭环</w:t>
            </w:r>
          </w:p>
        </w:tc>
        <w:tc>
          <w:tcPr>
            <w:tcW w:type="dxa" w:w="2835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全局 CMS 管理、指令流转 MT、外部用户组织与邀请配置、消息中心与管理动作全面留痕</w:t>
            </w:r>
          </w:p>
        </w:tc>
        <w:tc>
          <w:tcPr>
            <w:tcW w:type="dxa" w:w="2494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内容与指令纳入统一管理；管理动作形成闭环与可追溯链路</w:t>
            </w:r>
          </w:p>
        </w:tc>
        <w:tc>
          <w:tcPr>
            <w:tcW w:type="dxa" w:w="2041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CMS 与指令流转管理模块、统一日志与消息体系</w:t>
            </w:r>
          </w:p>
        </w:tc>
      </w:tr>
      <w:tr>
        <w:tc>
          <w:tcPr>
            <w:tcW w:type="dxa" w:w="1474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三期</w:t>
              <w:br/>
              <w:t>数据与智能运营</w:t>
            </w:r>
          </w:p>
        </w:tc>
        <w:tc>
          <w:tcPr>
            <w:tcW w:type="dxa" w:w="2835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运营看板与分析（规模、授权、地域、活跃）、全局健康度、跨应用数据资产沉淀</w:t>
            </w:r>
          </w:p>
        </w:tc>
        <w:tc>
          <w:tcPr>
            <w:tcW w:type="dxa" w:w="2494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管理层自助查看全局数据，决策不再依赖人工汇总</w:t>
            </w:r>
          </w:p>
        </w:tc>
        <w:tc>
          <w:tcPr>
            <w:tcW w:type="dxa" w:w="2041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公司级运营看板、指标口径手册、数据资产清单</w:t>
            </w:r>
          </w:p>
        </w:tc>
      </w:tr>
    </w:tbl>
    <w:p>
      <w:pPr>
        <w:spacing w:after="40"/>
      </w:pPr>
    </w:p>
    <w:p>
      <w:pPr>
        <w:spacing w:after="120" w:line="400" w:lineRule="exact"/>
      </w:pPr>
      <w:r>
        <w:rPr>
          <w:rFonts w:ascii="微软雅黑" w:hAnsi="微软雅黑" w:eastAsia="微软雅黑"/>
          <w:b w:val="0"/>
          <w:color w:val="5B6474"/>
          <w:sz w:val="20"/>
        </w:rPr>
        <w:t>推进方式建议：一期内采用「先试点、后铺开」的方式，选取 2~3 个代表性应用完成接入，验证接入规范与权限模型后再向全部产品推广，避免一次性全量切换带来的交付风险。</w:t>
      </w:r>
    </w:p>
    <w:p>
      <w:r>
        <w:br w:type="page"/>
      </w:r>
    </w:p>
    <w:p>
      <w:pPr>
        <w:spacing w:before="80" w:after="200"/>
        <w:pBdr>
          <w:bottom w:val="single" w:sz="12" w:color="1E376B" w:space="4"/>
        </w:pBdr>
      </w:pPr>
      <w:r>
        <w:rPr>
          <w:rFonts w:ascii="微软雅黑" w:hAnsi="微软雅黑" w:eastAsia="微软雅黑"/>
          <w:b/>
          <w:color w:val="1E376B"/>
          <w:sz w:val="32"/>
        </w:rPr>
        <w:t>九、预期收益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701"/>
            <w:shd w:val="clear" w:color="auto" w:fill="1E376B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收益方向</w:t>
            </w:r>
          </w:p>
        </w:tc>
        <w:tc>
          <w:tcPr>
            <w:tcW w:type="dxa" w:w="2041"/>
            <w:shd w:val="clear" w:color="auto" w:fill="1E376B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受益对象</w:t>
            </w:r>
          </w:p>
        </w:tc>
        <w:tc>
          <w:tcPr>
            <w:tcW w:type="dxa" w:w="5102"/>
            <w:shd w:val="clear" w:color="auto" w:fill="1E376B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具体体现</w:t>
            </w:r>
          </w:p>
        </w:tc>
      </w:tr>
      <w:tr>
        <w:tc>
          <w:tcPr>
            <w:tcW w:type="dxa" w:w="1701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降低重复建设</w:t>
            </w:r>
          </w:p>
        </w:tc>
        <w:tc>
          <w:tcPr>
            <w:tcW w:type="dxa" w:w="2041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研发与产品团队</w:t>
            </w:r>
          </w:p>
        </w:tc>
        <w:tc>
          <w:tcPr>
            <w:tcW w:type="dxa" w:w="5102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账号、机构、角色、权限、菜单、字典等共性能力只建一次，各应用直接复用</w:t>
            </w:r>
          </w:p>
        </w:tc>
      </w:tr>
      <w:tr>
        <w:tc>
          <w:tcPr>
            <w:tcW w:type="dxa" w:w="1701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缩短交付周期</w:t>
            </w:r>
          </w:p>
        </w:tc>
        <w:tc>
          <w:tcPr>
            <w:tcW w:type="dxa" w:w="2041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交付与实施团队</w:t>
            </w:r>
          </w:p>
        </w:tc>
        <w:tc>
          <w:tcPr>
            <w:tcW w:type="dxa" w:w="5102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新应用接入与新客户开通有标准流程与标准组件，不再逐系统手工配置</w:t>
            </w:r>
          </w:p>
        </w:tc>
      </w:tr>
      <w:tr>
        <w:tc>
          <w:tcPr>
            <w:tcW w:type="dxa" w:w="1701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统一管理口径</w:t>
            </w:r>
          </w:p>
        </w:tc>
        <w:tc>
          <w:tcPr>
            <w:tcW w:type="dxa" w:w="2041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管理层与运营团队</w:t>
            </w:r>
          </w:p>
        </w:tc>
        <w:tc>
          <w:tcPr>
            <w:tcW w:type="dxa" w:w="5102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机构、用户、授权、内容、指令在同一平台统计，避免同一指标多个数</w:t>
            </w:r>
          </w:p>
        </w:tc>
      </w:tr>
      <w:tr>
        <w:tc>
          <w:tcPr>
            <w:tcW w:type="dxa" w:w="1701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提升业务响应</w:t>
            </w:r>
          </w:p>
        </w:tc>
        <w:tc>
          <w:tcPr>
            <w:tcW w:type="dxa" w:w="2041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业务团队</w:t>
            </w:r>
          </w:p>
        </w:tc>
        <w:tc>
          <w:tcPr>
            <w:tcW w:type="dxa" w:w="5102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业务参数在界面维护、即时生效，不再依赖代码发版</w:t>
            </w:r>
          </w:p>
        </w:tc>
      </w:tr>
      <w:tr>
        <w:tc>
          <w:tcPr>
            <w:tcW w:type="dxa" w:w="1701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降低运维风险</w:t>
            </w:r>
          </w:p>
        </w:tc>
        <w:tc>
          <w:tcPr>
            <w:tcW w:type="dxa" w:w="2041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运维与安全团队</w:t>
            </w:r>
          </w:p>
        </w:tc>
        <w:tc>
          <w:tcPr>
            <w:tcW w:type="dxa" w:w="5102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配置有版本可回滚，部署有记录可追溯，高风险操作有确认与留痕</w:t>
            </w:r>
          </w:p>
        </w:tc>
      </w:tr>
      <w:tr>
        <w:tc>
          <w:tcPr>
            <w:tcW w:type="dxa" w:w="1701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沉淀数据资产</w:t>
            </w:r>
          </w:p>
        </w:tc>
        <w:tc>
          <w:tcPr>
            <w:tcW w:type="dxa" w:w="2041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公司整体</w:t>
            </w:r>
          </w:p>
        </w:tc>
        <w:tc>
          <w:tcPr>
            <w:tcW w:type="dxa" w:w="5102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应用、机构、用户、内容、指令数据集中沉淀，为后续分析与决策打基础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200"/>
        <w:pBdr>
          <w:bottom w:val="single" w:sz="12" w:color="1E376B" w:space="4"/>
        </w:pBdr>
      </w:pPr>
      <w:r>
        <w:rPr>
          <w:rFonts w:ascii="微软雅黑" w:hAnsi="微软雅黑" w:eastAsia="微软雅黑"/>
          <w:b/>
          <w:color w:val="1E376B"/>
          <w:sz w:val="32"/>
        </w:rPr>
        <w:t>十、风险与应对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928"/>
            <w:shd w:val="clear" w:color="auto" w:fill="1E376B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494"/>
            <w:shd w:val="clear" w:color="auto" w:fill="1E376B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4422"/>
            <w:shd w:val="clear" w:color="auto" w:fill="1E376B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应对措施</w:t>
            </w:r>
          </w:p>
        </w:tc>
      </w:tr>
      <w:tr>
        <w:tc>
          <w:tcPr>
            <w:tcW w:type="dxa" w:w="1928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各应用接入意愿与配合度不足</w:t>
            </w:r>
          </w:p>
        </w:tc>
        <w:tc>
          <w:tcPr>
            <w:tcW w:type="dxa" w:w="2494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底座建成但接入缓慢，价值无法体现</w:t>
            </w:r>
          </w:p>
        </w:tc>
        <w:tc>
          <w:tcPr>
            <w:tcW w:type="dxa" w:w="4422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由管理层明确接入要求与时间表；提供标准接入文档与统一组件，降低接入方工作量</w:t>
            </w:r>
          </w:p>
        </w:tc>
      </w:tr>
      <w:tr>
        <w:tc>
          <w:tcPr>
            <w:tcW w:type="dxa" w:w="1928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跨部门数据口径不一致</w:t>
            </w:r>
          </w:p>
        </w:tc>
        <w:tc>
          <w:tcPr>
            <w:tcW w:type="dxa" w:w="2494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统计结果出现分歧，影响看板公信力</w:t>
            </w:r>
          </w:p>
        </w:tc>
        <w:tc>
          <w:tcPr>
            <w:tcW w:type="dxa" w:w="4422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实施初期设立口径确认环节，先固化机构、用户、授权三类核心口径，形成书面手册后方可上线对应指标</w:t>
            </w:r>
          </w:p>
        </w:tc>
      </w:tr>
      <w:tr>
        <w:tc>
          <w:tcPr>
            <w:tcW w:type="dxa" w:w="1928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历史数据质量参差</w:t>
            </w:r>
          </w:p>
        </w:tc>
        <w:tc>
          <w:tcPr>
            <w:tcW w:type="dxa" w:w="2494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迁移后数据不干净，影响使用体验</w:t>
            </w:r>
          </w:p>
        </w:tc>
        <w:tc>
          <w:tcPr>
            <w:tcW w:type="dxa" w:w="4422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接入前进行数据体检，制定清洗与映射规则，保留人工确认环节</w:t>
            </w:r>
          </w:p>
        </w:tc>
      </w:tr>
      <w:tr>
        <w:tc>
          <w:tcPr>
            <w:tcW w:type="dxa" w:w="1928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权限模型设计不当</w:t>
            </w:r>
          </w:p>
        </w:tc>
        <w:tc>
          <w:tcPr>
            <w:tcW w:type="dxa" w:w="2494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上线后频繁返工，影响各应用</w:t>
            </w:r>
          </w:p>
        </w:tc>
        <w:tc>
          <w:tcPr>
            <w:tcW w:type="dxa" w:w="4422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权限模型与编码规则先评审后开发；优先在试点应用验证再全面推广</w:t>
            </w:r>
          </w:p>
        </w:tc>
      </w:tr>
      <w:tr>
        <w:tc>
          <w:tcPr>
            <w:tcW w:type="dxa" w:w="1928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配置变更引发线上异常</w:t>
            </w:r>
          </w:p>
        </w:tc>
        <w:tc>
          <w:tcPr>
            <w:tcW w:type="dxa" w:w="2494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影响业务连续性</w:t>
            </w:r>
          </w:p>
        </w:tc>
        <w:tc>
          <w:tcPr>
            <w:tcW w:type="dxa" w:w="4422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强制版本快照与回滚机制、内置项保护、高风险操作二次确认、并发保存防冲突</w:t>
            </w:r>
          </w:p>
        </w:tc>
      </w:tr>
      <w:tr>
        <w:tc>
          <w:tcPr>
            <w:tcW w:type="dxa" w:w="1928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安全与合规要求</w:t>
            </w:r>
          </w:p>
        </w:tc>
        <w:tc>
          <w:tcPr>
            <w:tcW w:type="dxa" w:w="2494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用户信息与公众号密钥泄露风险</w:t>
            </w:r>
          </w:p>
        </w:tc>
        <w:tc>
          <w:tcPr>
            <w:tcW w:type="dxa" w:w="4422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密钥脱敏存储与权限分级、敏感字段脱敏展示、关键操作全量留痕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200"/>
        <w:pBdr>
          <w:bottom w:val="single" w:sz="12" w:color="1E376B" w:space="4"/>
        </w:pBdr>
      </w:pPr>
      <w:r>
        <w:rPr>
          <w:rFonts w:ascii="微软雅黑" w:hAnsi="微软雅黑" w:eastAsia="微软雅黑"/>
          <w:b/>
          <w:color w:val="1E376B"/>
          <w:sz w:val="32"/>
        </w:rPr>
        <w:t>十一、需要领导决策的事项</w:t>
      </w:r>
    </w:p>
    <w:p>
      <w:pPr>
        <w:spacing w:after="120" w:line="400" w:lineRule="exact"/>
      </w:pPr>
      <w:r>
        <w:rPr>
          <w:rFonts w:ascii="微软雅黑" w:hAnsi="微软雅黑" w:eastAsia="微软雅黑"/>
          <w:b/>
          <w:sz w:val="22"/>
        </w:rPr>
        <w:t>为保障方案落地，请管理层明确以下事项：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794"/>
            <w:shd w:val="clear" w:color="auto" w:fill="1E376B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2608"/>
            <w:shd w:val="clear" w:color="auto" w:fill="1E376B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决策事项</w:t>
            </w:r>
          </w:p>
        </w:tc>
        <w:tc>
          <w:tcPr>
            <w:tcW w:type="dxa" w:w="5443"/>
            <w:shd w:val="clear" w:color="auto" w:fill="1E376B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需要的结论</w:t>
            </w:r>
          </w:p>
        </w:tc>
      </w:tr>
      <w:tr>
        <w:tc>
          <w:tcPr>
            <w:tcW w:type="dxa" w:w="794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2608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是否确认建设该平台</w:t>
            </w:r>
          </w:p>
        </w:tc>
        <w:tc>
          <w:tcPr>
            <w:tcW w:type="dxa" w:w="5443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确认立项，并明确本方案为建设范围基线</w:t>
            </w:r>
          </w:p>
        </w:tc>
      </w:tr>
      <w:tr>
        <w:tc>
          <w:tcPr>
            <w:tcW w:type="dxa" w:w="794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2608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建设优先级</w:t>
            </w:r>
          </w:p>
        </w:tc>
        <w:tc>
          <w:tcPr>
            <w:tcW w:type="dxa" w:w="5443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是否按「底座 → 生态 → 数据」三期推进，或调整顺序</w:t>
            </w:r>
          </w:p>
        </w:tc>
      </w:tr>
      <w:tr>
        <w:tc>
          <w:tcPr>
            <w:tcW w:type="dxa" w:w="794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2608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资源投入</w:t>
            </w:r>
          </w:p>
        </w:tc>
        <w:tc>
          <w:tcPr>
            <w:tcW w:type="dxa" w:w="5443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明确专职产品负责人、研发人力配置与前端后端分工</w:t>
            </w:r>
          </w:p>
        </w:tc>
      </w:tr>
      <w:tr>
        <w:tc>
          <w:tcPr>
            <w:tcW w:type="dxa" w:w="794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2608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接入要求</w:t>
            </w:r>
          </w:p>
        </w:tc>
        <w:tc>
          <w:tcPr>
            <w:tcW w:type="dxa" w:w="5443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是否要求全部产品按统一规范接入，并明确接入时间要求</w:t>
            </w:r>
          </w:p>
        </w:tc>
      </w:tr>
      <w:tr>
        <w:tc>
          <w:tcPr>
            <w:tcW w:type="dxa" w:w="794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2608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数据口径归口</w:t>
            </w:r>
          </w:p>
        </w:tc>
        <w:tc>
          <w:tcPr>
            <w:tcW w:type="dxa" w:w="5443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指定机构、用户、授权等核心口径的责任部门与确认流程</w:t>
            </w:r>
          </w:p>
        </w:tc>
      </w:tr>
      <w:tr>
        <w:tc>
          <w:tcPr>
            <w:tcW w:type="dxa" w:w="794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2608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试点选择</w:t>
            </w:r>
          </w:p>
        </w:tc>
        <w:tc>
          <w:tcPr>
            <w:tcW w:type="dxa" w:w="5443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确认一期试点应用名单（建议 2~3 个代表性应用）</w:t>
            </w:r>
          </w:p>
        </w:tc>
      </w:tr>
      <w:tr>
        <w:tc>
          <w:tcPr>
            <w:tcW w:type="dxa" w:w="794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2608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权限与安全边界</w:t>
            </w:r>
          </w:p>
        </w:tc>
        <w:tc>
          <w:tcPr>
            <w:tcW w:type="dxa" w:w="5443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明确客户机构管理员的操作范围、敏感数据访问与密钥管理要求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200"/>
        <w:pBdr>
          <w:bottom w:val="single" w:sz="12" w:color="1E376B" w:space="4"/>
        </w:pBdr>
      </w:pPr>
      <w:r>
        <w:rPr>
          <w:rFonts w:ascii="微软雅黑" w:hAnsi="微软雅黑" w:eastAsia="微软雅黑"/>
          <w:b/>
          <w:color w:val="1E376B"/>
          <w:sz w:val="32"/>
        </w:rPr>
        <w:t>十二、附录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E376B"/>
          <w:sz w:val="25"/>
        </w:rPr>
        <w:t>12.1 名词说明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814"/>
            <w:shd w:val="clear" w:color="auto" w:fill="1E376B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名词</w:t>
            </w:r>
          </w:p>
        </w:tc>
        <w:tc>
          <w:tcPr>
            <w:tcW w:type="dxa" w:w="7030"/>
            <w:shd w:val="clear" w:color="auto" w:fill="1E376B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1814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V8</w:t>
            </w:r>
          </w:p>
        </w:tc>
        <w:tc>
          <w:tcPr>
            <w:tcW w:type="dxa" w:w="7030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公司统一用户与产品体系的代称，管理端与客户端共用同一套身份与授权规则</w:t>
            </w:r>
          </w:p>
        </w:tc>
      </w:tr>
      <w:tr>
        <w:tc>
          <w:tcPr>
            <w:tcW w:type="dxa" w:w="1814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MT</w:t>
            </w:r>
          </w:p>
        </w:tc>
        <w:tc>
          <w:tcPr>
            <w:tcW w:type="dxa" w:w="7030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管理端（Management Terminal），面向公司内部运营与客户机构管理的入口</w:t>
            </w:r>
          </w:p>
        </w:tc>
      </w:tr>
      <w:tr>
        <w:tc>
          <w:tcPr>
            <w:tcW w:type="dxa" w:w="1814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外部用户</w:t>
            </w:r>
          </w:p>
        </w:tc>
        <w:tc>
          <w:tcPr>
            <w:tcW w:type="dxa" w:w="7030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不属于公司自有用户体系、通过公众号等渠道进入产品的客户侧用户</w:t>
            </w:r>
          </w:p>
        </w:tc>
      </w:tr>
      <w:tr>
        <w:tc>
          <w:tcPr>
            <w:tcW w:type="dxa" w:w="1814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统计单元</w:t>
            </w:r>
          </w:p>
        </w:tc>
        <w:tc>
          <w:tcPr>
            <w:tcW w:type="dxa" w:w="7030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数据统计与归属划分的维度，用于跨应用统一口径</w:t>
            </w:r>
          </w:p>
        </w:tc>
      </w:tr>
      <w:tr>
        <w:tc>
          <w:tcPr>
            <w:tcW w:type="dxa" w:w="1814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数据字典</w:t>
            </w:r>
          </w:p>
        </w:tc>
        <w:tc>
          <w:tcPr>
            <w:tcW w:type="dxa" w:w="7030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以「分类 + 配置项」形式集中维护业务参数的能力，供程序读取</w:t>
            </w:r>
          </w:p>
        </w:tc>
      </w:tr>
      <w:tr>
        <w:tc>
          <w:tcPr>
            <w:tcW w:type="dxa" w:w="1814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统一调用组件</w:t>
            </w:r>
          </w:p>
        </w:tc>
        <w:tc>
          <w:tcPr>
            <w:tcW w:type="dxa" w:w="7030"/>
            <w:shd w:val="clear" w:color="auto" w:fill="F2F7FD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平台提供给各应用复用的标准界面与能力，接入即用</w:t>
            </w:r>
          </w:p>
        </w:tc>
      </w:tr>
      <w:tr>
        <w:tc>
          <w:tcPr>
            <w:tcW w:type="dxa" w:w="1814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权限点</w:t>
            </w:r>
          </w:p>
        </w:tc>
        <w:tc>
          <w:tcPr>
            <w:tcW w:type="dxa" w:w="7030"/>
          </w:tcPr>
          <w:p>
            <w:pPr>
              <w:spacing w:after="40" w:line="32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可被授权的最小功能单元，通常对应一个菜单、按钮、接口或数据范围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1E376B"/>
          <w:sz w:val="25"/>
        </w:rPr>
        <w:t>12.2 已完成的原型范围</w:t>
      </w:r>
    </w:p>
    <w:p>
      <w:pPr>
        <w:spacing w:after="120" w:line="400" w:lineRule="exact"/>
      </w:pPr>
      <w:r>
        <w:rPr>
          <w:rFonts w:ascii="微软雅黑" w:hAnsi="微软雅黑" w:eastAsia="微软雅黑"/>
          <w:b w:val="0"/>
          <w:sz w:val="21"/>
        </w:rPr>
        <w:t>本方案对应的管理后台高保真原型已开发完成并可运行，覆盖：应用管理、V8 用户体系、外部用户体系、全局数据字典、权限与角色、统一调用组件、CMS 文章数据、指令流转 MT、运营看板、操作日志与消息中心。原型可用于向管理层与各业务方演示，也可作为研发实现与验收的基准。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E376B"/>
          <w:sz w:val="25"/>
        </w:rPr>
        <w:t>12.3 后续配合事项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与各产品线确认接入优先级与排期。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与相关管理部门确认机构、用户、授权等核心数据口径。</w:t>
      </w:r>
    </w:p>
    <w:p>
      <w:pPr>
        <w:spacing w:after="60" w:line="400" w:lineRule="exact"/>
        <w:ind w:left="482" w:hanging="198"/>
      </w:pPr>
      <w:r>
        <w:rPr>
          <w:rFonts w:ascii="微软雅黑" w:hAnsi="微软雅黑" w:eastAsia="微软雅黑"/>
          <w:b/>
          <w:color w:val="1E376B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由研发团队评估数据字典并发保存、权限模型与统一组件的技术实现方案。</w:t>
      </w:r>
    </w:p>
    <w:sectPr w:rsidR="00FC693F" w:rsidRPr="0006063C" w:rsidSect="00034616">
      <w:footerReference w:type="default" r:id="rId9"/>
      <w:pgSz w:w="12240" w:h="15840"/>
      <w:pgMar w:top="1361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B6474"/>
        <w:sz w:val="16"/>
      </w:rPr>
      <w:t xml:space="preserve">V8 应用集成管理中心 · 产品建设方案（管理层汇报版）  |  第 </w:t>
    </w:r>
    <w:r>
      <w:rPr>
        <w:rFonts w:ascii="微软雅黑" w:hAnsi="微软雅黑" w:eastAsia="微软雅黑"/>
        <w:b w:val="0"/>
        <w:color w:val="5B6474"/>
        <w:sz w:val="16"/>
      </w:rPr>
      <w:fldChar w:fldCharType="begin"/>
      <w:instrText xml:space="preserve">PAGE</w:instrText>
      <w:fldChar w:fldCharType="end"/>
    </w:r>
    <w:r>
      <w:rPr>
        <w:rFonts w:ascii="微软雅黑" w:hAnsi="微软雅黑" w:eastAsia="微软雅黑"/>
        <w:b w:val="0"/>
        <w:color w:val="5B6474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