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metaphor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analogy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w:t>
      </w:r>
      <w:bookmarkStart w:id="81" w:name="_GoBack"/>
      <w:bookmarkEnd w:id="81"/>
      <w:r>
        <w:rPr>
          <w:rFonts w:hint="default" w:ascii="TimesNewRomanPSMT" w:hAnsi="TimesNewRomanPSMT" w:eastAsia="TimesNewRomanPSMT" w:cs="TimesNewRomanPSMT"/>
          <w:color w:val="000000"/>
          <w:kern w:val="0"/>
          <w:sz w:val="23"/>
          <w:szCs w:val="23"/>
          <w:lang w:val="en-US" w:eastAsia="zh-CN" w:bidi="ar"/>
        </w:rPr>
        <w:t xml:space="preserve">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crackdown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严厉的打击; 镇压</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quest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探索，寻找，追求; 探索; 探求</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masochism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性受虐狂; 受虐狂</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inauguration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Singapore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新加坡</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Seoul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bdr w:val="none" w:color="auto" w:sz="0" w:space="0"/>
          <w:shd w:val="clear" w:fill="FFFFFF"/>
        </w:rPr>
        <w:t>久负盛名</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outperform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obsession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dispute that, according to Members of Parliament (MPs), threatens the very survival of London Metropolitan University(London Met), the capital`s biggest higher education institution, is spilling over on to London`s streets. Last week lorry drivers on Holloway Road in Islington watched as a group of students and staff marched in protest against 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“Save our Staff” and “London Met on the Roper”, a reference to the university`s vice-chancellor, Professor Brian Roper, screamed the banners.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controversy for the militancy of its staff and students, but the latest row is a more serious matter. This crisis is over an attempt by the Higher Education Funding Council (Hefc) to claw back more than £50m that London Met should not have received. It is believed that as many as 500 jobs could go as a result of the university having been overpaid for student dropouts since 2005, and the unions are furious,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appear to discriminate against widening participation”, said a UCU spokesperson. “But we also feel very strongly about the fact that the management are not consulting the unions as they are required to do in law and that they have not considered alternatives like a freeze on new appointments”.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issues in dispute is whether students who did not take their assessments at the end of the year but were intending to take them the following year should be classified as drop-outs. Hefc considers them to have dropped out and says that its funding definitions apply to all universities regardless;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dispute has also hit the House of Commons. An early day motion signed by MPs says that the scale of the cuts---an 18m reduction in teaching budgets and 38m in claw-backs for precious years---“throws the future operability of the university into doubt at a time when education and training are vital to the capital`s economic health”</w:t>
      </w:r>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stonewalling 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triggered this change of heart? It`s partly down to the economic climate plus fewer new medicines and the removal of much of the threat from animal rights extremism,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antivivisection groups who persistently 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is why we have published new guidelines aimed at improving the quality of reporting on animal experiments in research papers. These have been met with support, notably from the major funding bodies and many international journals. This is indicative 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skepticism and accusations 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difference is that these guidelines come in the wake of recent studies, which reveal serious shortcomings in animal research. One by my own organization, the UK`s NC3Rs, found that key information was missing from many of the 300 or so publications we analysed that described publicly funded experiments on rodents 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Animal research has been a thorn in the side of researchers for many years. We can`t afford to get this wrong, scientifically, ethically or financially. Failings in reporting animal data properly can be perceived as an attempt to hide something, either about the quality or value of what is being done. When animal research is funded from the public purse a public mandate is essential. There is much scope for improvement. It is time for scientists---funders, researchers and editors---to use the new guidelines to put our house in order.</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Likenesses of Buddha are those days so commonplace---the casual adornment of fashionable spas, fusion restaurants and Parisian nightclubs---that it is strange to think that artists once hesitated, out of reverence, to portray the Buddha in corporeal form. In 2nd century India, judging by 2nd century sandstone carving excavated from Mathura, it was sufficient to simply depict an empty throne---the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But as the stunning new gallery of Buddhist sculpture at London`s Victoria and Albert Museum makes plain, somewhere along the line the reticence(</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rendering the Buddha`s likeness gave way, and the world embarked on two millenniums of rich iconography and statuary. The gallery`s 47 masterworks, chosen from the museum`s renowned 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Inspiration came from unexpected sources. Some sculptors in Sri Lanka and China simply shaped the Buddha in their own likenesses. A 4th century stucco bust unearthed in Afghanistan features the full lips associated with India Gupta art, but also fulsome curls 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region by Alexander the Great.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Other enlightened souls are shown beside the Buddha. Among the gallery`s most glorious artifacts are depictions of bodhisattvas---those who deliberately postpone 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 Buddhists believe, in order to help others along the eightfold path. In the 14th century, metalworkers from Nepal`s Kathmandu Valley crafted the Bodhisattva Avalokiteshvara, a manifestation of the Buddhist lord of compassion, in gilded copper and precious-stone inlay.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deity with wide hips and sensuous form (in Chinese tradition, Avalokiteshvara or Guan Yin is female, in others male), Avalokiteshvara`s serene face projects the harmony to which all Buddhists aspire.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curator, says that Avalokiteshvara is sometimes depicted holding a blooming lotus---a symbol of spiritual purity. “It comes up from the mud, flowers, and remains untouched by the dirt that surrounded it”, he says. You could say the same thing for the wonderful richness of Buddhist art.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6135604"/>
    <w:rsid w:val="06CF3672"/>
    <w:rsid w:val="086B6B32"/>
    <w:rsid w:val="08BC0765"/>
    <w:rsid w:val="09007E17"/>
    <w:rsid w:val="0A321D75"/>
    <w:rsid w:val="0AEE2F0F"/>
    <w:rsid w:val="0B437410"/>
    <w:rsid w:val="0BAE19A5"/>
    <w:rsid w:val="0F3B3455"/>
    <w:rsid w:val="107268A0"/>
    <w:rsid w:val="10D274FF"/>
    <w:rsid w:val="15077464"/>
    <w:rsid w:val="16753A65"/>
    <w:rsid w:val="17644585"/>
    <w:rsid w:val="1AE73586"/>
    <w:rsid w:val="1B80298C"/>
    <w:rsid w:val="1B885D46"/>
    <w:rsid w:val="1CC02F8F"/>
    <w:rsid w:val="1CF21C43"/>
    <w:rsid w:val="1E706CC8"/>
    <w:rsid w:val="1F4363E3"/>
    <w:rsid w:val="1FC450B2"/>
    <w:rsid w:val="21F74CA6"/>
    <w:rsid w:val="22125546"/>
    <w:rsid w:val="22267096"/>
    <w:rsid w:val="22D36AB8"/>
    <w:rsid w:val="247305BB"/>
    <w:rsid w:val="24742E0B"/>
    <w:rsid w:val="25CC0F1B"/>
    <w:rsid w:val="276D0E18"/>
    <w:rsid w:val="2771617F"/>
    <w:rsid w:val="27870029"/>
    <w:rsid w:val="2A7749E2"/>
    <w:rsid w:val="2A9069EC"/>
    <w:rsid w:val="2ADA127C"/>
    <w:rsid w:val="2B682E17"/>
    <w:rsid w:val="2C2064B8"/>
    <w:rsid w:val="2DC36B70"/>
    <w:rsid w:val="2E964367"/>
    <w:rsid w:val="2EB34C6E"/>
    <w:rsid w:val="33200299"/>
    <w:rsid w:val="357673C7"/>
    <w:rsid w:val="36705148"/>
    <w:rsid w:val="36720EAE"/>
    <w:rsid w:val="38D30B34"/>
    <w:rsid w:val="39AB24E6"/>
    <w:rsid w:val="39C9623B"/>
    <w:rsid w:val="3A9049B0"/>
    <w:rsid w:val="3AC0051D"/>
    <w:rsid w:val="3B78760E"/>
    <w:rsid w:val="3B8F04E0"/>
    <w:rsid w:val="3BA44642"/>
    <w:rsid w:val="3D0D2E61"/>
    <w:rsid w:val="3F3F370B"/>
    <w:rsid w:val="40FD2212"/>
    <w:rsid w:val="43F13C86"/>
    <w:rsid w:val="44D62C02"/>
    <w:rsid w:val="45255592"/>
    <w:rsid w:val="45630ECD"/>
    <w:rsid w:val="4850732F"/>
    <w:rsid w:val="48DE28BB"/>
    <w:rsid w:val="48ED0DF6"/>
    <w:rsid w:val="4A3E1964"/>
    <w:rsid w:val="4CF7126E"/>
    <w:rsid w:val="4D3D098D"/>
    <w:rsid w:val="4DA63089"/>
    <w:rsid w:val="4E201EE2"/>
    <w:rsid w:val="4FDF3B91"/>
    <w:rsid w:val="5254084B"/>
    <w:rsid w:val="525D515E"/>
    <w:rsid w:val="52664B50"/>
    <w:rsid w:val="54041449"/>
    <w:rsid w:val="551075CB"/>
    <w:rsid w:val="56F70C7D"/>
    <w:rsid w:val="57EA729E"/>
    <w:rsid w:val="57F971C9"/>
    <w:rsid w:val="58BB2ACB"/>
    <w:rsid w:val="59A0380C"/>
    <w:rsid w:val="5A432FCA"/>
    <w:rsid w:val="5A814985"/>
    <w:rsid w:val="5AC345BA"/>
    <w:rsid w:val="5BA739D0"/>
    <w:rsid w:val="5D365775"/>
    <w:rsid w:val="5D4763CB"/>
    <w:rsid w:val="5E0D1132"/>
    <w:rsid w:val="5E354F70"/>
    <w:rsid w:val="601C6450"/>
    <w:rsid w:val="62E50ACE"/>
    <w:rsid w:val="67192932"/>
    <w:rsid w:val="68226EB7"/>
    <w:rsid w:val="69063D5A"/>
    <w:rsid w:val="6BCC10E9"/>
    <w:rsid w:val="6EE040A0"/>
    <w:rsid w:val="70176561"/>
    <w:rsid w:val="709356D3"/>
    <w:rsid w:val="72640322"/>
    <w:rsid w:val="73AA61FA"/>
    <w:rsid w:val="74F318FE"/>
    <w:rsid w:val="75415FBC"/>
    <w:rsid w:val="75F111F4"/>
    <w:rsid w:val="77513F35"/>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2019-09-18T08:50:20Z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